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E2D" w:rsidRPr="00C5350F" w:rsidRDefault="00612E2D" w:rsidP="00C5350F">
      <w:pPr>
        <w:pStyle w:val="Heading2"/>
      </w:pPr>
      <w:bookmarkStart w:id="0" w:name="_Toc496191378"/>
      <w:r w:rsidRPr="00C5350F">
        <w:t>Qualification</w:t>
      </w:r>
      <w:bookmarkEnd w:id="0"/>
      <w:r w:rsidR="00FB7708" w:rsidRPr="00C5350F">
        <w:t xml:space="preserve"> Template</w:t>
      </w:r>
    </w:p>
    <w:tbl>
      <w:tblPr>
        <w:tblStyle w:val="GridTable1Light-Accent3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7439"/>
      </w:tblGrid>
      <w:tr w:rsidR="00FB7708" w:rsidRPr="00FB7708" w:rsidTr="00FB770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1912" w:type="dxa"/>
            <w:shd w:val="clear" w:color="auto" w:fill="BFBFBF" w:themeFill="background1" w:themeFillShade="BF"/>
            <w:vAlign w:val="center"/>
          </w:tcPr>
          <w:p w:rsidR="00612E2D" w:rsidRPr="00FB7708" w:rsidRDefault="00FB7708" w:rsidP="00FB7708">
            <w:pPr>
              <w:rPr>
                <w:color w:val="FFFFFF" w:themeColor="background1"/>
              </w:rPr>
            </w:pPr>
            <w:r w:rsidRPr="00FB7708">
              <w:rPr>
                <w:color w:val="FFFFFF" w:themeColor="background1"/>
              </w:rPr>
              <w:t>Code</w:t>
            </w:r>
          </w:p>
        </w:tc>
        <w:tc>
          <w:tcPr>
            <w:tcW w:w="7439" w:type="dxa"/>
            <w:shd w:val="clear" w:color="auto" w:fill="BFBFBF" w:themeFill="background1" w:themeFillShade="BF"/>
            <w:vAlign w:val="center"/>
          </w:tcPr>
          <w:p w:rsidR="00612E2D" w:rsidRPr="00FB7708" w:rsidRDefault="00FB7708" w:rsidP="00FB77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B7708">
              <w:rPr>
                <w:color w:val="FFFFFF" w:themeColor="background1"/>
              </w:rPr>
              <w:t>Title</w:t>
            </w:r>
          </w:p>
        </w:tc>
      </w:tr>
      <w:tr w:rsidR="00FB7708" w:rsidRPr="00FB7708" w:rsidTr="00604239">
        <w:trPr>
          <w:trHeight w:val="540"/>
        </w:trPr>
        <w:tc>
          <w:tcPr>
            <w:cnfStyle w:val="001000000000" w:firstRow="0" w:lastRow="0" w:firstColumn="1" w:lastColumn="0" w:oddVBand="0" w:evenVBand="0" w:oddHBand="0" w:evenHBand="0" w:firstRowFirstColumn="0" w:firstRowLastColumn="0" w:lastRowFirstColumn="0" w:lastRowLastColumn="0"/>
            <w:tcW w:w="1912" w:type="dxa"/>
            <w:shd w:val="clear" w:color="auto" w:fill="FFFFFF" w:themeFill="background1"/>
            <w:vAlign w:val="center"/>
          </w:tcPr>
          <w:p w:rsidR="00612E2D" w:rsidRPr="00FB7708" w:rsidRDefault="008B5E52" w:rsidP="00FB7708">
            <w:pPr>
              <w:pStyle w:val="NoSpacing"/>
              <w:rPr>
                <w:b w:val="0"/>
                <w:lang w:eastAsia="en-AU"/>
              </w:rPr>
            </w:pPr>
            <w:r>
              <w:rPr>
                <w:b w:val="0"/>
                <w:lang w:eastAsia="en-AU"/>
              </w:rPr>
              <w:t>CPP3XX18</w:t>
            </w:r>
          </w:p>
        </w:tc>
        <w:tc>
          <w:tcPr>
            <w:tcW w:w="7439" w:type="dxa"/>
            <w:shd w:val="clear" w:color="auto" w:fill="FFFFFF" w:themeFill="background1"/>
            <w:vAlign w:val="center"/>
          </w:tcPr>
          <w:p w:rsidR="00612E2D" w:rsidRPr="00FB7708" w:rsidRDefault="008B5E52" w:rsidP="00FB7708">
            <w:pPr>
              <w:pStyle w:val="NoSpacing"/>
              <w:cnfStyle w:val="000000000000" w:firstRow="0" w:lastRow="0" w:firstColumn="0" w:lastColumn="0" w:oddVBand="0" w:evenVBand="0" w:oddHBand="0" w:evenHBand="0" w:firstRowFirstColumn="0" w:firstRowLastColumn="0" w:lastRowFirstColumn="0" w:lastRowLastColumn="0"/>
              <w:rPr>
                <w:lang w:eastAsia="en-AU"/>
              </w:rPr>
            </w:pPr>
            <w:r>
              <w:rPr>
                <w:lang w:eastAsia="en-AU"/>
              </w:rPr>
              <w:t xml:space="preserve">Certificate III in </w:t>
            </w:r>
            <w:r w:rsidR="00804107">
              <w:rPr>
                <w:lang w:eastAsia="en-AU"/>
              </w:rPr>
              <w:t xml:space="preserve">Close Protection </w:t>
            </w:r>
            <w:r>
              <w:rPr>
                <w:lang w:eastAsia="en-AU"/>
              </w:rPr>
              <w:t>Operations</w:t>
            </w:r>
          </w:p>
        </w:tc>
      </w:tr>
    </w:tbl>
    <w:p w:rsidR="00612E2D" w:rsidRPr="00342D03" w:rsidRDefault="00612E2D" w:rsidP="00612E2D">
      <w:pPr>
        <w:rPr>
          <w:b/>
          <w:bCs/>
        </w:rPr>
      </w:pPr>
    </w:p>
    <w:p w:rsidR="00FB7708" w:rsidRDefault="00612E2D" w:rsidP="00FB7708">
      <w:pPr>
        <w:rPr>
          <w:b/>
          <w:bCs/>
        </w:rPr>
      </w:pPr>
      <w:r w:rsidRPr="00342D03">
        <w:rPr>
          <w:b/>
          <w:bCs/>
        </w:rPr>
        <w:t>Qualification Description</w:t>
      </w:r>
    </w:p>
    <w:p w:rsidR="00CE094B" w:rsidRDefault="008B5E52" w:rsidP="00CE094B">
      <w:r>
        <w:t xml:space="preserve">This qualification reflects the role of </w:t>
      </w:r>
      <w:r w:rsidR="00CE094B">
        <w:t xml:space="preserve">a close protection operative who is responsible for providing security services to protect the safety and security of principals who may be celebrities, political figures, very important persons (VIPs) or other persons requiring close protection services. </w:t>
      </w:r>
    </w:p>
    <w:p w:rsidR="00CE094B" w:rsidRDefault="00CE094B" w:rsidP="00CE094B">
      <w:r>
        <w:t xml:space="preserve">This qualification provides </w:t>
      </w:r>
      <w:r w:rsidR="000F34BE">
        <w:t>an</w:t>
      </w:r>
      <w:r>
        <w:t xml:space="preserve"> occupational licence outcome of a close protection operative.  It also provides the opportunity to obtain a firearms endorsement for those who are licensed security officers.</w:t>
      </w:r>
    </w:p>
    <w:p w:rsidR="008B5E52" w:rsidRDefault="00CE094B" w:rsidP="00CE094B">
      <w:r>
        <w:t>Close protection operatives work in a team environment under limited supervision, and use discretion and judgement in known and unpredictable work contexts. They take responsibility for their own outputs in work and learning, and limited responsibility for the output of others in the work team</w:t>
      </w:r>
      <w:r w:rsidR="008B5E52">
        <w:t>.</w:t>
      </w:r>
    </w:p>
    <w:p w:rsidR="008B5E52" w:rsidRPr="00342D03" w:rsidRDefault="008B5E52" w:rsidP="008B5E52">
      <w:pPr>
        <w:pStyle w:val="BodyText"/>
      </w:pPr>
      <w:r w:rsidRPr="00342D03">
        <w:t>Occupational titles could include:</w:t>
      </w:r>
    </w:p>
    <w:p w:rsidR="008B5E52" w:rsidRPr="00342D03" w:rsidRDefault="005B05F1" w:rsidP="008B5E52">
      <w:pPr>
        <w:pStyle w:val="ListBullet"/>
        <w:ind w:right="57"/>
        <w:rPr>
          <w:rFonts w:ascii="Calibri" w:eastAsiaTheme="minorHAnsi" w:hAnsi="Calibri" w:cstheme="minorBidi"/>
          <w:sz w:val="22"/>
        </w:rPr>
      </w:pPr>
      <w:r>
        <w:rPr>
          <w:rFonts w:ascii="Calibri" w:eastAsiaTheme="minorHAnsi" w:hAnsi="Calibri" w:cstheme="minorBidi"/>
          <w:sz w:val="22"/>
        </w:rPr>
        <w:t>c</w:t>
      </w:r>
      <w:r w:rsidR="000F34BE">
        <w:rPr>
          <w:rFonts w:ascii="Calibri" w:eastAsiaTheme="minorHAnsi" w:hAnsi="Calibri" w:cstheme="minorBidi"/>
          <w:sz w:val="22"/>
        </w:rPr>
        <w:t>lose protection operative</w:t>
      </w:r>
    </w:p>
    <w:p w:rsidR="008B5E52" w:rsidRDefault="008B5E52" w:rsidP="008B5E52"/>
    <w:p w:rsidR="008B5E52" w:rsidRDefault="00F46EDC" w:rsidP="00894FCA">
      <w:r w:rsidRPr="00F46EDC">
        <w:t xml:space="preserve">This qualification is suitable for people </w:t>
      </w:r>
      <w:r w:rsidR="000F34BE">
        <w:t xml:space="preserve">within </w:t>
      </w:r>
      <w:r w:rsidR="0007359D">
        <w:t xml:space="preserve">or </w:t>
      </w:r>
      <w:r w:rsidR="000F34BE">
        <w:t xml:space="preserve">entering the security industry </w:t>
      </w:r>
      <w:r w:rsidRPr="00F46EDC">
        <w:t xml:space="preserve">who wish to </w:t>
      </w:r>
      <w:r w:rsidR="000F34BE">
        <w:t xml:space="preserve">specialise in </w:t>
      </w:r>
      <w:r w:rsidR="0007359D">
        <w:t xml:space="preserve">the provision of </w:t>
      </w:r>
      <w:r w:rsidR="000F34BE">
        <w:t>close protection services</w:t>
      </w:r>
      <w:r w:rsidRPr="00F46EDC">
        <w:t>.</w:t>
      </w:r>
      <w:r w:rsidR="00894FCA">
        <w:t xml:space="preserve">  </w:t>
      </w:r>
      <w:r>
        <w:t xml:space="preserve">It </w:t>
      </w:r>
      <w:r w:rsidR="008B5E52">
        <w:t>provides a pathway to further learning and work in various security roles and settings</w:t>
      </w:r>
      <w:r w:rsidR="002743C8">
        <w:t>,</w:t>
      </w:r>
      <w:bookmarkStart w:id="1" w:name="_GoBack"/>
      <w:bookmarkEnd w:id="1"/>
      <w:r w:rsidR="008B5E52">
        <w:t xml:space="preserve"> including</w:t>
      </w:r>
      <w:r w:rsidR="00894FCA">
        <w:t xml:space="preserve"> security risk management.</w:t>
      </w:r>
    </w:p>
    <w:p w:rsidR="00730F85" w:rsidRDefault="00730F85" w:rsidP="00730F85">
      <w:pPr>
        <w:pStyle w:val="BodyText"/>
        <w:ind w:right="57"/>
      </w:pPr>
      <w:r w:rsidRPr="00BF639C">
        <w:t>Licensing, legislative, regulatory or certification requirements apply to this qualification at the time of publication.</w:t>
      </w:r>
    </w:p>
    <w:p w:rsidR="00612E2D" w:rsidRPr="00342D03" w:rsidRDefault="00612E2D" w:rsidP="00612E2D">
      <w:pPr>
        <w:rPr>
          <w:b/>
          <w:bCs/>
        </w:rPr>
      </w:pPr>
      <w:bookmarkStart w:id="2" w:name="O_661071"/>
      <w:bookmarkEnd w:id="2"/>
      <w:r w:rsidRPr="00342D03">
        <w:rPr>
          <w:b/>
          <w:bCs/>
        </w:rPr>
        <w:t>Entry Requirements</w:t>
      </w:r>
    </w:p>
    <w:p w:rsidR="00730F85" w:rsidRPr="00342D03" w:rsidRDefault="00730F85" w:rsidP="00730F85">
      <w:pPr>
        <w:pStyle w:val="BodyText"/>
        <w:ind w:right="57"/>
      </w:pPr>
      <w:bookmarkStart w:id="3" w:name="O_661072"/>
      <w:bookmarkEnd w:id="3"/>
      <w:r>
        <w:t>There are no entry requirements for this qualification.</w:t>
      </w:r>
    </w:p>
    <w:p w:rsidR="00612E2D" w:rsidRPr="00342D03" w:rsidRDefault="00612E2D" w:rsidP="00612E2D">
      <w:pPr>
        <w:rPr>
          <w:b/>
          <w:bCs/>
        </w:rPr>
      </w:pPr>
      <w:r w:rsidRPr="00342D03">
        <w:rPr>
          <w:b/>
          <w:bCs/>
        </w:rPr>
        <w:t>Packaging Rules</w:t>
      </w:r>
    </w:p>
    <w:tbl>
      <w:tblPr>
        <w:tblW w:w="9072" w:type="dxa"/>
        <w:tblLayout w:type="fixed"/>
        <w:tblCellMar>
          <w:left w:w="62" w:type="dxa"/>
          <w:right w:w="62" w:type="dxa"/>
        </w:tblCellMar>
        <w:tblLook w:val="0000" w:firstRow="0" w:lastRow="0" w:firstColumn="0" w:lastColumn="0" w:noHBand="0" w:noVBand="0"/>
      </w:tblPr>
      <w:tblGrid>
        <w:gridCol w:w="2127"/>
        <w:gridCol w:w="6945"/>
      </w:tblGrid>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pStyle w:val="BodyText"/>
            </w:pPr>
            <w:r w:rsidRPr="00342D03">
              <w:t>To achieve this qualification, competency must be demonstrated in:</w:t>
            </w:r>
          </w:p>
          <w:p w:rsidR="00612E2D" w:rsidRPr="002005F6" w:rsidRDefault="00383700" w:rsidP="00604239">
            <w:pPr>
              <w:pStyle w:val="ListBullet"/>
              <w:rPr>
                <w:rFonts w:ascii="Calibri" w:eastAsiaTheme="minorHAnsi" w:hAnsi="Calibri" w:cstheme="minorBidi"/>
                <w:sz w:val="22"/>
              </w:rPr>
            </w:pPr>
            <w:r w:rsidRPr="00383700">
              <w:rPr>
                <w:rFonts w:ascii="Calibri" w:eastAsiaTheme="minorHAnsi" w:hAnsi="Calibri" w:cstheme="minorBidi"/>
                <w:b/>
                <w:sz w:val="22"/>
              </w:rPr>
              <w:t>14</w:t>
            </w:r>
            <w:r w:rsidR="00612E2D" w:rsidRPr="002005F6">
              <w:rPr>
                <w:rFonts w:ascii="Calibri" w:eastAsiaTheme="minorHAnsi" w:hAnsi="Calibri" w:cstheme="minorBidi"/>
                <w:sz w:val="22"/>
              </w:rPr>
              <w:t xml:space="preserve"> units of competency:</w:t>
            </w:r>
          </w:p>
          <w:p w:rsidR="00612E2D" w:rsidRPr="002005F6" w:rsidRDefault="00383700" w:rsidP="00604239">
            <w:pPr>
              <w:pStyle w:val="ListBullet2"/>
              <w:rPr>
                <w:rFonts w:ascii="Calibri" w:eastAsiaTheme="minorHAnsi" w:hAnsi="Calibri" w:cstheme="minorBidi"/>
                <w:sz w:val="22"/>
              </w:rPr>
            </w:pPr>
            <w:r>
              <w:rPr>
                <w:rFonts w:ascii="Calibri" w:eastAsiaTheme="minorHAnsi" w:hAnsi="Calibri" w:cstheme="minorBidi"/>
                <w:b/>
                <w:sz w:val="22"/>
              </w:rPr>
              <w:t>8</w:t>
            </w:r>
            <w:r w:rsidR="00612E2D" w:rsidRPr="002005F6">
              <w:rPr>
                <w:rFonts w:ascii="Calibri" w:eastAsiaTheme="minorHAnsi" w:hAnsi="Calibri" w:cstheme="minorBidi"/>
                <w:sz w:val="22"/>
              </w:rPr>
              <w:t xml:space="preserve"> core units</w:t>
            </w:r>
          </w:p>
          <w:p w:rsidR="00612E2D" w:rsidRPr="002005F6" w:rsidRDefault="00383700" w:rsidP="00604239">
            <w:pPr>
              <w:pStyle w:val="ListBullet2"/>
              <w:rPr>
                <w:rFonts w:ascii="Calibri" w:eastAsiaTheme="minorHAnsi" w:hAnsi="Calibri" w:cstheme="minorBidi"/>
                <w:sz w:val="22"/>
              </w:rPr>
            </w:pPr>
            <w:r>
              <w:rPr>
                <w:rFonts w:ascii="Calibri" w:eastAsiaTheme="minorHAnsi" w:hAnsi="Calibri" w:cstheme="minorBidi"/>
                <w:b/>
                <w:sz w:val="22"/>
              </w:rPr>
              <w:t>6</w:t>
            </w:r>
            <w:r w:rsidR="00612E2D" w:rsidRPr="002005F6">
              <w:rPr>
                <w:rFonts w:ascii="Calibri" w:eastAsiaTheme="minorHAnsi" w:hAnsi="Calibri" w:cstheme="minorBidi"/>
                <w:sz w:val="22"/>
              </w:rPr>
              <w:t xml:space="preserve"> elective units.</w:t>
            </w:r>
          </w:p>
          <w:p w:rsidR="00612E2D" w:rsidRPr="00342D03" w:rsidRDefault="00612E2D" w:rsidP="00604239">
            <w:pPr>
              <w:pStyle w:val="BodyText"/>
            </w:pPr>
            <w:r w:rsidRPr="00342D03">
              <w:t>The elective units must ensure the integrity of the AQF alignment and contribute to a valid, industry-supported vocational outcome and are to be chosen as follows:</w:t>
            </w:r>
          </w:p>
          <w:p w:rsidR="00612E2D" w:rsidRPr="00342D03" w:rsidRDefault="00612E2D" w:rsidP="00604239">
            <w:pPr>
              <w:pStyle w:val="ListBullet"/>
              <w:rPr>
                <w:rFonts w:ascii="Calibri" w:eastAsiaTheme="minorHAnsi" w:hAnsi="Calibri" w:cstheme="minorBidi"/>
                <w:sz w:val="22"/>
              </w:rPr>
            </w:pPr>
            <w:r w:rsidRPr="00342D03">
              <w:rPr>
                <w:rFonts w:ascii="Calibri" w:eastAsiaTheme="minorHAnsi" w:hAnsi="Calibri" w:cstheme="minorBidi"/>
                <w:sz w:val="22"/>
              </w:rPr>
              <w:t xml:space="preserve">a minimum of </w:t>
            </w:r>
            <w:r w:rsidR="00383700">
              <w:rPr>
                <w:rFonts w:ascii="Calibri" w:eastAsiaTheme="minorHAnsi" w:hAnsi="Calibri" w:cstheme="minorBidi"/>
                <w:b/>
                <w:sz w:val="22"/>
              </w:rPr>
              <w:t>4</w:t>
            </w:r>
            <w:r w:rsidR="00FB7708" w:rsidRPr="00FB7708">
              <w:rPr>
                <w:rFonts w:ascii="Calibri" w:eastAsiaTheme="minorHAnsi" w:hAnsi="Calibri" w:cstheme="minorBidi"/>
                <w:b/>
                <w:sz w:val="22"/>
              </w:rPr>
              <w:t xml:space="preserve"> </w:t>
            </w:r>
            <w:r w:rsidRPr="00342D03">
              <w:rPr>
                <w:rFonts w:ascii="Calibri" w:eastAsiaTheme="minorHAnsi" w:hAnsi="Calibri" w:cstheme="minorBidi"/>
                <w:sz w:val="22"/>
              </w:rPr>
              <w:t xml:space="preserve">elective units must be chosen from </w:t>
            </w:r>
            <w:r w:rsidR="002A4715">
              <w:rPr>
                <w:rFonts w:ascii="Calibri" w:eastAsiaTheme="minorHAnsi" w:hAnsi="Calibri" w:cstheme="minorBidi"/>
                <w:sz w:val="22"/>
              </w:rPr>
              <w:t xml:space="preserve">the elective units </w:t>
            </w:r>
            <w:r w:rsidRPr="00342D03">
              <w:rPr>
                <w:rFonts w:ascii="Calibri" w:eastAsiaTheme="minorHAnsi" w:hAnsi="Calibri" w:cstheme="minorBidi"/>
                <w:sz w:val="22"/>
              </w:rPr>
              <w:t>listed below</w:t>
            </w:r>
          </w:p>
          <w:p w:rsidR="00612E2D" w:rsidRPr="00342D03" w:rsidRDefault="00612E2D" w:rsidP="00604239">
            <w:pPr>
              <w:pStyle w:val="ListBullet"/>
              <w:rPr>
                <w:lang w:val="en-NZ"/>
              </w:rPr>
            </w:pPr>
            <w:r w:rsidRPr="00342D03">
              <w:rPr>
                <w:rFonts w:ascii="Calibri" w:eastAsiaTheme="minorHAnsi" w:hAnsi="Calibri" w:cstheme="minorBidi"/>
                <w:sz w:val="22"/>
              </w:rPr>
              <w:t xml:space="preserve">up to </w:t>
            </w:r>
            <w:r w:rsidR="00383700">
              <w:rPr>
                <w:rFonts w:ascii="Calibri" w:eastAsiaTheme="minorHAnsi" w:hAnsi="Calibri" w:cstheme="minorBidi"/>
                <w:b/>
                <w:sz w:val="22"/>
              </w:rPr>
              <w:t>2</w:t>
            </w:r>
            <w:r w:rsidR="00FB7708">
              <w:rPr>
                <w:rFonts w:ascii="Calibri" w:eastAsiaTheme="minorHAnsi" w:hAnsi="Calibri" w:cstheme="minorBidi"/>
                <w:sz w:val="22"/>
              </w:rPr>
              <w:t xml:space="preserve"> </w:t>
            </w:r>
            <w:r w:rsidRPr="00342D03">
              <w:rPr>
                <w:rFonts w:ascii="Calibri" w:eastAsiaTheme="minorHAnsi" w:hAnsi="Calibri" w:cstheme="minorBidi"/>
                <w:sz w:val="22"/>
              </w:rPr>
              <w:t xml:space="preserve">units may be chosen from the elective units listed below, or from other Certificate </w:t>
            </w:r>
            <w:r w:rsidR="00383700">
              <w:rPr>
                <w:rFonts w:ascii="Calibri" w:eastAsiaTheme="minorHAnsi" w:hAnsi="Calibri" w:cstheme="minorBidi"/>
                <w:sz w:val="22"/>
              </w:rPr>
              <w:t>III</w:t>
            </w:r>
            <w:r w:rsidRPr="00342D03">
              <w:rPr>
                <w:rFonts w:ascii="Calibri" w:eastAsiaTheme="minorHAnsi" w:hAnsi="Calibri" w:cstheme="minorBidi"/>
                <w:sz w:val="22"/>
              </w:rPr>
              <w:t xml:space="preserve"> or Certificate </w:t>
            </w:r>
            <w:r w:rsidR="00383700">
              <w:rPr>
                <w:rFonts w:ascii="Calibri" w:eastAsiaTheme="minorHAnsi" w:hAnsi="Calibri" w:cstheme="minorBidi"/>
                <w:sz w:val="22"/>
              </w:rPr>
              <w:t>IV</w:t>
            </w:r>
            <w:r w:rsidRPr="00342D03">
              <w:rPr>
                <w:rFonts w:ascii="Calibri" w:eastAsiaTheme="minorHAnsi" w:hAnsi="Calibri" w:cstheme="minorBidi"/>
                <w:sz w:val="22"/>
              </w:rPr>
              <w:t xml:space="preserve"> qualifications in </w:t>
            </w:r>
            <w:r w:rsidR="00383700">
              <w:rPr>
                <w:rFonts w:ascii="Calibri" w:eastAsiaTheme="minorHAnsi" w:hAnsi="Calibri" w:cstheme="minorBidi"/>
                <w:sz w:val="22"/>
              </w:rPr>
              <w:t>CPP</w:t>
            </w:r>
            <w:r w:rsidRPr="00342D03">
              <w:rPr>
                <w:rFonts w:ascii="Calibri" w:eastAsiaTheme="minorHAnsi" w:hAnsi="Calibri" w:cstheme="minorBidi"/>
                <w:sz w:val="22"/>
              </w:rPr>
              <w:t xml:space="preserve"> or other current Training Packages provided they do not duplicate the outcome of another unit chosen for the qualification.</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3361D" w:rsidRPr="00342D03" w:rsidRDefault="00612E2D" w:rsidP="00BA03F6">
            <w:pPr>
              <w:pStyle w:val="BodyText"/>
              <w:rPr>
                <w:lang w:val="en-NZ"/>
              </w:rPr>
            </w:pPr>
            <w:r w:rsidRPr="00342D03">
              <w:rPr>
                <w:lang w:val="en-NZ"/>
              </w:rPr>
              <w:t xml:space="preserve">An asterisk against a unit code listed below indicates that there are prerequisite requirements that must be met when packaging the qualification. Users are referred to the list of units with </w:t>
            </w:r>
            <w:r w:rsidRPr="00342D03">
              <w:rPr>
                <w:lang w:val="en-NZ"/>
              </w:rPr>
              <w:lastRenderedPageBreak/>
              <w:t>prerequisite unit requirements available for this purpose in the Training Package Implementation Guide.</w:t>
            </w:r>
          </w:p>
        </w:tc>
      </w:tr>
      <w:tr w:rsidR="00612E2D" w:rsidRPr="00342D03" w:rsidTr="00FB7708">
        <w:tc>
          <w:tcPr>
            <w:tcW w:w="9072" w:type="dxa"/>
            <w:gridSpan w:val="2"/>
            <w:tcBorders>
              <w:top w:val="nil"/>
              <w:left w:val="nil"/>
              <w:bottom w:val="nil"/>
              <w:right w:val="nil"/>
            </w:tcBorders>
            <w:tcMar>
              <w:top w:w="0" w:type="dxa"/>
              <w:left w:w="62" w:type="dxa"/>
              <w:bottom w:w="0" w:type="dxa"/>
              <w:right w:w="62" w:type="dxa"/>
            </w:tcMar>
          </w:tcPr>
          <w:p w:rsidR="00612E2D" w:rsidRPr="00342D03" w:rsidRDefault="00612E2D" w:rsidP="00604239">
            <w:pPr>
              <w:rPr>
                <w:b/>
                <w:lang w:val="en-NZ"/>
              </w:rPr>
            </w:pPr>
            <w:r w:rsidRPr="00342D03">
              <w:rPr>
                <w:b/>
              </w:rPr>
              <w:lastRenderedPageBreak/>
              <w:t>Core units</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Manage conflict and security risks through negotiation</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Determine and implement response to security risk situation</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Coordinate provision of quality security services to clients</w:t>
            </w:r>
          </w:p>
        </w:tc>
      </w:tr>
      <w:tr w:rsidR="00B558DD" w:rsidRPr="00342D03" w:rsidTr="00FB7708">
        <w:trPr>
          <w:trHeight w:val="454"/>
        </w:trPr>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Plan provision of close protection services</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Implement close protection services</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Control persons using empty hand techniques</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HLTAID006</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Provide advanced first aid</w:t>
            </w:r>
          </w:p>
        </w:tc>
      </w:tr>
      <w:tr w:rsidR="00B558DD" w:rsidRPr="00342D03" w:rsidTr="00FB7708">
        <w:trPr>
          <w:trHeight w:val="454"/>
        </w:trPr>
        <w:tc>
          <w:tcPr>
            <w:tcW w:w="2127"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HLTWHS003</w:t>
            </w:r>
          </w:p>
        </w:tc>
        <w:tc>
          <w:tcPr>
            <w:tcW w:w="6945" w:type="dxa"/>
            <w:tcBorders>
              <w:top w:val="nil"/>
              <w:left w:val="nil"/>
              <w:bottom w:val="nil"/>
              <w:right w:val="nil"/>
            </w:tcBorders>
            <w:shd w:val="clear" w:color="auto" w:fill="auto"/>
            <w:tcMar>
              <w:top w:w="0" w:type="dxa"/>
              <w:left w:w="62" w:type="dxa"/>
              <w:bottom w:w="0" w:type="dxa"/>
              <w:right w:w="62" w:type="dxa"/>
            </w:tcMar>
          </w:tcPr>
          <w:p w:rsidR="00B558DD" w:rsidRPr="002079A4" w:rsidRDefault="00B558DD" w:rsidP="00B558DD">
            <w:pPr>
              <w:pStyle w:val="BodyText"/>
              <w:rPr>
                <w:lang w:val="en-NZ"/>
              </w:rPr>
            </w:pPr>
            <w:r w:rsidRPr="002079A4">
              <w:rPr>
                <w:lang w:val="en-NZ"/>
              </w:rPr>
              <w:t>Maintain work health and safety</w:t>
            </w:r>
          </w:p>
        </w:tc>
      </w:tr>
      <w:tr w:rsidR="00B558DD" w:rsidRPr="00342D03" w:rsidTr="00FB7708">
        <w:tc>
          <w:tcPr>
            <w:tcW w:w="9072" w:type="dxa"/>
            <w:gridSpan w:val="2"/>
            <w:tcBorders>
              <w:top w:val="nil"/>
              <w:left w:val="nil"/>
              <w:bottom w:val="nil"/>
              <w:right w:val="nil"/>
            </w:tcBorders>
            <w:tcMar>
              <w:top w:w="0" w:type="dxa"/>
              <w:left w:w="62" w:type="dxa"/>
              <w:bottom w:w="0" w:type="dxa"/>
              <w:right w:w="62" w:type="dxa"/>
            </w:tcMar>
          </w:tcPr>
          <w:p w:rsidR="00B558DD" w:rsidRPr="00342D03" w:rsidRDefault="00B558DD" w:rsidP="00B558DD">
            <w:pPr>
              <w:rPr>
                <w:b/>
                <w:bCs/>
                <w:lang w:val="en-NZ"/>
              </w:rPr>
            </w:pPr>
            <w:r w:rsidRPr="00342D03">
              <w:rPr>
                <w:b/>
                <w:bCs/>
              </w:rPr>
              <w:t>Elective units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BSBFLM312</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Contribute to team effectiveness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CHCCCS020</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Respond effectively to behaviours of concern</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Maintain operational safety and security of work environment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Coordinate monitoring and control of individual and crowd behaviour</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Gather, organise and present security information and documentation</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Monitor security and coordinate response from control room</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Store, protect and dispose of security information</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Use and maintain security databases and compile reports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Protect critical infrastructure and public assets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Control persons using batons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Restrain persons using handcuffs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Defend persons using spray</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Manage training and wellbeing of dogs for security functions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Handle dogs for security patrols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Control security risk situations using firearms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Carry, operate and maintain revolvers for security purposes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Carry, operate and maintain semi-automatic pistols for security purposes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Carry, operate and maintain shotguns for security purposes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Select, use and maintain body armour for security purposes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Inspect and test cash-in-transit security equipment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Implement cash-in-transit security procedures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lastRenderedPageBreak/>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Load and unload cash-in-transit in secured and unsecured environments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Conduct security screening using x-ray equipment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Conduct security screening using walk-through metal detection equipment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Conduct security screening using explosive trace detection equipment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Conduct security screening using hand-held metal detectors</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CPPSEC3XXX</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Prepare and present evidence in court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HLTAID007</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Provide advanced resuscitation</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PMAOMIR210</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Control evacuation to muster point</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TLIB2004</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Carry out vehicle inspection</w:t>
            </w:r>
          </w:p>
        </w:tc>
      </w:tr>
      <w:tr w:rsidR="00B558DD" w:rsidRPr="00342D03" w:rsidTr="00FB7708">
        <w:tc>
          <w:tcPr>
            <w:tcW w:w="2127"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TLIC1051</w:t>
            </w:r>
          </w:p>
        </w:tc>
        <w:tc>
          <w:tcPr>
            <w:tcW w:w="6945" w:type="dxa"/>
            <w:tcBorders>
              <w:top w:val="nil"/>
              <w:left w:val="nil"/>
              <w:bottom w:val="nil"/>
              <w:right w:val="nil"/>
            </w:tcBorders>
            <w:tcMar>
              <w:top w:w="0" w:type="dxa"/>
              <w:left w:w="62" w:type="dxa"/>
              <w:bottom w:w="0" w:type="dxa"/>
              <w:right w:w="62" w:type="dxa"/>
            </w:tcMar>
          </w:tcPr>
          <w:p w:rsidR="00B558DD" w:rsidRPr="002079A4" w:rsidRDefault="00B558DD" w:rsidP="00B558DD">
            <w:pPr>
              <w:pStyle w:val="BodyText"/>
              <w:rPr>
                <w:lang w:val="en-NZ"/>
              </w:rPr>
            </w:pPr>
            <w:r w:rsidRPr="002079A4">
              <w:rPr>
                <w:lang w:val="en-NZ"/>
              </w:rPr>
              <w:t>Operate commercial vehicle</w:t>
            </w:r>
          </w:p>
        </w:tc>
      </w:tr>
    </w:tbl>
    <w:p w:rsidR="00FB7708" w:rsidRDefault="00FB7708" w:rsidP="00612E2D">
      <w:pPr>
        <w:rPr>
          <w:b/>
          <w:bCs/>
        </w:rPr>
      </w:pPr>
      <w:bookmarkStart w:id="4" w:name="O_661073"/>
      <w:bookmarkEnd w:id="4"/>
    </w:p>
    <w:p w:rsidR="00612E2D" w:rsidRPr="00342D03" w:rsidRDefault="00612E2D" w:rsidP="00612E2D">
      <w:pPr>
        <w:rPr>
          <w:b/>
          <w:bCs/>
        </w:rPr>
      </w:pPr>
      <w:r w:rsidRPr="00342D03">
        <w:rPr>
          <w:b/>
          <w:bCs/>
        </w:rPr>
        <w:t>Qualification Mapping Information</w:t>
      </w:r>
    </w:p>
    <w:p w:rsidR="00612E2D" w:rsidRPr="00342D03" w:rsidRDefault="00612E2D" w:rsidP="00612E2D">
      <w:pPr>
        <w:pStyle w:val="BodyText"/>
      </w:pPr>
      <w:r>
        <w:t>No equivalent qualification.</w:t>
      </w:r>
    </w:p>
    <w:p w:rsidR="00612E2D" w:rsidRPr="00342D03" w:rsidRDefault="00612E2D" w:rsidP="00612E2D">
      <w:pPr>
        <w:rPr>
          <w:b/>
          <w:bCs/>
        </w:rPr>
      </w:pPr>
      <w:bookmarkStart w:id="5" w:name="O_661075"/>
      <w:bookmarkEnd w:id="5"/>
      <w:r w:rsidRPr="00342D03">
        <w:rPr>
          <w:b/>
          <w:bCs/>
        </w:rPr>
        <w:t>Links</w:t>
      </w:r>
    </w:p>
    <w:p w:rsidR="00612E2D" w:rsidRPr="00342D03" w:rsidRDefault="00612E2D" w:rsidP="00612E2D">
      <w:pPr>
        <w:pStyle w:val="BodyText"/>
      </w:pPr>
      <w:r w:rsidRPr="00342D03">
        <w:t>An Implementation Guide to this Training Package is available at:</w:t>
      </w:r>
    </w:p>
    <w:p w:rsidR="00612E2D" w:rsidRPr="00342D03" w:rsidRDefault="002743C8" w:rsidP="00612E2D">
      <w:pPr>
        <w:jc w:val="both"/>
      </w:pPr>
      <w:hyperlink r:id="rId5" w:history="1">
        <w:r w:rsidR="00FB7708" w:rsidRPr="00A10004">
          <w:rPr>
            <w:rStyle w:val="Hyperlink"/>
          </w:rPr>
          <w:t>[ADD</w:t>
        </w:r>
      </w:hyperlink>
      <w:r w:rsidR="00FB7708">
        <w:t xml:space="preserve"> CPP or CPC LINK HERE]</w:t>
      </w:r>
    </w:p>
    <w:sectPr w:rsidR="00612E2D" w:rsidRPr="00342D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2D"/>
    <w:rsid w:val="0007359D"/>
    <w:rsid w:val="00090447"/>
    <w:rsid w:val="000D15FC"/>
    <w:rsid w:val="000F34BE"/>
    <w:rsid w:val="001128F4"/>
    <w:rsid w:val="00115547"/>
    <w:rsid w:val="002743C8"/>
    <w:rsid w:val="002A4715"/>
    <w:rsid w:val="00383700"/>
    <w:rsid w:val="004E7A57"/>
    <w:rsid w:val="005B05F1"/>
    <w:rsid w:val="00612E2D"/>
    <w:rsid w:val="00630314"/>
    <w:rsid w:val="0063361D"/>
    <w:rsid w:val="006B1690"/>
    <w:rsid w:val="00730F85"/>
    <w:rsid w:val="007623EA"/>
    <w:rsid w:val="00804107"/>
    <w:rsid w:val="00894FCA"/>
    <w:rsid w:val="008B5E52"/>
    <w:rsid w:val="00B558DD"/>
    <w:rsid w:val="00BA03F6"/>
    <w:rsid w:val="00BA5E0F"/>
    <w:rsid w:val="00BC48D6"/>
    <w:rsid w:val="00C5350F"/>
    <w:rsid w:val="00CE094B"/>
    <w:rsid w:val="00D24B4D"/>
    <w:rsid w:val="00E6083E"/>
    <w:rsid w:val="00F46EDC"/>
    <w:rsid w:val="00FB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E905"/>
  <w15:chartTrackingRefBased/>
  <w15:docId w15:val="{AF3A37E8-6F68-4E01-A8B6-4B77F1CF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C5350F"/>
    <w:pPr>
      <w:keepNext/>
      <w:keepLines/>
      <w:spacing w:before="40"/>
      <w:jc w:val="both"/>
      <w:outlineLvl w:val="1"/>
    </w:pPr>
    <w:rPr>
      <w:rFonts w:ascii="Calibri Light" w:eastAsiaTheme="majorEastAsia" w:hAnsi="Calibri Light" w:cstheme="majorBidi"/>
      <w:b/>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50F"/>
    <w:rPr>
      <w:rFonts w:ascii="Calibri Light" w:eastAsiaTheme="majorEastAsia" w:hAnsi="Calibri Light" w:cstheme="majorBidi"/>
      <w:b/>
      <w:sz w:val="24"/>
      <w:szCs w:val="26"/>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styleId="UnresolvedMention">
    <w:name w:val="Unresolved Mention"/>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etnet.education.gov.au/....%20%5bAD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Michelle Mulhall</cp:lastModifiedBy>
  <cp:revision>11</cp:revision>
  <dcterms:created xsi:type="dcterms:W3CDTF">2017-10-23T08:30:00Z</dcterms:created>
  <dcterms:modified xsi:type="dcterms:W3CDTF">2017-10-23T08:39:00Z</dcterms:modified>
</cp:coreProperties>
</file>