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751C2A" w:rsidRDefault="009F1256" w:rsidP="00751C2A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751C2A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3017D97E" w:rsidR="009F1256" w:rsidRPr="00751C2A" w:rsidRDefault="00D472C1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6856DA" w:rsidRPr="00751C2A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751C2A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46CE45F" w:rsidR="009F1256" w:rsidRPr="00751C2A" w:rsidRDefault="00BF40D0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Apply risk assessment to select and carry out response to security risk situations</w:t>
            </w:r>
          </w:p>
        </w:tc>
      </w:tr>
      <w:tr w:rsidR="004B61B2" w:rsidRPr="00751C2A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751C2A" w:rsidRDefault="00CB02EA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72562BC" w:rsidR="00B46109" w:rsidRPr="00751C2A" w:rsidRDefault="009F1256" w:rsidP="00751C2A">
            <w:pPr>
              <w:spacing w:before="120" w:after="120" w:line="240" w:lineRule="auto"/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751C2A">
              <w:t xml:space="preserve"> </w:t>
            </w:r>
            <w:r w:rsidR="002E6879" w:rsidRPr="00751C2A">
              <w:t xml:space="preserve">to </w:t>
            </w:r>
            <w:r w:rsidR="008D5402" w:rsidRPr="00751C2A">
              <w:t xml:space="preserve">apply </w:t>
            </w:r>
            <w:r w:rsidR="00956393" w:rsidRPr="00751C2A">
              <w:t xml:space="preserve">risk assessment </w:t>
            </w:r>
            <w:r w:rsidR="00BF40D0" w:rsidRPr="00751C2A">
              <w:t xml:space="preserve">to select and </w:t>
            </w:r>
            <w:r w:rsidR="002216BF" w:rsidRPr="00751C2A">
              <w:t>carry out</w:t>
            </w:r>
            <w:r w:rsidR="00956393" w:rsidRPr="00751C2A">
              <w:t xml:space="preserve"> response</w:t>
            </w:r>
            <w:r w:rsidR="00751C2A">
              <w:t>s</w:t>
            </w:r>
            <w:r w:rsidR="00956393" w:rsidRPr="00751C2A">
              <w:t xml:space="preserve"> to </w:t>
            </w:r>
            <w:r w:rsidR="002216BF" w:rsidRPr="00751C2A">
              <w:t xml:space="preserve">identified </w:t>
            </w:r>
            <w:r w:rsidR="00956393" w:rsidRPr="00751C2A">
              <w:t>security risk situations</w:t>
            </w:r>
            <w:r w:rsidR="008D5402" w:rsidRPr="00751C2A">
              <w:t>.</w:t>
            </w:r>
          </w:p>
          <w:p w14:paraId="7E754B3A" w14:textId="071E92A8" w:rsidR="00751C2A" w:rsidRDefault="00275606" w:rsidP="00751C2A">
            <w:pPr>
              <w:spacing w:before="120" w:after="120" w:line="240" w:lineRule="auto"/>
            </w:pPr>
            <w:r w:rsidRPr="00751C2A">
              <w:t xml:space="preserve">It </w:t>
            </w:r>
            <w:r w:rsidR="00751C2A">
              <w:t>includes:</w:t>
            </w:r>
            <w:r w:rsidR="009E0EC0" w:rsidRPr="00751C2A">
              <w:t xml:space="preserve"> </w:t>
            </w:r>
          </w:p>
          <w:p w14:paraId="5FA67960" w14:textId="7C215305" w:rsidR="00751C2A" w:rsidRDefault="002216BF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 xml:space="preserve">interpreting and complying with </w:t>
            </w:r>
            <w:r w:rsidR="00BC6F26" w:rsidRPr="00751C2A">
              <w:t xml:space="preserve">standard operating </w:t>
            </w:r>
            <w:r w:rsidRPr="00751C2A">
              <w:t>procedures</w:t>
            </w:r>
            <w:r w:rsidR="00B26891" w:rsidRPr="00751C2A">
              <w:t>, workplace policies and legal rights and responsibilities</w:t>
            </w:r>
            <w:r w:rsidR="009A49EC" w:rsidRPr="00751C2A">
              <w:t xml:space="preserve"> including</w:t>
            </w:r>
            <w:r w:rsidR="000B2D9B" w:rsidRPr="00751C2A">
              <w:t xml:space="preserve"> work</w:t>
            </w:r>
            <w:r w:rsidR="00447F0B">
              <w:t>place</w:t>
            </w:r>
            <w:r w:rsidR="000B2D9B" w:rsidRPr="00751C2A">
              <w:t xml:space="preserve"> health and safety (WHS</w:t>
            </w:r>
          </w:p>
          <w:p w14:paraId="27942971" w14:textId="5AEC385A" w:rsidR="00751C2A" w:rsidRDefault="004D3EFD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>monitoring the environment to identify potential security risks, and applying risk assessment</w:t>
            </w:r>
            <w:r w:rsidR="00612C8C" w:rsidRPr="00751C2A">
              <w:t xml:space="preserve"> </w:t>
            </w:r>
            <w:r w:rsidRPr="00751C2A">
              <w:t xml:space="preserve">to select </w:t>
            </w:r>
            <w:r w:rsidR="008F0D2B" w:rsidRPr="00751C2A">
              <w:t xml:space="preserve">and carry out </w:t>
            </w:r>
            <w:r w:rsidRPr="00751C2A">
              <w:t>security response</w:t>
            </w:r>
            <w:r w:rsidR="00751C2A">
              <w:t>s</w:t>
            </w:r>
            <w:r w:rsidRPr="00751C2A">
              <w:t xml:space="preserve"> </w:t>
            </w:r>
            <w:r w:rsidR="00612C8C" w:rsidRPr="00751C2A">
              <w:t xml:space="preserve">that </w:t>
            </w:r>
            <w:r w:rsidR="00751C2A">
              <w:t>are</w:t>
            </w:r>
            <w:r w:rsidR="00612C8C" w:rsidRPr="00751C2A">
              <w:t xml:space="preserve"> </w:t>
            </w:r>
            <w:r w:rsidRPr="00751C2A">
              <w:t>proportionate to the level of risk and own authority</w:t>
            </w:r>
          </w:p>
          <w:p w14:paraId="4CC9A888" w14:textId="77777777" w:rsidR="00751C2A" w:rsidRDefault="009C576A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>using security equipment to assist the response</w:t>
            </w:r>
            <w:r w:rsidR="009C74D0" w:rsidRPr="00751C2A">
              <w:t xml:space="preserve"> and</w:t>
            </w:r>
            <w:r w:rsidRPr="00751C2A">
              <w:t xml:space="preserve"> </w:t>
            </w:r>
            <w:r w:rsidR="008F0D2B" w:rsidRPr="00751C2A">
              <w:t xml:space="preserve">communicate </w:t>
            </w:r>
            <w:r w:rsidRPr="00751C2A">
              <w:t>with others</w:t>
            </w:r>
          </w:p>
          <w:p w14:paraId="029ED1FD" w14:textId="77777777" w:rsidR="00751C2A" w:rsidRDefault="00FB6F4E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>recording details of the security risk and response</w:t>
            </w:r>
          </w:p>
          <w:p w14:paraId="2A711949" w14:textId="77777777" w:rsidR="00751C2A" w:rsidRDefault="00092605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>participating in a review to identify and control effects of stress on own well-being</w:t>
            </w:r>
          </w:p>
          <w:p w14:paraId="3DCE7F2F" w14:textId="1AB077A4" w:rsidR="004E670F" w:rsidRPr="00751C2A" w:rsidRDefault="00092605" w:rsidP="00751C2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442" w:hanging="357"/>
              <w:contextualSpacing w:val="0"/>
            </w:pPr>
            <w:r w:rsidRPr="00751C2A">
              <w:t>assist in identifying improvement</w:t>
            </w:r>
            <w:r w:rsidR="00751C2A">
              <w:t>s to future response procedures</w:t>
            </w:r>
          </w:p>
          <w:p w14:paraId="33256A67" w14:textId="6376DAF1" w:rsidR="003B7BBE" w:rsidRPr="00751C2A" w:rsidRDefault="009F1256" w:rsidP="00751C2A">
            <w:pPr>
              <w:spacing w:before="120" w:after="120" w:line="240" w:lineRule="auto"/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751C2A">
              <w:rPr>
                <w:rFonts w:eastAsia="Times New Roman" w:cs="Helvetica"/>
                <w:color w:val="333333"/>
                <w:lang w:eastAsia="en-AU"/>
              </w:rPr>
              <w:t>applies to people</w:t>
            </w:r>
            <w:r w:rsidR="000F4364" w:rsidRPr="00751C2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95012" w:rsidRPr="00751C2A">
              <w:rPr>
                <w:rFonts w:eastAsia="Times New Roman" w:cs="Helvetica"/>
                <w:color w:val="333333"/>
                <w:lang w:eastAsia="en-AU"/>
              </w:rPr>
              <w:t>working</w:t>
            </w:r>
            <w:r w:rsidR="00137A71" w:rsidRPr="00751C2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B049E" w:rsidRPr="00751C2A">
              <w:rPr>
                <w:rFonts w:eastAsia="Times New Roman" w:cs="Helvetica"/>
                <w:color w:val="333333"/>
                <w:lang w:eastAsia="en-AU"/>
              </w:rPr>
              <w:t xml:space="preserve">under </w:t>
            </w:r>
            <w:r w:rsidR="00347551" w:rsidRPr="00751C2A">
              <w:rPr>
                <w:rFonts w:eastAsia="Times New Roman" w:cs="Helvetica"/>
                <w:color w:val="333333"/>
                <w:lang w:eastAsia="en-AU"/>
              </w:rPr>
              <w:t xml:space="preserve">general </w:t>
            </w:r>
            <w:r w:rsidR="006B049E" w:rsidRPr="00751C2A">
              <w:rPr>
                <w:rFonts w:eastAsia="Times New Roman" w:cs="Helvetica"/>
                <w:color w:val="333333"/>
                <w:lang w:eastAsia="en-AU"/>
              </w:rPr>
              <w:t xml:space="preserve">supervision </w:t>
            </w:r>
            <w:r w:rsidR="00DA5C81">
              <w:rPr>
                <w:rFonts w:eastAsia="Times New Roman" w:cs="Helvetica"/>
                <w:color w:val="333333"/>
                <w:lang w:eastAsia="en-AU"/>
              </w:rPr>
              <w:t>as</w:t>
            </w:r>
            <w:r w:rsidR="00751C2A">
              <w:rPr>
                <w:rFonts w:eastAsia="Times New Roman" w:cs="Helvetica"/>
                <w:color w:val="333333"/>
                <w:lang w:eastAsia="en-AU"/>
              </w:rPr>
              <w:t xml:space="preserve"> member</w:t>
            </w:r>
            <w:r w:rsidR="00DA5C81"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137A71" w:rsidRPr="00751C2A">
              <w:rPr>
                <w:rFonts w:eastAsia="Times New Roman" w:cs="Helvetica"/>
                <w:color w:val="333333"/>
                <w:lang w:eastAsia="en-AU"/>
              </w:rPr>
              <w:t xml:space="preserve"> of a </w:t>
            </w:r>
            <w:r w:rsidR="006234EF" w:rsidRPr="00751C2A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137A71" w:rsidRPr="00751C2A">
              <w:rPr>
                <w:rFonts w:eastAsia="Times New Roman" w:cs="Helvetica"/>
                <w:color w:val="333333"/>
                <w:lang w:eastAsia="en-AU"/>
              </w:rPr>
              <w:t>team</w:t>
            </w:r>
            <w:r w:rsidR="006234EF" w:rsidRPr="00751C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741D4412" w14:textId="60591ECF" w:rsidR="009F1256" w:rsidRPr="00751C2A" w:rsidRDefault="00720745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751C2A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751C2A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751C2A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751C2A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1153F" w:rsidRPr="00751C2A" w14:paraId="4FC77ECA" w14:textId="77777777" w:rsidTr="0031153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A743D2F" w:rsidR="0031153F" w:rsidRPr="00751C2A" w:rsidRDefault="0031153F" w:rsidP="00154E1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Interpret and comply with 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lastRenderedPageBreak/>
              <w:t>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DEA7F" w14:textId="77F0FA97" w:rsidR="0031153F" w:rsidRPr="00751C2A" w:rsidRDefault="0031153F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lastRenderedPageBreak/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Read standard operating procedures and workplace policies to clarify own responsibilities and authority to respond to security risk situations.</w:t>
            </w:r>
          </w:p>
          <w:p w14:paraId="53FDEF05" w14:textId="5D2E06DD" w:rsidR="0031153F" w:rsidRPr="00751C2A" w:rsidRDefault="0031153F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Interpret policies and procedures to understand and comply with legal rights and responsibilities including WHS.</w:t>
            </w:r>
          </w:p>
        </w:tc>
      </w:tr>
      <w:tr w:rsidR="0031153F" w:rsidRPr="00751C2A" w14:paraId="7F432C0A" w14:textId="77777777" w:rsidTr="0031153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04EA10B3" w:rsidR="0031153F" w:rsidRPr="00751C2A" w:rsidRDefault="0031153F" w:rsidP="00154E1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Monitor environment and identify security risk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87A0C" w14:textId="29A3A631" w:rsidR="0031153F" w:rsidRPr="00751C2A" w:rsidRDefault="0031153F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Monitor environmental factors to maintain situational awareness.</w:t>
            </w:r>
          </w:p>
          <w:p w14:paraId="462B1EA3" w14:textId="364E421A" w:rsidR="0031153F" w:rsidRPr="00751C2A" w:rsidRDefault="0031153F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Identify potential security risk situation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9D559A" w:rsidRPr="00751C2A" w14:paraId="4B0E9564" w14:textId="77777777" w:rsidTr="009D559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D3247" w14:textId="56C1FC66" w:rsidR="009D559A" w:rsidRPr="00751C2A" w:rsidRDefault="009D559A" w:rsidP="00154E1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3.</w:t>
            </w:r>
            <w:r w:rsidR="00154E15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Assess risk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and select security response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E1452" w14:textId="182E67BE" w:rsidR="009D559A" w:rsidRPr="00DD49B8" w:rsidRDefault="009D559A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t>Assess degree of risk to self, others, property and premises.</w:t>
            </w:r>
          </w:p>
          <w:p w14:paraId="5C693477" w14:textId="2F0DE48B" w:rsidR="009D559A" w:rsidRPr="00DD49B8" w:rsidRDefault="009D559A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t>Select security response proportionate to level of risk and own authority, and seek advice or assistance as required from relevant persons.</w:t>
            </w:r>
          </w:p>
        </w:tc>
      </w:tr>
      <w:tr w:rsidR="00154E15" w:rsidRPr="00751C2A" w14:paraId="31F5A5EF" w14:textId="77777777" w:rsidTr="00154E1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4F3B6" w14:textId="5BFBDC17" w:rsidR="00154E15" w:rsidRPr="00751C2A" w:rsidRDefault="00154E15" w:rsidP="00154E1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Respond to security risk situation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and record details.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2CC09" w14:textId="1F2AD103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Carry out security response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to ensure the safety and security of self, others, property and premises is maximised within the scope of own responsibility, competency and authority.</w:t>
            </w:r>
          </w:p>
          <w:p w14:paraId="0673C2B1" w14:textId="6A6C45D3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Use security equipment to communicate clear and accurate information to relevant persons and assist security response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according to standard operating procedures.</w:t>
            </w:r>
          </w:p>
          <w:p w14:paraId="0DFE01FD" w14:textId="56BF903C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Secure and preserve incident scene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and maintain security following response procedures.</w:t>
            </w:r>
          </w:p>
          <w:p w14:paraId="2FE2FC4B" w14:textId="1D156DBB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Record incident details in notebook using clear, concise and factual information.</w:t>
            </w:r>
          </w:p>
        </w:tc>
      </w:tr>
      <w:tr w:rsidR="00154E15" w:rsidRPr="00751C2A" w14:paraId="2D698078" w14:textId="77777777" w:rsidTr="00154E15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19BEF" w14:textId="43EE7845" w:rsidR="00154E15" w:rsidRPr="00751C2A" w:rsidRDefault="00154E15" w:rsidP="00154E1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Assist in review of security response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85911" w14:textId="0E0D2CCF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Participate in review of security response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and provide observations in a clear, concise and constructive manner.</w:t>
            </w:r>
          </w:p>
          <w:p w14:paraId="081D0839" w14:textId="7AEEBEBA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Identify effects of stress related to own well-being and use appropriate stress management techniques.</w:t>
            </w:r>
          </w:p>
          <w:p w14:paraId="3818E081" w14:textId="3B474331" w:rsidR="00154E15" w:rsidRPr="00751C2A" w:rsidRDefault="00154E15" w:rsidP="00DD49B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Identify areas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>in discussion with relevant persons</w:t>
            </w:r>
            <w:r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for improving future response procedures and </w:t>
            </w:r>
            <w:r>
              <w:rPr>
                <w:rFonts w:eastAsia="Times New Roman" w:cs="Helvetica"/>
                <w:color w:val="333333"/>
                <w:lang w:eastAsia="en-AU"/>
              </w:rPr>
              <w:t>for reducing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the effects of stress.</w:t>
            </w:r>
          </w:p>
        </w:tc>
      </w:tr>
      <w:tr w:rsidR="00A02C63" w:rsidRPr="00751C2A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A02C63" w:rsidRPr="00751C2A" w:rsidRDefault="00A02C63" w:rsidP="00751C2A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751C2A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A02C63" w:rsidRPr="00751C2A" w:rsidRDefault="00A02C63" w:rsidP="00751C2A">
            <w:pPr>
              <w:spacing w:before="120" w:after="120" w:line="240" w:lineRule="auto"/>
            </w:pPr>
            <w:r w:rsidRPr="00751C2A">
              <w:t>A person demonstrating competency in this unit must have the following language, literacy, numeracy and employment skills:</w:t>
            </w:r>
          </w:p>
          <w:p w14:paraId="0778BD96" w14:textId="46B9964B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>language skills to provide information or advice using structure and language to suit the audience</w:t>
            </w:r>
          </w:p>
          <w:p w14:paraId="3AB8C3E1" w14:textId="3AFB55FF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>writing skills to record and describe observations</w:t>
            </w:r>
          </w:p>
          <w:p w14:paraId="3E0DE701" w14:textId="21687236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reading skills to interpret and follow: </w:t>
            </w:r>
          </w:p>
          <w:p w14:paraId="0092A023" w14:textId="4209B68A" w:rsidR="00A02C63" w:rsidRPr="00751C2A" w:rsidRDefault="00A02C63" w:rsidP="00751C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standard operating procedures and policies that clarify </w:t>
            </w:r>
            <w:r w:rsidR="009B481A" w:rsidRPr="00751C2A">
              <w:t xml:space="preserve">legal rights and responsibilities </w:t>
            </w:r>
            <w:r w:rsidRPr="00751C2A">
              <w:t xml:space="preserve">and </w:t>
            </w:r>
            <w:r w:rsidR="00F06468" w:rsidRPr="00751C2A">
              <w:t>WHS</w:t>
            </w:r>
            <w:r w:rsidRPr="00751C2A">
              <w:t xml:space="preserve"> requirements </w:t>
            </w:r>
          </w:p>
          <w:p w14:paraId="141606A8" w14:textId="4EB57BF2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speaking and listening skills to </w:t>
            </w:r>
            <w:r w:rsidR="00400861" w:rsidRPr="00751C2A">
              <w:t>ask questions and listen to answers to gain information or confirm understanding when communicating details of risk situations</w:t>
            </w:r>
          </w:p>
          <w:p w14:paraId="2C0A0764" w14:textId="13D53952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numeracy skills to </w:t>
            </w:r>
            <w:r w:rsidR="0085069B" w:rsidRPr="00751C2A">
              <w:t xml:space="preserve">estimate </w:t>
            </w:r>
            <w:r w:rsidRPr="00751C2A">
              <w:t>time</w:t>
            </w:r>
            <w:r w:rsidR="0085069B" w:rsidRPr="00751C2A">
              <w:t xml:space="preserve"> required to carry out security response procedures</w:t>
            </w:r>
          </w:p>
          <w:p w14:paraId="24E34907" w14:textId="4B115823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problem solving skills to </w:t>
            </w:r>
            <w:r w:rsidR="0085069B" w:rsidRPr="00751C2A">
              <w:t>match security response</w:t>
            </w:r>
            <w:r w:rsidR="00E95BA3">
              <w:t>s</w:t>
            </w:r>
            <w:r w:rsidR="0085069B" w:rsidRPr="00751C2A">
              <w:t xml:space="preserve"> to degree</w:t>
            </w:r>
            <w:r w:rsidR="00E95BA3">
              <w:t>s</w:t>
            </w:r>
            <w:r w:rsidR="0085069B" w:rsidRPr="00751C2A">
              <w:t xml:space="preserve"> of risk</w:t>
            </w:r>
          </w:p>
          <w:p w14:paraId="3BA0964C" w14:textId="0805DBD0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 xml:space="preserve">self-management skills to plan tasks to meet </w:t>
            </w:r>
            <w:r w:rsidR="00E95BA3">
              <w:t>response</w:t>
            </w:r>
            <w:r w:rsidRPr="00751C2A">
              <w:t xml:space="preserve"> requirements</w:t>
            </w:r>
          </w:p>
          <w:p w14:paraId="30A4EEBE" w14:textId="5C29C6C1" w:rsidR="00A02C63" w:rsidRPr="00751C2A" w:rsidRDefault="00A02C63" w:rsidP="00751C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51C2A">
              <w:t>teamwork skills to adjust personal communication styles in response to the opinions, values and needs of others</w:t>
            </w:r>
          </w:p>
        </w:tc>
      </w:tr>
      <w:tr w:rsidR="00A02C63" w:rsidRPr="00751C2A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A02C63" w:rsidRPr="00751C2A" w:rsidRDefault="00A02C63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4AF66CF7" w:rsidR="00A02C63" w:rsidRPr="00751C2A" w:rsidRDefault="0017621B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CPPSEC2004B Respond to security risk situation</w:t>
            </w:r>
          </w:p>
        </w:tc>
      </w:tr>
      <w:tr w:rsidR="00A02C63" w:rsidRPr="00751C2A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A02C63" w:rsidRPr="00751C2A" w:rsidRDefault="00A02C63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DDDB" w14:textId="77777777" w:rsidR="00F85CF4" w:rsidRPr="00934A93" w:rsidRDefault="00F85CF4" w:rsidP="00F85CF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5461C019" w:rsidR="00A02C63" w:rsidRPr="00751C2A" w:rsidRDefault="008F3C71" w:rsidP="00F85CF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F85CF4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751C2A" w:rsidRDefault="009F1256" w:rsidP="00751C2A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751C2A" w:rsidRDefault="009F1256" w:rsidP="00751C2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751C2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751C2A" w:rsidRDefault="009F1256" w:rsidP="00751C2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751C2A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751C2A" w:rsidRDefault="006A4F2F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A4DBBE3" w:rsidR="006A4F2F" w:rsidRPr="00751C2A" w:rsidRDefault="006A4F2F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4F6571" w:rsidRPr="00751C2A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E66B8" w:rsidRPr="00751C2A">
              <w:rPr>
                <w:rFonts w:eastAsia="Times New Roman" w:cs="Helvetica"/>
                <w:color w:val="333333"/>
                <w:lang w:eastAsia="en-AU"/>
              </w:rPr>
              <w:t xml:space="preserve">Apply risk assessment </w:t>
            </w:r>
            <w:r w:rsidR="00BF40D0" w:rsidRPr="00751C2A">
              <w:rPr>
                <w:rFonts w:eastAsia="Times New Roman" w:cs="Helvetica"/>
                <w:color w:val="333333"/>
                <w:lang w:eastAsia="en-AU"/>
              </w:rPr>
              <w:t xml:space="preserve">to select and </w:t>
            </w:r>
            <w:r w:rsidR="004E66B8" w:rsidRPr="00751C2A">
              <w:rPr>
                <w:rFonts w:eastAsia="Times New Roman" w:cs="Helvetica"/>
                <w:color w:val="333333"/>
                <w:lang w:eastAsia="en-AU"/>
              </w:rPr>
              <w:t>carry out response to security risk situations</w:t>
            </w:r>
          </w:p>
        </w:tc>
      </w:tr>
      <w:tr w:rsidR="006A4F2F" w:rsidRPr="00751C2A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751C2A" w:rsidRDefault="006A4F2F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751C2A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8A068" w14:textId="2701E64A" w:rsidR="00EF2EFE" w:rsidRPr="00751C2A" w:rsidRDefault="006A4F2F" w:rsidP="00751C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751C2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751C2A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5B46A4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662C7">
              <w:rPr>
                <w:rFonts w:asciiTheme="minorHAnsi" w:hAnsiTheme="minorHAnsi" w:cs="Helvetica"/>
                <w:color w:val="333333"/>
                <w:sz w:val="22"/>
              </w:rPr>
              <w:t xml:space="preserve">on two (2) separate occasions, </w:t>
            </w:r>
            <w:r w:rsidR="005B46A4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apply risk assessment to select and carry out </w:t>
            </w:r>
            <w:r w:rsidR="00F15261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appropriate </w:t>
            </w:r>
            <w:r w:rsidR="005B46A4" w:rsidRPr="00751C2A">
              <w:rPr>
                <w:rFonts w:asciiTheme="minorHAnsi" w:hAnsiTheme="minorHAnsi" w:cs="Helvetica"/>
                <w:color w:val="333333"/>
                <w:sz w:val="22"/>
              </w:rPr>
              <w:t>response</w:t>
            </w:r>
            <w:r w:rsidR="00BB3D1E" w:rsidRPr="00751C2A">
              <w:rPr>
                <w:rFonts w:asciiTheme="minorHAnsi" w:hAnsiTheme="minorHAnsi" w:cs="Helvetica"/>
                <w:color w:val="333333"/>
                <w:sz w:val="22"/>
              </w:rPr>
              <w:t>s</w:t>
            </w:r>
            <w:r w:rsidR="005B46A4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 to </w:t>
            </w:r>
            <w:r w:rsidR="003662C7">
              <w:rPr>
                <w:rFonts w:asciiTheme="minorHAnsi" w:hAnsiTheme="minorHAnsi" w:cs="Helvetica"/>
                <w:color w:val="333333"/>
                <w:sz w:val="22"/>
              </w:rPr>
              <w:t xml:space="preserve">two </w:t>
            </w:r>
            <w:r w:rsidR="003A5941">
              <w:rPr>
                <w:rFonts w:asciiTheme="minorHAnsi" w:hAnsiTheme="minorHAnsi" w:cs="Helvetica"/>
                <w:color w:val="333333"/>
                <w:sz w:val="22"/>
              </w:rPr>
              <w:t>(</w:t>
            </w:r>
            <w:r w:rsidR="003662C7">
              <w:rPr>
                <w:rFonts w:asciiTheme="minorHAnsi" w:hAnsiTheme="minorHAnsi" w:cs="Helvetica"/>
                <w:color w:val="333333"/>
                <w:sz w:val="22"/>
              </w:rPr>
              <w:t>2</w:t>
            </w:r>
            <w:r w:rsidR="003A5941">
              <w:rPr>
                <w:rFonts w:asciiTheme="minorHAnsi" w:hAnsiTheme="minorHAnsi" w:cs="Helvetica"/>
                <w:color w:val="333333"/>
                <w:sz w:val="22"/>
              </w:rPr>
              <w:t>)</w:t>
            </w:r>
            <w:r w:rsidR="00583A0F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9F2932"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different </w:t>
            </w:r>
            <w:r w:rsidR="005B46A4" w:rsidRPr="00751C2A">
              <w:rPr>
                <w:rFonts w:asciiTheme="minorHAnsi" w:hAnsiTheme="minorHAnsi" w:cs="Helvetica"/>
                <w:color w:val="333333"/>
                <w:sz w:val="22"/>
              </w:rPr>
              <w:t>security risk situations</w:t>
            </w:r>
            <w:r w:rsidR="00E5137C">
              <w:rPr>
                <w:rFonts w:asciiTheme="minorHAnsi" w:hAnsiTheme="minorHAnsi" w:cs="Helvetica"/>
                <w:color w:val="333333"/>
                <w:sz w:val="22"/>
              </w:rPr>
              <w:t>.  On each occasion:</w:t>
            </w:r>
          </w:p>
          <w:p w14:paraId="163935EC" w14:textId="31083BB7" w:rsidR="00EF2EFE" w:rsidRPr="00751C2A" w:rsidRDefault="00EF2EFE" w:rsidP="00751C2A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751C2A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3A5941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="00E5137C">
              <w:rPr>
                <w:rFonts w:asciiTheme="minorHAnsi" w:hAnsiTheme="minorHAnsi" w:cs="Helvetica"/>
                <w:color w:val="333333"/>
                <w:sz w:val="22"/>
              </w:rPr>
              <w:t xml:space="preserve"> risk situation</w:t>
            </w:r>
            <w:r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 involving a suspicious package in a public area</w:t>
            </w:r>
          </w:p>
          <w:p w14:paraId="63BBE085" w14:textId="7888D02B" w:rsidR="00EF2EFE" w:rsidRPr="00751C2A" w:rsidRDefault="00EF2EFE" w:rsidP="00751C2A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751C2A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3A5941">
              <w:rPr>
                <w:rFonts w:asciiTheme="minorHAnsi" w:hAnsiTheme="minorHAnsi" w:cs="Helvetica"/>
                <w:color w:val="333333"/>
                <w:sz w:val="22"/>
              </w:rPr>
              <w:t xml:space="preserve"> (1)</w:t>
            </w:r>
            <w:r w:rsidRPr="00751C2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E5137C">
              <w:rPr>
                <w:rFonts w:asciiTheme="minorHAnsi" w:hAnsiTheme="minorHAnsi" w:cs="Helvetica"/>
                <w:color w:val="333333"/>
                <w:sz w:val="22"/>
              </w:rPr>
              <w:t xml:space="preserve">risk situation </w:t>
            </w:r>
            <w:r w:rsidRPr="00751C2A">
              <w:rPr>
                <w:rFonts w:asciiTheme="minorHAnsi" w:hAnsiTheme="minorHAnsi" w:cs="Helvetica"/>
                <w:color w:val="333333"/>
                <w:sz w:val="22"/>
              </w:rPr>
              <w:t>involving a person behaving in an aggressive and threatening manner</w:t>
            </w:r>
          </w:p>
          <w:p w14:paraId="4A691E81" w14:textId="6C6FE786" w:rsidR="003A5941" w:rsidRPr="000D3D7D" w:rsidRDefault="000D3D7D" w:rsidP="000D3D7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0D3D7D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751C2A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751C2A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751C2A" w:rsidRDefault="007F6766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751C2A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751C2A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4BE3F451" w14:textId="77777777" w:rsidR="00145F21" w:rsidRPr="00751C2A" w:rsidRDefault="00145F21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5494CEA0" w14:textId="77777777" w:rsidR="00D65F1D" w:rsidRPr="00751C2A" w:rsidRDefault="00D65F1D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0320926F" w14:textId="077CAA10" w:rsidR="00145F21" w:rsidRPr="00751C2A" w:rsidRDefault="00145F21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D7D6190" w14:textId="77777777" w:rsidR="006D0625" w:rsidRPr="00751C2A" w:rsidRDefault="006D0625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1D390C8" w14:textId="794B6FE9" w:rsidR="00145F21" w:rsidRPr="00751C2A" w:rsidRDefault="00145F21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E113CF2" w14:textId="583E1166" w:rsidR="006678E0" w:rsidRPr="00751C2A" w:rsidRDefault="003A5941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use of self-</w:t>
            </w:r>
            <w:r w:rsidR="006678E0" w:rsidRPr="00751C2A">
              <w:rPr>
                <w:rFonts w:eastAsia="Times New Roman" w:cs="Helvetica"/>
                <w:bCs/>
                <w:color w:val="333333"/>
                <w:lang w:eastAsia="en-AU"/>
              </w:rPr>
              <w:t>defence techniques</w:t>
            </w:r>
          </w:p>
          <w:p w14:paraId="5C663873" w14:textId="3F58FFA3" w:rsidR="00145F21" w:rsidRPr="00751C2A" w:rsidRDefault="00145F21" w:rsidP="00751C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447F0B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71220424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325EBCCA" w14:textId="7A6FD647" w:rsidR="00271859" w:rsidRPr="00751C2A" w:rsidRDefault="00271859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approved security response options</w:t>
            </w:r>
          </w:p>
          <w:p w14:paraId="4BBF98D0" w14:textId="676207E0" w:rsidR="00DF10E4" w:rsidRPr="00751C2A" w:rsidRDefault="00DF10E4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understanding of the force </w:t>
            </w:r>
            <w:r w:rsidR="00D20F99" w:rsidRPr="00751C2A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1696061E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methods and reasons for securing and preserving an incident scene</w:t>
            </w:r>
          </w:p>
          <w:p w14:paraId="14755836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potential adverse health effects arising from the use of force or physical restraint including positional asphyxia</w:t>
            </w:r>
          </w:p>
          <w:p w14:paraId="74C5C2A4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 personnel</w:t>
            </w:r>
          </w:p>
          <w:p w14:paraId="7764F75F" w14:textId="4B8BC4EF" w:rsidR="006904CE" w:rsidRPr="003A5941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signs and indicators of stress</w:t>
            </w:r>
          </w:p>
          <w:p w14:paraId="1BDD393B" w14:textId="15F14688" w:rsidR="003A5941" w:rsidRPr="003A5941" w:rsidRDefault="003A5941" w:rsidP="003A5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techniques for recognising and controlling own stress</w:t>
            </w:r>
          </w:p>
          <w:p w14:paraId="7772E9D9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steps involved in basic risk assessment and how they are applied</w:t>
            </w:r>
          </w:p>
          <w:p w14:paraId="3731C851" w14:textId="77777777" w:rsidR="006904CE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</w:p>
          <w:p w14:paraId="31EC32D8" w14:textId="4019A585" w:rsidR="009F1256" w:rsidRPr="00751C2A" w:rsidRDefault="006904CE" w:rsidP="00751C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Cs/>
                <w:color w:val="333333"/>
                <w:lang w:eastAsia="en-AU"/>
              </w:rPr>
              <w:t>types of security risks that may be present in the work environment</w:t>
            </w:r>
          </w:p>
        </w:tc>
      </w:tr>
      <w:bookmarkEnd w:id="1"/>
      <w:tr w:rsidR="009F1256" w:rsidRPr="00751C2A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751C2A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61D2FC2C" w:rsidR="009F1256" w:rsidRPr="00751C2A" w:rsidRDefault="00901025" w:rsidP="00751C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 </w:t>
            </w:r>
            <w:r w:rsidR="009F1256" w:rsidRPr="00751C2A">
              <w:rPr>
                <w:rFonts w:eastAsia="Times New Roman" w:cs="Helvetica"/>
                <w:color w:val="333333"/>
                <w:lang w:eastAsia="en-AU"/>
              </w:rPr>
              <w:t>Tasks are to be performed to the level of proficiency and within the time limits that would be expected in a workplace.</w:t>
            </w:r>
          </w:p>
          <w:p w14:paraId="248A5AEC" w14:textId="4531887F" w:rsidR="009F1256" w:rsidRPr="00751C2A" w:rsidRDefault="009F1256" w:rsidP="00751C2A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751C2A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751C2A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41332AB" w:rsidR="00E95615" w:rsidRPr="00751C2A" w:rsidRDefault="00E95615" w:rsidP="00751C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51C2A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751C2A">
              <w:rPr>
                <w:rFonts w:eastAsia="Calibri" w:cs="Arial"/>
                <w:lang w:val="en-US"/>
              </w:rPr>
              <w:t xml:space="preserve"> </w:t>
            </w:r>
            <w:r w:rsidR="005E28DB" w:rsidRPr="00751C2A">
              <w:rPr>
                <w:rFonts w:eastAsia="Calibri" w:cs="Arial"/>
              </w:rPr>
              <w:t>apply</w:t>
            </w:r>
            <w:r w:rsidR="00952E87" w:rsidRPr="00751C2A">
              <w:rPr>
                <w:rFonts w:eastAsia="Calibri" w:cs="Arial"/>
              </w:rPr>
              <w:t xml:space="preserve"> risk assessment to select and carry out response to security risk situations</w:t>
            </w:r>
          </w:p>
          <w:p w14:paraId="089FD987" w14:textId="68100937" w:rsidR="00E95615" w:rsidRPr="00751C2A" w:rsidRDefault="00E95615" w:rsidP="00751C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51C2A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7D2A91" w:rsidRPr="00751C2A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32EFC73E" w:rsidR="009F1256" w:rsidRPr="00751C2A" w:rsidRDefault="00324AD5" w:rsidP="00751C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51C2A">
              <w:rPr>
                <w:rFonts w:eastAsia="Calibri" w:cs="Arial"/>
                <w:lang w:val="en-US"/>
              </w:rPr>
              <w:t>standard operating procedures</w:t>
            </w:r>
            <w:r w:rsidR="001B5C5A" w:rsidRPr="00751C2A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751C2A">
              <w:rPr>
                <w:rFonts w:eastAsia="Calibri" w:cs="Arial"/>
                <w:lang w:val="en-US"/>
              </w:rPr>
              <w:t>related</w:t>
            </w:r>
            <w:r w:rsidR="00164F7D" w:rsidRPr="00751C2A">
              <w:rPr>
                <w:rFonts w:eastAsia="Calibri" w:cs="Arial"/>
                <w:lang w:val="en-US"/>
              </w:rPr>
              <w:t xml:space="preserve"> </w:t>
            </w:r>
            <w:r w:rsidR="00CE5B60" w:rsidRPr="00751C2A">
              <w:rPr>
                <w:rFonts w:eastAsia="Calibri" w:cs="Arial"/>
                <w:lang w:val="en-US"/>
              </w:rPr>
              <w:t xml:space="preserve">to </w:t>
            </w:r>
            <w:r w:rsidR="004E72FD" w:rsidRPr="00751C2A">
              <w:rPr>
                <w:rFonts w:eastAsia="Calibri" w:cs="Arial"/>
                <w:lang w:val="en-US"/>
              </w:rPr>
              <w:t xml:space="preserve">the security </w:t>
            </w:r>
            <w:r w:rsidR="001B5C5A" w:rsidRPr="00751C2A">
              <w:rPr>
                <w:rFonts w:eastAsia="Calibri" w:cs="Arial"/>
                <w:lang w:val="en-US"/>
              </w:rPr>
              <w:t xml:space="preserve">work </w:t>
            </w:r>
            <w:r w:rsidR="004E72FD" w:rsidRPr="00751C2A">
              <w:rPr>
                <w:rFonts w:eastAsia="Calibri" w:cs="Arial"/>
                <w:lang w:val="en-US"/>
              </w:rPr>
              <w:t>role</w:t>
            </w:r>
            <w:r w:rsidR="00EE1D14" w:rsidRPr="00751C2A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751C2A" w14:paraId="354A02C2" w14:textId="77777777" w:rsidTr="00495A3E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751C2A" w:rsidRDefault="009F1256" w:rsidP="00751C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51C2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0748" w14:textId="77777777" w:rsidR="00F85CF4" w:rsidRPr="00934A93" w:rsidRDefault="00F85CF4" w:rsidP="00F85CF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3D060410" w:rsidR="009F1256" w:rsidRPr="00751C2A" w:rsidRDefault="008F3C71" w:rsidP="00F85CF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F85CF4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751C2A" w:rsidRDefault="000E2AAE" w:rsidP="00751C2A">
      <w:pPr>
        <w:spacing w:before="120" w:after="120" w:line="240" w:lineRule="auto"/>
      </w:pPr>
    </w:p>
    <w:p w14:paraId="31A71376" w14:textId="77777777" w:rsidR="000E2AAE" w:rsidRPr="00751C2A" w:rsidRDefault="000E2AAE" w:rsidP="00751C2A">
      <w:pPr>
        <w:spacing w:before="120" w:after="120" w:line="240" w:lineRule="auto"/>
      </w:pPr>
      <w:r w:rsidRPr="00751C2A">
        <w:br w:type="page"/>
      </w:r>
    </w:p>
    <w:p w14:paraId="2BD08923" w14:textId="71A253FB" w:rsidR="00AA521C" w:rsidRPr="00751C2A" w:rsidRDefault="008F3C71" w:rsidP="00751C2A">
      <w:pPr>
        <w:spacing w:before="120" w:after="120" w:line="240" w:lineRule="auto"/>
      </w:pPr>
    </w:p>
    <w:p w14:paraId="1CA2991D" w14:textId="77777777" w:rsidR="000E2AAE" w:rsidRPr="00751C2A" w:rsidRDefault="000E2AAE" w:rsidP="00751C2A">
      <w:pPr>
        <w:spacing w:before="120" w:after="120" w:line="240" w:lineRule="auto"/>
        <w:rPr>
          <w:rFonts w:eastAsia="Calibri" w:cs="Times New Roman"/>
        </w:rPr>
      </w:pPr>
      <w:r w:rsidRPr="00751C2A">
        <w:rPr>
          <w:rFonts w:eastAsia="Calibri" w:cs="Times New Roman"/>
        </w:rPr>
        <w:t>For inclusion in separate Companion Volume: Range Statements</w:t>
      </w:r>
    </w:p>
    <w:tbl>
      <w:tblPr>
        <w:tblW w:w="4949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056"/>
      </w:tblGrid>
      <w:tr w:rsidR="000E2AAE" w:rsidRPr="00751C2A" w14:paraId="0BCCB12C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30CBB8AA" w:rsidR="000E2AAE" w:rsidRPr="00751C2A" w:rsidRDefault="007D2A91" w:rsidP="00751C2A">
            <w:pPr>
              <w:spacing w:before="120" w:after="120" w:line="240" w:lineRule="auto"/>
              <w:rPr>
                <w:rFonts w:eastAsia="Calibri" w:cs="Calibri"/>
              </w:rPr>
            </w:pPr>
            <w:r w:rsidRPr="00751C2A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0E2AAE" w:rsidRPr="00751C2A">
              <w:rPr>
                <w:rFonts w:eastAsia="Calibri" w:cs="Calibri"/>
              </w:rPr>
              <w:t xml:space="preserve">may </w:t>
            </w:r>
            <w:r w:rsidR="00374339" w:rsidRPr="00751C2A">
              <w:rPr>
                <w:rFonts w:eastAsia="Calibri" w:cs="Calibri"/>
              </w:rPr>
              <w:t>relate to</w:t>
            </w:r>
            <w:r w:rsidR="000E2AAE" w:rsidRPr="00751C2A">
              <w:rPr>
                <w:rFonts w:eastAsia="Calibri" w:cs="Calibri"/>
              </w:rPr>
              <w:t>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C952F" w14:textId="77777777" w:rsidR="00313DC9" w:rsidRPr="00751C2A" w:rsidRDefault="00313DC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25EFF418" w14:textId="77777777" w:rsidR="002706FF" w:rsidRPr="00751C2A" w:rsidRDefault="002706FF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D417878" w14:textId="265F0282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5090B908" w14:textId="77777777" w:rsidR="00313DC9" w:rsidRPr="00751C2A" w:rsidRDefault="00313DC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751C2A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751C2A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751C2A" w:rsidRDefault="00F06A70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08957FA4" w14:textId="469C759D" w:rsidR="002F212F" w:rsidRPr="00751C2A" w:rsidRDefault="002F212F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7DFD7A58" w14:textId="1A5AEAAF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751C2A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1EFDA965" w:rsidR="009922D9" w:rsidRPr="00751C2A" w:rsidRDefault="009922D9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447F0B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751C2A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0E2AAE" w:rsidRPr="00751C2A" w14:paraId="09550B05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2CE88DE1" w:rsidR="000E2AAE" w:rsidRPr="00751C2A" w:rsidRDefault="008C24F9" w:rsidP="00751C2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51C2A">
              <w:rPr>
                <w:rFonts w:eastAsia="Calibri" w:cs="Calibri"/>
                <w:b/>
                <w:i/>
              </w:rPr>
              <w:t>Environmental factors</w:t>
            </w:r>
            <w:r w:rsidR="000E2AAE" w:rsidRPr="00751C2A">
              <w:rPr>
                <w:rFonts w:eastAsia="Calibri" w:cs="Calibri"/>
                <w:b/>
                <w:i/>
              </w:rPr>
              <w:t xml:space="preserve"> </w:t>
            </w:r>
            <w:r w:rsidR="000E2AAE" w:rsidRPr="00751C2A">
              <w:rPr>
                <w:rFonts w:eastAsia="Calibri" w:cs="Calibri"/>
              </w:rPr>
              <w:t>may relate to: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50F3B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access to assistance and resources</w:t>
            </w:r>
          </w:p>
          <w:p w14:paraId="77160686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availability of exits and opportunities for evacuation and escape</w:t>
            </w:r>
          </w:p>
          <w:p w14:paraId="23053673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critical infrastructure</w:t>
            </w:r>
          </w:p>
          <w:p w14:paraId="1A06963F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crowd movement and mass gatherings</w:t>
            </w:r>
          </w:p>
          <w:p w14:paraId="09BEB8C5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different degrees of light including low light and darkness</w:t>
            </w:r>
          </w:p>
          <w:p w14:paraId="74C314C9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luggage</w:t>
            </w:r>
          </w:p>
          <w:p w14:paraId="7B015E33" w14:textId="79FE1FF1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materials</w:t>
            </w:r>
            <w:r w:rsidR="00ED6C0C" w:rsidRPr="00751C2A">
              <w:rPr>
                <w:rFonts w:eastAsia="Times New Roman" w:cs="Calibri"/>
                <w:color w:val="333333"/>
                <w:lang w:eastAsia="en-AU"/>
              </w:rPr>
              <w:t xml:space="preserve"> in the area</w:t>
            </w:r>
          </w:p>
          <w:p w14:paraId="7E87BC0A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people demonstrating behaviours of concern</w:t>
            </w:r>
          </w:p>
          <w:p w14:paraId="3845D307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presence of several sources of threat</w:t>
            </w:r>
          </w:p>
          <w:p w14:paraId="69BD9612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presence of suspicious packages, plant, vehicles, equipment or people</w:t>
            </w:r>
          </w:p>
          <w:p w14:paraId="29332B46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shopping bags</w:t>
            </w:r>
          </w:p>
          <w:p w14:paraId="747093F2" w14:textId="2ED7FCA5" w:rsidR="00E248BD" w:rsidRPr="00751C2A" w:rsidRDefault="00E248BD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 xml:space="preserve">screens and </w:t>
            </w:r>
            <w:r w:rsidR="001A721E" w:rsidRPr="00751C2A">
              <w:rPr>
                <w:rFonts w:eastAsia="Times New Roman" w:cs="Calibri"/>
                <w:color w:val="333333"/>
                <w:lang w:eastAsia="en-AU"/>
              </w:rPr>
              <w:t>closed-circuit</w:t>
            </w:r>
            <w:r w:rsidRPr="00751C2A">
              <w:rPr>
                <w:rFonts w:eastAsia="Times New Roman" w:cs="Calibri"/>
                <w:color w:val="333333"/>
                <w:lang w:eastAsia="en-AU"/>
              </w:rPr>
              <w:t xml:space="preserve"> television (CCTV)</w:t>
            </w:r>
          </w:p>
          <w:p w14:paraId="2B0FE423" w14:textId="32940AD6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time of day</w:t>
            </w:r>
          </w:p>
          <w:p w14:paraId="1BAFE60A" w14:textId="77777777" w:rsidR="00AB6803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vehicle movements</w:t>
            </w:r>
          </w:p>
          <w:p w14:paraId="62559C2B" w14:textId="593E263B" w:rsidR="000E2AAE" w:rsidRPr="00751C2A" w:rsidRDefault="00AB6803" w:rsidP="00751C2A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weather</w:t>
            </w:r>
          </w:p>
        </w:tc>
      </w:tr>
      <w:tr w:rsidR="000E2AAE" w:rsidRPr="00751C2A" w14:paraId="7E413103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479CA" w14:textId="7E3A2049" w:rsidR="000E2AAE" w:rsidRPr="00751C2A" w:rsidRDefault="00A110ED" w:rsidP="00751C2A">
            <w:pPr>
              <w:spacing w:before="120" w:after="120" w:line="240" w:lineRule="auto"/>
              <w:rPr>
                <w:rFonts w:eastAsia="Calibri" w:cs="Calibri"/>
              </w:rPr>
            </w:pPr>
            <w:r w:rsidRPr="00751C2A">
              <w:rPr>
                <w:rFonts w:eastAsia="Calibri" w:cs="Calibri"/>
                <w:b/>
                <w:i/>
              </w:rPr>
              <w:t xml:space="preserve">Security risk situation </w:t>
            </w:r>
            <w:r w:rsidR="000E2AAE" w:rsidRPr="00751C2A">
              <w:rPr>
                <w:rFonts w:eastAsia="Calibri" w:cs="Calibri"/>
              </w:rPr>
              <w:t>may relate to: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DB41D" w14:textId="69A578FB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biological hazards</w:t>
            </w:r>
          </w:p>
          <w:p w14:paraId="3363904E" w14:textId="0C1F15FF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bomb threats</w:t>
            </w:r>
          </w:p>
          <w:p w14:paraId="0DA3DD07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chemical spills</w:t>
            </w:r>
          </w:p>
          <w:p w14:paraId="6262FD1A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electrical faults</w:t>
            </w:r>
          </w:p>
          <w:p w14:paraId="0A94CB0E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explosives</w:t>
            </w:r>
          </w:p>
          <w:p w14:paraId="7DC7CEA6" w14:textId="77777777" w:rsidR="00B90994" w:rsidRPr="00751C2A" w:rsidRDefault="00B90994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fire accelerants</w:t>
            </w:r>
          </w:p>
          <w:p w14:paraId="093E8E30" w14:textId="705DA73A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injury to personnel</w:t>
            </w:r>
          </w:p>
          <w:p w14:paraId="53E544AB" w14:textId="29136FAA" w:rsidR="00F40CC7" w:rsidRPr="00751C2A" w:rsidRDefault="00F40CC7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mass gatherings</w:t>
            </w:r>
          </w:p>
          <w:p w14:paraId="3FE18075" w14:textId="6E5F93DB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noise, light, heat or smoke</w:t>
            </w:r>
          </w:p>
          <w:p w14:paraId="4909EB1C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carrying weapons</w:t>
            </w:r>
          </w:p>
          <w:p w14:paraId="1C8D6C83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causing a public nuisance</w:t>
            </w:r>
          </w:p>
          <w:p w14:paraId="7888A12C" w14:textId="6A5470AE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demonstrating suspicious</w:t>
            </w:r>
            <w:r w:rsidR="003C1B77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, aggressive or violent</w:t>
            </w: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behaviour</w:t>
            </w:r>
          </w:p>
          <w:p w14:paraId="2C9C0F0B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suffering from emotional or physical distress</w:t>
            </w:r>
          </w:p>
          <w:p w14:paraId="79F9EEC9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under the influence of intoxicating substances</w:t>
            </w:r>
          </w:p>
          <w:p w14:paraId="044A9467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with criminal intent</w:t>
            </w:r>
          </w:p>
          <w:p w14:paraId="3C2BDECD" w14:textId="6A4B3EE6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persons, vehicles, plant or equipment in unsuitable locations</w:t>
            </w:r>
          </w:p>
          <w:p w14:paraId="7A0F3ED4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prohibited and dangerous items</w:t>
            </w:r>
          </w:p>
          <w:p w14:paraId="35EA3B7C" w14:textId="77777777" w:rsidR="00A110ED" w:rsidRPr="00751C2A" w:rsidRDefault="00A110ED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suspicious packages or substances</w:t>
            </w:r>
          </w:p>
          <w:p w14:paraId="32A4FB15" w14:textId="404D87E4" w:rsidR="000E2AAE" w:rsidRPr="00751C2A" w:rsidRDefault="00A110ED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terrorism</w:t>
            </w:r>
            <w:r w:rsidR="003C1B77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</w:t>
            </w:r>
            <w:r w:rsidR="00271D82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threats or </w:t>
            </w:r>
            <w:r w:rsidR="003C1B77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activity</w:t>
            </w:r>
            <w:r w:rsidR="00F26BC8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such as vehicles entering a mall</w:t>
            </w:r>
          </w:p>
        </w:tc>
      </w:tr>
      <w:tr w:rsidR="002339EC" w:rsidRPr="00751C2A" w14:paraId="13845184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2453C574" w:rsidR="002339EC" w:rsidRPr="00751C2A" w:rsidRDefault="00A02C63" w:rsidP="00751C2A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751C2A">
              <w:rPr>
                <w:rStyle w:val="BoldandItalics"/>
              </w:rPr>
              <w:t xml:space="preserve">Security response </w:t>
            </w:r>
            <w:r w:rsidR="002339EC" w:rsidRPr="00751C2A">
              <w:rPr>
                <w:rStyle w:val="BoldandItalics"/>
                <w:b w:val="0"/>
                <w:i w:val="0"/>
              </w:rPr>
              <w:t xml:space="preserve">may </w:t>
            </w:r>
            <w:r w:rsidRPr="00751C2A">
              <w:rPr>
                <w:rStyle w:val="BoldandItalics"/>
                <w:b w:val="0"/>
                <w:i w:val="0"/>
              </w:rPr>
              <w:t>involve</w:t>
            </w:r>
            <w:r w:rsidR="002339EC" w:rsidRPr="00751C2A">
              <w:rPr>
                <w:rStyle w:val="BoldandItalics"/>
                <w:b w:val="0"/>
                <w:i w:val="0"/>
              </w:rPr>
              <w:t>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110C1" w14:textId="4C4ECA0C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apprehension of persons</w:t>
            </w:r>
          </w:p>
          <w:p w14:paraId="23DC6BEB" w14:textId="77777777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establishing a sterile area</w:t>
            </w:r>
          </w:p>
          <w:p w14:paraId="5A24EBDD" w14:textId="77777777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evacuating the premises</w:t>
            </w:r>
          </w:p>
          <w:p w14:paraId="55796C4A" w14:textId="1B6CE383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isolating risk or area of potential risk</w:t>
            </w:r>
          </w:p>
          <w:p w14:paraId="4D321439" w14:textId="77777777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negotiation to defuse conflict or risk</w:t>
            </w:r>
          </w:p>
          <w:p w14:paraId="58FEFF2D" w14:textId="0CDB1E9D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notifying emergency services personnel</w:t>
            </w:r>
          </w:p>
          <w:p w14:paraId="49903B90" w14:textId="77777777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providing access for emergency services</w:t>
            </w:r>
          </w:p>
          <w:p w14:paraId="3D49D177" w14:textId="77165B01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providing first aid</w:t>
            </w:r>
          </w:p>
          <w:p w14:paraId="53F58704" w14:textId="4E4AB7D0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requesting support or assistance </w:t>
            </w:r>
          </w:p>
          <w:p w14:paraId="0D49748E" w14:textId="237A898C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restraint of persons</w:t>
            </w:r>
          </w:p>
          <w:p w14:paraId="560925BB" w14:textId="00EEABA0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of persons</w:t>
            </w:r>
          </w:p>
          <w:p w14:paraId="37F94EFA" w14:textId="77777777" w:rsidR="00301690" w:rsidRPr="00751C2A" w:rsidRDefault="00301690" w:rsidP="00751C2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tactical withdrawal</w:t>
            </w:r>
          </w:p>
          <w:p w14:paraId="22117A0F" w14:textId="7963033A" w:rsidR="005F30CA" w:rsidRPr="00751C2A" w:rsidRDefault="00301690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use of </w:t>
            </w:r>
            <w:r w:rsidR="003F69FC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personal defence strategies</w:t>
            </w:r>
          </w:p>
        </w:tc>
      </w:tr>
      <w:tr w:rsidR="00C7383C" w:rsidRPr="00751C2A" w14:paraId="1A5581A1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8F53C" w14:textId="77777777" w:rsidR="00C7383C" w:rsidRPr="00751C2A" w:rsidRDefault="00C7383C" w:rsidP="00751C2A">
            <w:pPr>
              <w:spacing w:before="120" w:after="120" w:line="240" w:lineRule="auto"/>
              <w:rPr>
                <w:rFonts w:eastAsia="Calibri" w:cs="Calibri"/>
              </w:rPr>
            </w:pPr>
            <w:r w:rsidRPr="00751C2A">
              <w:rPr>
                <w:rFonts w:eastAsia="Calibri" w:cs="Calibri"/>
                <w:b/>
                <w:i/>
              </w:rPr>
              <w:t>Relevant persons</w:t>
            </w:r>
            <w:r w:rsidRPr="00751C2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4CE11" w14:textId="77777777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502691F" w14:textId="77777777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2887A959" w14:textId="77777777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77788210" w14:textId="77777777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specialist personnel</w:t>
            </w:r>
          </w:p>
          <w:p w14:paraId="65228BA2" w14:textId="77777777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  <w:p w14:paraId="7953AE60" w14:textId="667FBA42" w:rsidR="00C7383C" w:rsidRPr="00751C2A" w:rsidRDefault="00C7383C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technical experts</w:t>
            </w:r>
          </w:p>
        </w:tc>
      </w:tr>
      <w:tr w:rsidR="00D944A6" w:rsidRPr="00751C2A" w14:paraId="32702F92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93D0" w14:textId="0C246F91" w:rsidR="00D944A6" w:rsidRPr="00751C2A" w:rsidRDefault="00D944A6" w:rsidP="00751C2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51C2A">
              <w:rPr>
                <w:rStyle w:val="BoldandItalics"/>
              </w:rPr>
              <w:t xml:space="preserve">Security equipment </w:t>
            </w:r>
            <w:r w:rsidRPr="00751C2A">
              <w:rPr>
                <w:rStyle w:val="SpecialBold"/>
                <w:b w:val="0"/>
              </w:rPr>
              <w:t>may include</w:t>
            </w:r>
            <w:r w:rsidRPr="00751C2A">
              <w:rPr>
                <w:b/>
              </w:rPr>
              <w:t>:</w:t>
            </w:r>
            <w:r w:rsidRPr="00751C2A">
              <w:t xml:space="preserve"> 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DB61C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batons</w:t>
            </w:r>
          </w:p>
          <w:p w14:paraId="56604E20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communication equipment:</w:t>
            </w:r>
          </w:p>
          <w:p w14:paraId="47A20880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2E2CFF67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0F4ED149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1B71DE0F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handcuffs</w:t>
            </w:r>
          </w:p>
          <w:p w14:paraId="7A609FE4" w14:textId="0FCE4614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personal protective equipment (PPE):</w:t>
            </w:r>
          </w:p>
          <w:p w14:paraId="67E2E1BD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high visibility vest</w:t>
            </w:r>
          </w:p>
          <w:p w14:paraId="05FB0FDE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0B9C62F6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slash proof gloves</w:t>
            </w:r>
          </w:p>
          <w:p w14:paraId="098D2A66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security equipment:</w:t>
            </w:r>
          </w:p>
          <w:p w14:paraId="07A032EC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27CE2D20" w14:textId="77777777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2B88995C" w14:textId="4D196F49" w:rsidR="00D944A6" w:rsidRPr="00751C2A" w:rsidRDefault="00D944A6" w:rsidP="00751C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51C2A">
              <w:rPr>
                <w:rFonts w:eastAsia="Times New Roman" w:cs="Calibri"/>
                <w:color w:val="333333"/>
                <w:lang w:eastAsia="en-AU"/>
              </w:rPr>
              <w:t>spray</w:t>
            </w:r>
          </w:p>
        </w:tc>
      </w:tr>
      <w:tr w:rsidR="00961D28" w:rsidRPr="00751C2A" w14:paraId="18AB8977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477D9" w14:textId="5A7CD8AC" w:rsidR="00961D28" w:rsidRPr="00751C2A" w:rsidRDefault="00961D28" w:rsidP="00751C2A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751C2A">
              <w:rPr>
                <w:rStyle w:val="BoldandItalics"/>
              </w:rPr>
              <w:t xml:space="preserve">Effects of stress </w:t>
            </w:r>
            <w:r w:rsidRPr="00751C2A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FD007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being distracted</w:t>
            </w:r>
          </w:p>
          <w:p w14:paraId="7DBC7568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frustration</w:t>
            </w:r>
          </w:p>
          <w:p w14:paraId="41F100F4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negative body language</w:t>
            </w:r>
          </w:p>
          <w:p w14:paraId="55BE7950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inability to concentrate</w:t>
            </w:r>
          </w:p>
          <w:p w14:paraId="0740E8C1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over-talking</w:t>
            </w:r>
          </w:p>
          <w:p w14:paraId="602DDCCC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showing increasing aggression</w:t>
            </w:r>
          </w:p>
          <w:p w14:paraId="5A7C7026" w14:textId="7777777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tiredness </w:t>
            </w:r>
          </w:p>
          <w:p w14:paraId="72E74D2D" w14:textId="66A71689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minimal </w:t>
            </w:r>
            <w:r w:rsidR="009F4376"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spoken</w:t>
            </w: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communication</w:t>
            </w:r>
          </w:p>
          <w:p w14:paraId="7D96AE59" w14:textId="63CF2047" w:rsidR="00961D28" w:rsidRPr="00751C2A" w:rsidRDefault="00961D28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uncoordinated</w:t>
            </w:r>
            <w:r w:rsidRPr="00751C2A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 xml:space="preserve"> movements</w:t>
            </w:r>
          </w:p>
        </w:tc>
      </w:tr>
      <w:tr w:rsidR="00961D28" w:rsidRPr="00751C2A" w14:paraId="61F23DD5" w14:textId="77777777" w:rsidTr="001A721E"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74A0F" w14:textId="13EA6773" w:rsidR="00961D28" w:rsidRPr="00751C2A" w:rsidRDefault="00961D28" w:rsidP="00751C2A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751C2A">
              <w:rPr>
                <w:rStyle w:val="BoldandItalics"/>
              </w:rPr>
              <w:t>Stress management techniques</w:t>
            </w:r>
            <w:r w:rsidRPr="00751C2A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05A96" w14:textId="77777777" w:rsidR="00B22EE9" w:rsidRPr="00751C2A" w:rsidRDefault="00B22EE9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counselling</w:t>
            </w:r>
          </w:p>
          <w:p w14:paraId="222FE6F0" w14:textId="77777777" w:rsidR="00B22EE9" w:rsidRPr="00751C2A" w:rsidRDefault="00B22EE9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formal debriefing processes</w:t>
            </w:r>
          </w:p>
          <w:p w14:paraId="22BB52BE" w14:textId="1D4AAB19" w:rsidR="00B22EE9" w:rsidRPr="00751C2A" w:rsidRDefault="00B22EE9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conscious use of personal recreational activities such as exercise</w:t>
            </w:r>
          </w:p>
          <w:p w14:paraId="0761F66E" w14:textId="77777777" w:rsidR="00B22EE9" w:rsidRPr="00751C2A" w:rsidRDefault="00B22EE9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informal exploration of incidents with team members and supporters</w:t>
            </w:r>
          </w:p>
          <w:p w14:paraId="4DD0E51C" w14:textId="1C163F0D" w:rsidR="00961D28" w:rsidRPr="00751C2A" w:rsidRDefault="00B22EE9" w:rsidP="00751C2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751C2A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 xml:space="preserve">reviewing </w:t>
            </w:r>
            <w:r w:rsidRPr="00751C2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practices, procedures</w:t>
            </w:r>
            <w:r w:rsidRPr="00751C2A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 xml:space="preserve"> and resources to identify improvements</w:t>
            </w:r>
          </w:p>
        </w:tc>
      </w:tr>
    </w:tbl>
    <w:p w14:paraId="3F81E730" w14:textId="77777777" w:rsidR="000E2AAE" w:rsidRPr="00751C2A" w:rsidRDefault="000E2AAE" w:rsidP="00751C2A">
      <w:pPr>
        <w:spacing w:before="120" w:after="120" w:line="240" w:lineRule="auto"/>
      </w:pPr>
    </w:p>
    <w:sectPr w:rsidR="000E2AAE" w:rsidRPr="0075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EC7E" w14:textId="77777777" w:rsidR="008F3C71" w:rsidRDefault="008F3C71" w:rsidP="008B6BD6">
      <w:pPr>
        <w:spacing w:after="0" w:line="240" w:lineRule="auto"/>
      </w:pPr>
      <w:r>
        <w:separator/>
      </w:r>
    </w:p>
  </w:endnote>
  <w:endnote w:type="continuationSeparator" w:id="0">
    <w:p w14:paraId="055D1332" w14:textId="77777777" w:rsidR="008F3C71" w:rsidRDefault="008F3C71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2854" w14:textId="77777777" w:rsidR="008F3C71" w:rsidRDefault="008F3C71" w:rsidP="008B6BD6">
      <w:pPr>
        <w:spacing w:after="0" w:line="240" w:lineRule="auto"/>
      </w:pPr>
      <w:r>
        <w:separator/>
      </w:r>
    </w:p>
  </w:footnote>
  <w:footnote w:type="continuationSeparator" w:id="0">
    <w:p w14:paraId="07BEB61E" w14:textId="77777777" w:rsidR="008F3C71" w:rsidRDefault="008F3C71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8F3C71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FCB" w14:textId="1840470B" w:rsidR="006856DA" w:rsidRDefault="006856DA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F22AD6" wp14:editId="09625CA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863C3" w14:textId="77777777" w:rsidR="006856DA" w:rsidRPr="006618F7" w:rsidRDefault="006856DA" w:rsidP="006856DA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F22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7CF863C3" w14:textId="77777777" w:rsidR="006856DA" w:rsidRPr="006618F7" w:rsidRDefault="006856DA" w:rsidP="006856DA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8F3C71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F71E4"/>
    <w:multiLevelType w:val="hybridMultilevel"/>
    <w:tmpl w:val="F96C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3"/>
  </w:num>
  <w:num w:numId="16">
    <w:abstractNumId w:val="22"/>
  </w:num>
  <w:num w:numId="17">
    <w:abstractNumId w:val="4"/>
  </w:num>
  <w:num w:numId="18">
    <w:abstractNumId w:val="10"/>
  </w:num>
  <w:num w:numId="19">
    <w:abstractNumId w:val="7"/>
  </w:num>
  <w:num w:numId="20">
    <w:abstractNumId w:val="1"/>
  </w:num>
  <w:num w:numId="21">
    <w:abstractNumId w:val="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3442"/>
    <w:rsid w:val="000221D3"/>
    <w:rsid w:val="00022EB9"/>
    <w:rsid w:val="00027A94"/>
    <w:rsid w:val="00031F2B"/>
    <w:rsid w:val="00035CA8"/>
    <w:rsid w:val="00041598"/>
    <w:rsid w:val="00046FF3"/>
    <w:rsid w:val="00052CF6"/>
    <w:rsid w:val="00055DEE"/>
    <w:rsid w:val="00057E31"/>
    <w:rsid w:val="000648A5"/>
    <w:rsid w:val="00075F9C"/>
    <w:rsid w:val="00076FDE"/>
    <w:rsid w:val="000905CE"/>
    <w:rsid w:val="00092605"/>
    <w:rsid w:val="00095E67"/>
    <w:rsid w:val="000B0A4B"/>
    <w:rsid w:val="000B22A3"/>
    <w:rsid w:val="000B2D9B"/>
    <w:rsid w:val="000C7FB1"/>
    <w:rsid w:val="000D05F1"/>
    <w:rsid w:val="000D30DB"/>
    <w:rsid w:val="000D3D7D"/>
    <w:rsid w:val="000D4939"/>
    <w:rsid w:val="000E0346"/>
    <w:rsid w:val="000E05B8"/>
    <w:rsid w:val="000E157D"/>
    <w:rsid w:val="000E2AAE"/>
    <w:rsid w:val="000E5CC1"/>
    <w:rsid w:val="000F28C6"/>
    <w:rsid w:val="000F4364"/>
    <w:rsid w:val="000F456D"/>
    <w:rsid w:val="000F59BC"/>
    <w:rsid w:val="000F70F0"/>
    <w:rsid w:val="00107BA4"/>
    <w:rsid w:val="00110F88"/>
    <w:rsid w:val="00123F4B"/>
    <w:rsid w:val="00137A71"/>
    <w:rsid w:val="001407AA"/>
    <w:rsid w:val="0014272F"/>
    <w:rsid w:val="00145F21"/>
    <w:rsid w:val="00146CF1"/>
    <w:rsid w:val="00150398"/>
    <w:rsid w:val="00151D30"/>
    <w:rsid w:val="001526DB"/>
    <w:rsid w:val="00154E15"/>
    <w:rsid w:val="00164F7D"/>
    <w:rsid w:val="00167DBF"/>
    <w:rsid w:val="001717F2"/>
    <w:rsid w:val="0017621B"/>
    <w:rsid w:val="00181554"/>
    <w:rsid w:val="001831E2"/>
    <w:rsid w:val="001844AC"/>
    <w:rsid w:val="00192B00"/>
    <w:rsid w:val="00195DC1"/>
    <w:rsid w:val="001A721E"/>
    <w:rsid w:val="001B3600"/>
    <w:rsid w:val="001B5155"/>
    <w:rsid w:val="001B5C5A"/>
    <w:rsid w:val="001B7157"/>
    <w:rsid w:val="001C5E02"/>
    <w:rsid w:val="001C7D96"/>
    <w:rsid w:val="001D4703"/>
    <w:rsid w:val="001D5678"/>
    <w:rsid w:val="001D799F"/>
    <w:rsid w:val="001E34CC"/>
    <w:rsid w:val="001F5CD6"/>
    <w:rsid w:val="0020234F"/>
    <w:rsid w:val="002101EA"/>
    <w:rsid w:val="00211198"/>
    <w:rsid w:val="0022000A"/>
    <w:rsid w:val="002216BF"/>
    <w:rsid w:val="0023350D"/>
    <w:rsid w:val="002339EC"/>
    <w:rsid w:val="00233CED"/>
    <w:rsid w:val="002344D8"/>
    <w:rsid w:val="00234838"/>
    <w:rsid w:val="00240FFC"/>
    <w:rsid w:val="00242385"/>
    <w:rsid w:val="00253D38"/>
    <w:rsid w:val="0025702E"/>
    <w:rsid w:val="00262F78"/>
    <w:rsid w:val="00267DB0"/>
    <w:rsid w:val="00270425"/>
    <w:rsid w:val="002706FF"/>
    <w:rsid w:val="00271859"/>
    <w:rsid w:val="00271D82"/>
    <w:rsid w:val="00274FB6"/>
    <w:rsid w:val="00275606"/>
    <w:rsid w:val="0027618E"/>
    <w:rsid w:val="00277A76"/>
    <w:rsid w:val="00280486"/>
    <w:rsid w:val="002828F6"/>
    <w:rsid w:val="002A06D3"/>
    <w:rsid w:val="002A3C42"/>
    <w:rsid w:val="002A71C2"/>
    <w:rsid w:val="002A7838"/>
    <w:rsid w:val="002B093E"/>
    <w:rsid w:val="002B19AB"/>
    <w:rsid w:val="002C1844"/>
    <w:rsid w:val="002C2028"/>
    <w:rsid w:val="002C3217"/>
    <w:rsid w:val="002C3495"/>
    <w:rsid w:val="002C49D1"/>
    <w:rsid w:val="002E6879"/>
    <w:rsid w:val="002E6CAC"/>
    <w:rsid w:val="002E75C7"/>
    <w:rsid w:val="002E7BCB"/>
    <w:rsid w:val="002F212F"/>
    <w:rsid w:val="002F5B89"/>
    <w:rsid w:val="00301690"/>
    <w:rsid w:val="00301A55"/>
    <w:rsid w:val="00303B82"/>
    <w:rsid w:val="00310F85"/>
    <w:rsid w:val="0031153F"/>
    <w:rsid w:val="003119F5"/>
    <w:rsid w:val="00313DC9"/>
    <w:rsid w:val="003210FE"/>
    <w:rsid w:val="0032496B"/>
    <w:rsid w:val="00324AD5"/>
    <w:rsid w:val="003274BD"/>
    <w:rsid w:val="003412A7"/>
    <w:rsid w:val="00344FC4"/>
    <w:rsid w:val="00347551"/>
    <w:rsid w:val="00352F12"/>
    <w:rsid w:val="003662C7"/>
    <w:rsid w:val="00371D22"/>
    <w:rsid w:val="00372835"/>
    <w:rsid w:val="00374339"/>
    <w:rsid w:val="00376CB4"/>
    <w:rsid w:val="00376FD4"/>
    <w:rsid w:val="0039208D"/>
    <w:rsid w:val="00396154"/>
    <w:rsid w:val="003A5941"/>
    <w:rsid w:val="003A5AFA"/>
    <w:rsid w:val="003A5EE1"/>
    <w:rsid w:val="003A6E86"/>
    <w:rsid w:val="003B043F"/>
    <w:rsid w:val="003B2596"/>
    <w:rsid w:val="003B7BBE"/>
    <w:rsid w:val="003C1B77"/>
    <w:rsid w:val="003C4703"/>
    <w:rsid w:val="003C6536"/>
    <w:rsid w:val="003D05A3"/>
    <w:rsid w:val="003D0CFE"/>
    <w:rsid w:val="003D0EEE"/>
    <w:rsid w:val="003D5AF3"/>
    <w:rsid w:val="003E00A1"/>
    <w:rsid w:val="003E2E55"/>
    <w:rsid w:val="003E387E"/>
    <w:rsid w:val="003E52D8"/>
    <w:rsid w:val="003E6A76"/>
    <w:rsid w:val="003F186B"/>
    <w:rsid w:val="003F6891"/>
    <w:rsid w:val="003F69FC"/>
    <w:rsid w:val="003F730F"/>
    <w:rsid w:val="00400861"/>
    <w:rsid w:val="00401ED4"/>
    <w:rsid w:val="00401EF3"/>
    <w:rsid w:val="0040486C"/>
    <w:rsid w:val="0041240C"/>
    <w:rsid w:val="004146A7"/>
    <w:rsid w:val="004175AC"/>
    <w:rsid w:val="00420FDB"/>
    <w:rsid w:val="004242B5"/>
    <w:rsid w:val="004273C5"/>
    <w:rsid w:val="00430334"/>
    <w:rsid w:val="00430FE2"/>
    <w:rsid w:val="00432388"/>
    <w:rsid w:val="00444439"/>
    <w:rsid w:val="00447F0B"/>
    <w:rsid w:val="004510F4"/>
    <w:rsid w:val="00452EEA"/>
    <w:rsid w:val="004708F6"/>
    <w:rsid w:val="0048255C"/>
    <w:rsid w:val="004833C5"/>
    <w:rsid w:val="00485BB8"/>
    <w:rsid w:val="00495012"/>
    <w:rsid w:val="00495A3E"/>
    <w:rsid w:val="004A46F1"/>
    <w:rsid w:val="004B4749"/>
    <w:rsid w:val="004B61B2"/>
    <w:rsid w:val="004B690D"/>
    <w:rsid w:val="004C2396"/>
    <w:rsid w:val="004C39FA"/>
    <w:rsid w:val="004C4BB3"/>
    <w:rsid w:val="004C4CC0"/>
    <w:rsid w:val="004C7ABD"/>
    <w:rsid w:val="004D212F"/>
    <w:rsid w:val="004D2168"/>
    <w:rsid w:val="004D3EFD"/>
    <w:rsid w:val="004E1B34"/>
    <w:rsid w:val="004E66B8"/>
    <w:rsid w:val="004E670F"/>
    <w:rsid w:val="004E72FD"/>
    <w:rsid w:val="004F0EF6"/>
    <w:rsid w:val="004F4181"/>
    <w:rsid w:val="004F5605"/>
    <w:rsid w:val="004F59D3"/>
    <w:rsid w:val="004F6571"/>
    <w:rsid w:val="0050494A"/>
    <w:rsid w:val="00512599"/>
    <w:rsid w:val="00516F4E"/>
    <w:rsid w:val="0052080D"/>
    <w:rsid w:val="005226C7"/>
    <w:rsid w:val="00522FFE"/>
    <w:rsid w:val="00533D80"/>
    <w:rsid w:val="005341A5"/>
    <w:rsid w:val="00536541"/>
    <w:rsid w:val="005511AB"/>
    <w:rsid w:val="00551E0D"/>
    <w:rsid w:val="00563E89"/>
    <w:rsid w:val="00564C07"/>
    <w:rsid w:val="0057766E"/>
    <w:rsid w:val="00583A0F"/>
    <w:rsid w:val="005866F9"/>
    <w:rsid w:val="005900F9"/>
    <w:rsid w:val="00594C8A"/>
    <w:rsid w:val="00597FE2"/>
    <w:rsid w:val="005B2DF4"/>
    <w:rsid w:val="005B3B7D"/>
    <w:rsid w:val="005B46A4"/>
    <w:rsid w:val="005C056F"/>
    <w:rsid w:val="005C3D43"/>
    <w:rsid w:val="005C6AEB"/>
    <w:rsid w:val="005D0B6B"/>
    <w:rsid w:val="005D32B2"/>
    <w:rsid w:val="005D6649"/>
    <w:rsid w:val="005E28DB"/>
    <w:rsid w:val="005F05FE"/>
    <w:rsid w:val="005F2C56"/>
    <w:rsid w:val="005F30CA"/>
    <w:rsid w:val="005F3D93"/>
    <w:rsid w:val="005F4B90"/>
    <w:rsid w:val="00601EF6"/>
    <w:rsid w:val="00602AC2"/>
    <w:rsid w:val="00602CAA"/>
    <w:rsid w:val="00604678"/>
    <w:rsid w:val="00604788"/>
    <w:rsid w:val="00606501"/>
    <w:rsid w:val="0061204E"/>
    <w:rsid w:val="00612C8C"/>
    <w:rsid w:val="006146FA"/>
    <w:rsid w:val="0062213A"/>
    <w:rsid w:val="006224D9"/>
    <w:rsid w:val="006234EF"/>
    <w:rsid w:val="00633488"/>
    <w:rsid w:val="006336F4"/>
    <w:rsid w:val="00640E75"/>
    <w:rsid w:val="006415F5"/>
    <w:rsid w:val="00643CDE"/>
    <w:rsid w:val="0064526F"/>
    <w:rsid w:val="00646540"/>
    <w:rsid w:val="00646934"/>
    <w:rsid w:val="00657985"/>
    <w:rsid w:val="0066672D"/>
    <w:rsid w:val="006678E0"/>
    <w:rsid w:val="00676A8C"/>
    <w:rsid w:val="00681CE2"/>
    <w:rsid w:val="006856DA"/>
    <w:rsid w:val="00687D30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C1398"/>
    <w:rsid w:val="006C1C10"/>
    <w:rsid w:val="006C4A14"/>
    <w:rsid w:val="006C64B7"/>
    <w:rsid w:val="006D0625"/>
    <w:rsid w:val="006D0EA0"/>
    <w:rsid w:val="006D1ADC"/>
    <w:rsid w:val="006D3D72"/>
    <w:rsid w:val="006D79E8"/>
    <w:rsid w:val="006E49CD"/>
    <w:rsid w:val="006E69DC"/>
    <w:rsid w:val="006E716C"/>
    <w:rsid w:val="006E76A2"/>
    <w:rsid w:val="00700B26"/>
    <w:rsid w:val="00701666"/>
    <w:rsid w:val="0071016B"/>
    <w:rsid w:val="007131D1"/>
    <w:rsid w:val="007174D4"/>
    <w:rsid w:val="00720745"/>
    <w:rsid w:val="0073551E"/>
    <w:rsid w:val="0073627E"/>
    <w:rsid w:val="00740AB3"/>
    <w:rsid w:val="00751C2A"/>
    <w:rsid w:val="00753495"/>
    <w:rsid w:val="007559A7"/>
    <w:rsid w:val="007608EC"/>
    <w:rsid w:val="00762EF7"/>
    <w:rsid w:val="00770752"/>
    <w:rsid w:val="0077343C"/>
    <w:rsid w:val="00777CAC"/>
    <w:rsid w:val="007813A5"/>
    <w:rsid w:val="00784220"/>
    <w:rsid w:val="007856FF"/>
    <w:rsid w:val="0078762D"/>
    <w:rsid w:val="00791613"/>
    <w:rsid w:val="00791FAE"/>
    <w:rsid w:val="00792B2D"/>
    <w:rsid w:val="00794410"/>
    <w:rsid w:val="00796B09"/>
    <w:rsid w:val="00797BD1"/>
    <w:rsid w:val="007A46B3"/>
    <w:rsid w:val="007A584D"/>
    <w:rsid w:val="007B03F6"/>
    <w:rsid w:val="007B0E05"/>
    <w:rsid w:val="007B2FEE"/>
    <w:rsid w:val="007B543E"/>
    <w:rsid w:val="007C59CA"/>
    <w:rsid w:val="007D2A91"/>
    <w:rsid w:val="007D733E"/>
    <w:rsid w:val="007E3B8A"/>
    <w:rsid w:val="007F1666"/>
    <w:rsid w:val="007F549F"/>
    <w:rsid w:val="007F6766"/>
    <w:rsid w:val="00801042"/>
    <w:rsid w:val="0081144C"/>
    <w:rsid w:val="008267C4"/>
    <w:rsid w:val="00826B11"/>
    <w:rsid w:val="00833490"/>
    <w:rsid w:val="00833C42"/>
    <w:rsid w:val="00837D0B"/>
    <w:rsid w:val="00840F64"/>
    <w:rsid w:val="00843AAA"/>
    <w:rsid w:val="00845A24"/>
    <w:rsid w:val="008471AA"/>
    <w:rsid w:val="0085069B"/>
    <w:rsid w:val="00851BDF"/>
    <w:rsid w:val="00854210"/>
    <w:rsid w:val="00861B9D"/>
    <w:rsid w:val="00871274"/>
    <w:rsid w:val="0087223A"/>
    <w:rsid w:val="0088034F"/>
    <w:rsid w:val="00881CB2"/>
    <w:rsid w:val="00882C6D"/>
    <w:rsid w:val="00885713"/>
    <w:rsid w:val="00885F44"/>
    <w:rsid w:val="00890002"/>
    <w:rsid w:val="00895DF1"/>
    <w:rsid w:val="008A2465"/>
    <w:rsid w:val="008A7548"/>
    <w:rsid w:val="008B29DC"/>
    <w:rsid w:val="008B4ADC"/>
    <w:rsid w:val="008B6BD6"/>
    <w:rsid w:val="008B6D1B"/>
    <w:rsid w:val="008C24F9"/>
    <w:rsid w:val="008C5232"/>
    <w:rsid w:val="008C5747"/>
    <w:rsid w:val="008D14F2"/>
    <w:rsid w:val="008D2FAD"/>
    <w:rsid w:val="008D359C"/>
    <w:rsid w:val="008D3885"/>
    <w:rsid w:val="008D4200"/>
    <w:rsid w:val="008D5402"/>
    <w:rsid w:val="008F0D2B"/>
    <w:rsid w:val="008F0EB6"/>
    <w:rsid w:val="008F1A02"/>
    <w:rsid w:val="008F3C71"/>
    <w:rsid w:val="00901025"/>
    <w:rsid w:val="00902AF5"/>
    <w:rsid w:val="00906F8F"/>
    <w:rsid w:val="00911E93"/>
    <w:rsid w:val="009123F9"/>
    <w:rsid w:val="00915A6B"/>
    <w:rsid w:val="009300F5"/>
    <w:rsid w:val="00932F79"/>
    <w:rsid w:val="009427AB"/>
    <w:rsid w:val="00945418"/>
    <w:rsid w:val="00945528"/>
    <w:rsid w:val="00950391"/>
    <w:rsid w:val="00952E87"/>
    <w:rsid w:val="00956393"/>
    <w:rsid w:val="00961D28"/>
    <w:rsid w:val="00966E1B"/>
    <w:rsid w:val="00971DAE"/>
    <w:rsid w:val="00983CAE"/>
    <w:rsid w:val="00991698"/>
    <w:rsid w:val="009922D9"/>
    <w:rsid w:val="0099296E"/>
    <w:rsid w:val="009A2C8E"/>
    <w:rsid w:val="009A3F8F"/>
    <w:rsid w:val="009A48F5"/>
    <w:rsid w:val="009A49EC"/>
    <w:rsid w:val="009A5F62"/>
    <w:rsid w:val="009B062E"/>
    <w:rsid w:val="009B33E7"/>
    <w:rsid w:val="009B38C8"/>
    <w:rsid w:val="009B481A"/>
    <w:rsid w:val="009B73B2"/>
    <w:rsid w:val="009C576A"/>
    <w:rsid w:val="009C74D0"/>
    <w:rsid w:val="009D559A"/>
    <w:rsid w:val="009D62D2"/>
    <w:rsid w:val="009E0EC0"/>
    <w:rsid w:val="009F1256"/>
    <w:rsid w:val="009F2932"/>
    <w:rsid w:val="009F4376"/>
    <w:rsid w:val="00A02C63"/>
    <w:rsid w:val="00A03BA0"/>
    <w:rsid w:val="00A110ED"/>
    <w:rsid w:val="00A118CF"/>
    <w:rsid w:val="00A157B5"/>
    <w:rsid w:val="00A17355"/>
    <w:rsid w:val="00A218AE"/>
    <w:rsid w:val="00A21E95"/>
    <w:rsid w:val="00A22091"/>
    <w:rsid w:val="00A23E12"/>
    <w:rsid w:val="00A305F8"/>
    <w:rsid w:val="00A3083C"/>
    <w:rsid w:val="00A34B10"/>
    <w:rsid w:val="00A40DF5"/>
    <w:rsid w:val="00A508AD"/>
    <w:rsid w:val="00A5556A"/>
    <w:rsid w:val="00A56865"/>
    <w:rsid w:val="00A67C8D"/>
    <w:rsid w:val="00A72CAE"/>
    <w:rsid w:val="00A7565A"/>
    <w:rsid w:val="00A8272E"/>
    <w:rsid w:val="00A83B12"/>
    <w:rsid w:val="00A86EDB"/>
    <w:rsid w:val="00A96B0B"/>
    <w:rsid w:val="00A97B45"/>
    <w:rsid w:val="00AA5359"/>
    <w:rsid w:val="00AB001A"/>
    <w:rsid w:val="00AB6803"/>
    <w:rsid w:val="00AB70BF"/>
    <w:rsid w:val="00AC148E"/>
    <w:rsid w:val="00AD1361"/>
    <w:rsid w:val="00AD2831"/>
    <w:rsid w:val="00AD4D46"/>
    <w:rsid w:val="00AD5A08"/>
    <w:rsid w:val="00AD64A7"/>
    <w:rsid w:val="00AE710A"/>
    <w:rsid w:val="00AF2486"/>
    <w:rsid w:val="00AF3AF1"/>
    <w:rsid w:val="00AF79E6"/>
    <w:rsid w:val="00B0038B"/>
    <w:rsid w:val="00B03C18"/>
    <w:rsid w:val="00B0591A"/>
    <w:rsid w:val="00B076E4"/>
    <w:rsid w:val="00B11645"/>
    <w:rsid w:val="00B11EAA"/>
    <w:rsid w:val="00B1354D"/>
    <w:rsid w:val="00B203A8"/>
    <w:rsid w:val="00B212CC"/>
    <w:rsid w:val="00B2202C"/>
    <w:rsid w:val="00B22EE9"/>
    <w:rsid w:val="00B24507"/>
    <w:rsid w:val="00B26891"/>
    <w:rsid w:val="00B30C98"/>
    <w:rsid w:val="00B3217D"/>
    <w:rsid w:val="00B322EE"/>
    <w:rsid w:val="00B32AF6"/>
    <w:rsid w:val="00B3741F"/>
    <w:rsid w:val="00B43863"/>
    <w:rsid w:val="00B43CF2"/>
    <w:rsid w:val="00B46109"/>
    <w:rsid w:val="00B47AF5"/>
    <w:rsid w:val="00B55400"/>
    <w:rsid w:val="00B55600"/>
    <w:rsid w:val="00B60222"/>
    <w:rsid w:val="00B640D1"/>
    <w:rsid w:val="00B65640"/>
    <w:rsid w:val="00B6637E"/>
    <w:rsid w:val="00B74CB0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41CB"/>
    <w:rsid w:val="00BB3D1E"/>
    <w:rsid w:val="00BC6C57"/>
    <w:rsid w:val="00BC6EA0"/>
    <w:rsid w:val="00BC6F26"/>
    <w:rsid w:val="00BD1B21"/>
    <w:rsid w:val="00BD550D"/>
    <w:rsid w:val="00BE0ACC"/>
    <w:rsid w:val="00BE4286"/>
    <w:rsid w:val="00BE4512"/>
    <w:rsid w:val="00BF19AD"/>
    <w:rsid w:val="00BF2A73"/>
    <w:rsid w:val="00BF40D0"/>
    <w:rsid w:val="00C115B6"/>
    <w:rsid w:val="00C21712"/>
    <w:rsid w:val="00C24BEE"/>
    <w:rsid w:val="00C360DE"/>
    <w:rsid w:val="00C43C32"/>
    <w:rsid w:val="00C50C54"/>
    <w:rsid w:val="00C5378E"/>
    <w:rsid w:val="00C538A5"/>
    <w:rsid w:val="00C54166"/>
    <w:rsid w:val="00C56400"/>
    <w:rsid w:val="00C608C7"/>
    <w:rsid w:val="00C62C65"/>
    <w:rsid w:val="00C63B72"/>
    <w:rsid w:val="00C65D1C"/>
    <w:rsid w:val="00C7383C"/>
    <w:rsid w:val="00C748E7"/>
    <w:rsid w:val="00C74EC2"/>
    <w:rsid w:val="00C92465"/>
    <w:rsid w:val="00CA04C6"/>
    <w:rsid w:val="00CA0E49"/>
    <w:rsid w:val="00CA7BC3"/>
    <w:rsid w:val="00CB02EA"/>
    <w:rsid w:val="00CB0AF3"/>
    <w:rsid w:val="00CC2ACE"/>
    <w:rsid w:val="00CD07A3"/>
    <w:rsid w:val="00CD528E"/>
    <w:rsid w:val="00CE1A7A"/>
    <w:rsid w:val="00CE54C6"/>
    <w:rsid w:val="00CE5B60"/>
    <w:rsid w:val="00CE6F97"/>
    <w:rsid w:val="00CF06A2"/>
    <w:rsid w:val="00CF4AC3"/>
    <w:rsid w:val="00D05BB2"/>
    <w:rsid w:val="00D104E8"/>
    <w:rsid w:val="00D20F99"/>
    <w:rsid w:val="00D27E3B"/>
    <w:rsid w:val="00D32374"/>
    <w:rsid w:val="00D4414D"/>
    <w:rsid w:val="00D466AA"/>
    <w:rsid w:val="00D472C1"/>
    <w:rsid w:val="00D53DB8"/>
    <w:rsid w:val="00D54256"/>
    <w:rsid w:val="00D55005"/>
    <w:rsid w:val="00D60E87"/>
    <w:rsid w:val="00D65F1D"/>
    <w:rsid w:val="00D675EA"/>
    <w:rsid w:val="00D74400"/>
    <w:rsid w:val="00D7690A"/>
    <w:rsid w:val="00D77AA4"/>
    <w:rsid w:val="00D849E3"/>
    <w:rsid w:val="00D86633"/>
    <w:rsid w:val="00D92B48"/>
    <w:rsid w:val="00D944A6"/>
    <w:rsid w:val="00D961EA"/>
    <w:rsid w:val="00DA5C81"/>
    <w:rsid w:val="00DA7803"/>
    <w:rsid w:val="00DB4C12"/>
    <w:rsid w:val="00DB71CF"/>
    <w:rsid w:val="00DC0E01"/>
    <w:rsid w:val="00DC4D62"/>
    <w:rsid w:val="00DD0B69"/>
    <w:rsid w:val="00DD32FD"/>
    <w:rsid w:val="00DD49B8"/>
    <w:rsid w:val="00DE4630"/>
    <w:rsid w:val="00DE566F"/>
    <w:rsid w:val="00DF044D"/>
    <w:rsid w:val="00DF0694"/>
    <w:rsid w:val="00DF10E4"/>
    <w:rsid w:val="00DF610D"/>
    <w:rsid w:val="00DF79C1"/>
    <w:rsid w:val="00E0222A"/>
    <w:rsid w:val="00E0784D"/>
    <w:rsid w:val="00E12922"/>
    <w:rsid w:val="00E16C10"/>
    <w:rsid w:val="00E211A3"/>
    <w:rsid w:val="00E248BD"/>
    <w:rsid w:val="00E25175"/>
    <w:rsid w:val="00E27F10"/>
    <w:rsid w:val="00E30F7D"/>
    <w:rsid w:val="00E31155"/>
    <w:rsid w:val="00E455E2"/>
    <w:rsid w:val="00E45764"/>
    <w:rsid w:val="00E46838"/>
    <w:rsid w:val="00E50F78"/>
    <w:rsid w:val="00E5137C"/>
    <w:rsid w:val="00E552AB"/>
    <w:rsid w:val="00E57F2A"/>
    <w:rsid w:val="00E66077"/>
    <w:rsid w:val="00E7009B"/>
    <w:rsid w:val="00E7479D"/>
    <w:rsid w:val="00E80B57"/>
    <w:rsid w:val="00E90B46"/>
    <w:rsid w:val="00E91C9C"/>
    <w:rsid w:val="00E92E7C"/>
    <w:rsid w:val="00E955AE"/>
    <w:rsid w:val="00E95615"/>
    <w:rsid w:val="00E95BA3"/>
    <w:rsid w:val="00E97EFE"/>
    <w:rsid w:val="00EA157A"/>
    <w:rsid w:val="00EA5287"/>
    <w:rsid w:val="00EB5365"/>
    <w:rsid w:val="00EC0A85"/>
    <w:rsid w:val="00EC5EE0"/>
    <w:rsid w:val="00ED0EBC"/>
    <w:rsid w:val="00ED6C0C"/>
    <w:rsid w:val="00EE1D14"/>
    <w:rsid w:val="00EF2EFE"/>
    <w:rsid w:val="00EF49B5"/>
    <w:rsid w:val="00EF6919"/>
    <w:rsid w:val="00F03DC5"/>
    <w:rsid w:val="00F0468B"/>
    <w:rsid w:val="00F06468"/>
    <w:rsid w:val="00F06A70"/>
    <w:rsid w:val="00F15261"/>
    <w:rsid w:val="00F15962"/>
    <w:rsid w:val="00F174EB"/>
    <w:rsid w:val="00F22BE9"/>
    <w:rsid w:val="00F25C3D"/>
    <w:rsid w:val="00F26BC8"/>
    <w:rsid w:val="00F3248D"/>
    <w:rsid w:val="00F32D32"/>
    <w:rsid w:val="00F40CC7"/>
    <w:rsid w:val="00F46D17"/>
    <w:rsid w:val="00F47201"/>
    <w:rsid w:val="00F53326"/>
    <w:rsid w:val="00F57D10"/>
    <w:rsid w:val="00F57E56"/>
    <w:rsid w:val="00F6109D"/>
    <w:rsid w:val="00F61D82"/>
    <w:rsid w:val="00F63C46"/>
    <w:rsid w:val="00F66D84"/>
    <w:rsid w:val="00F716A5"/>
    <w:rsid w:val="00F733E7"/>
    <w:rsid w:val="00F770F1"/>
    <w:rsid w:val="00F77B7B"/>
    <w:rsid w:val="00F77DD6"/>
    <w:rsid w:val="00F8190D"/>
    <w:rsid w:val="00F85CF4"/>
    <w:rsid w:val="00F8745E"/>
    <w:rsid w:val="00F92F32"/>
    <w:rsid w:val="00FB18ED"/>
    <w:rsid w:val="00FB6F4E"/>
    <w:rsid w:val="00FC4645"/>
    <w:rsid w:val="00FC487B"/>
    <w:rsid w:val="00FC7675"/>
    <w:rsid w:val="00FD298C"/>
    <w:rsid w:val="00FD3E51"/>
    <w:rsid w:val="00FF3A8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37</cp:revision>
  <cp:lastPrinted>2017-08-31T02:28:00Z</cp:lastPrinted>
  <dcterms:created xsi:type="dcterms:W3CDTF">2017-09-12T00:36:00Z</dcterms:created>
  <dcterms:modified xsi:type="dcterms:W3CDTF">2017-10-24T01:04:00Z</dcterms:modified>
</cp:coreProperties>
</file>