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B676C4" w:rsidRDefault="009F1256" w:rsidP="00B676C4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B676C4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B676C4" w:rsidRDefault="000D4939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B676C4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B676C4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B676C4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4F76B0F2" w:rsidR="009F1256" w:rsidRPr="00B676C4" w:rsidRDefault="000F31A2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Gather, organise and present security information</w:t>
            </w:r>
            <w:r w:rsidR="002A2927" w:rsidRPr="00B676C4">
              <w:rPr>
                <w:rFonts w:eastAsia="Times New Roman" w:cs="Helvetica"/>
                <w:color w:val="333333"/>
                <w:lang w:eastAsia="en-AU"/>
              </w:rPr>
              <w:t xml:space="preserve"> and document</w:t>
            </w:r>
            <w:r w:rsidR="008118EE" w:rsidRPr="00B676C4">
              <w:rPr>
                <w:rFonts w:eastAsia="Times New Roman" w:cs="Helvetica"/>
                <w:color w:val="333333"/>
                <w:lang w:eastAsia="en-AU"/>
              </w:rPr>
              <w:t>ation</w:t>
            </w:r>
          </w:p>
        </w:tc>
      </w:tr>
      <w:tr w:rsidR="004B61B2" w:rsidRPr="00B676C4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B676C4" w:rsidRDefault="00CB02EA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0389AD2F" w:rsidR="00B46109" w:rsidRPr="00B676C4" w:rsidRDefault="009F1256" w:rsidP="00B676C4">
            <w:pPr>
              <w:spacing w:before="120" w:after="120" w:line="240" w:lineRule="auto"/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B676C4">
              <w:t xml:space="preserve"> </w:t>
            </w:r>
            <w:r w:rsidR="002E6879" w:rsidRPr="00B676C4">
              <w:t xml:space="preserve">to </w:t>
            </w:r>
            <w:r w:rsidR="004B52EA" w:rsidRPr="00B676C4">
              <w:t>gather, organise and present security information and documentation</w:t>
            </w:r>
            <w:r w:rsidR="008D5402" w:rsidRPr="00B676C4">
              <w:t>.</w:t>
            </w:r>
          </w:p>
          <w:p w14:paraId="77327853" w14:textId="24814C7B" w:rsidR="00B676C4" w:rsidRPr="00B676C4" w:rsidRDefault="00B676C4" w:rsidP="00B676C4">
            <w:pPr>
              <w:spacing w:before="120" w:after="120" w:line="240" w:lineRule="auto"/>
            </w:pPr>
            <w:r>
              <w:t>It includes:</w:t>
            </w:r>
            <w:r w:rsidR="00564B47" w:rsidRPr="00B676C4">
              <w:t xml:space="preserve"> </w:t>
            </w:r>
          </w:p>
          <w:p w14:paraId="6A2858DF" w14:textId="77777777" w:rsidR="00B676C4" w:rsidRDefault="00564B47" w:rsidP="00B676C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B676C4">
              <w:t xml:space="preserve">interpreting and complying with </w:t>
            </w:r>
            <w:r w:rsidR="008B4A01" w:rsidRPr="00B676C4">
              <w:t xml:space="preserve">work instructions, </w:t>
            </w:r>
            <w:r w:rsidR="0031647F" w:rsidRPr="00B676C4">
              <w:t xml:space="preserve">workplace </w:t>
            </w:r>
            <w:r w:rsidRPr="00B676C4">
              <w:t>procedures</w:t>
            </w:r>
            <w:r w:rsidR="0031647F" w:rsidRPr="00B676C4">
              <w:t xml:space="preserve"> and policies and legal rights and responsibilities to </w:t>
            </w:r>
            <w:r w:rsidR="000933F8" w:rsidRPr="00B676C4">
              <w:t xml:space="preserve">collect and validate </w:t>
            </w:r>
            <w:r w:rsidR="004B52EA" w:rsidRPr="00B676C4">
              <w:t xml:space="preserve">security information </w:t>
            </w:r>
            <w:r w:rsidR="000933F8" w:rsidRPr="00B676C4">
              <w:t xml:space="preserve">using </w:t>
            </w:r>
            <w:r w:rsidR="00820FF0" w:rsidRPr="00B676C4">
              <w:t xml:space="preserve">factual and surveillance methods </w:t>
            </w:r>
            <w:r w:rsidR="003D1275" w:rsidRPr="00B676C4">
              <w:t xml:space="preserve">and </w:t>
            </w:r>
            <w:r w:rsidR="00820FF0" w:rsidRPr="00B676C4">
              <w:t xml:space="preserve">information </w:t>
            </w:r>
            <w:r w:rsidR="000A2951" w:rsidRPr="00B676C4">
              <w:t>technolog</w:t>
            </w:r>
            <w:r w:rsidR="00795CE5" w:rsidRPr="00B676C4">
              <w:t>ies</w:t>
            </w:r>
          </w:p>
          <w:p w14:paraId="1FC33F24" w14:textId="77777777" w:rsidR="00B676C4" w:rsidRDefault="00135FE6" w:rsidP="00B676C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B676C4">
              <w:t xml:space="preserve">organising </w:t>
            </w:r>
            <w:r w:rsidR="008B4A01" w:rsidRPr="00B676C4">
              <w:t xml:space="preserve">and checking gathered </w:t>
            </w:r>
            <w:r w:rsidRPr="00B676C4">
              <w:t>information to confirm</w:t>
            </w:r>
            <w:r w:rsidR="008B4A01" w:rsidRPr="00B676C4">
              <w:t xml:space="preserve"> its validity, reliability, relevance and accuracy</w:t>
            </w:r>
          </w:p>
          <w:p w14:paraId="446C6A13" w14:textId="4B2BAD52" w:rsidR="00905698" w:rsidRPr="00B676C4" w:rsidRDefault="008B4A01" w:rsidP="00B676C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B676C4">
              <w:t xml:space="preserve">presenting final security information and documentation that has been edited, incorporates feedback from others, and meets workplace </w:t>
            </w:r>
            <w:r w:rsidR="006B1013" w:rsidRPr="00B676C4">
              <w:t>standards</w:t>
            </w:r>
            <w:r w:rsidRPr="00B676C4">
              <w:t xml:space="preserve"> for style, format and accura</w:t>
            </w:r>
            <w:r w:rsidR="00B676C4">
              <w:t>cy within required timeframes</w:t>
            </w:r>
          </w:p>
          <w:p w14:paraId="573871B3" w14:textId="77777777" w:rsidR="00B676C4" w:rsidRDefault="008B4A01" w:rsidP="00B676C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B676C4">
              <w:t>technology skills to access, store, study, retrieve, transmit and manipulate data or information</w:t>
            </w:r>
          </w:p>
          <w:p w14:paraId="0C70E67A" w14:textId="56BB383F" w:rsidR="00611A60" w:rsidRPr="00B676C4" w:rsidRDefault="008B4A01" w:rsidP="00B676C4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contextualSpacing w:val="0"/>
            </w:pPr>
            <w:r w:rsidRPr="00B676C4">
              <w:t>writing skills to prepare routine reports and communications that a</w:t>
            </w:r>
            <w:r w:rsidR="000311E4" w:rsidRPr="00B676C4">
              <w:t>re</w:t>
            </w:r>
            <w:r w:rsidRPr="00B676C4">
              <w:t xml:space="preserve"> sequ</w:t>
            </w:r>
            <w:r w:rsidR="00B676C4">
              <w:t>enced and present cohesive text</w:t>
            </w:r>
          </w:p>
          <w:p w14:paraId="5C4C5774" w14:textId="77777777" w:rsidR="00B676C4" w:rsidRPr="00407E85" w:rsidRDefault="00B676C4" w:rsidP="00B676C4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3248A842" w:rsidR="009F1256" w:rsidRPr="00B676C4" w:rsidRDefault="00B676C4" w:rsidP="00B676C4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B676C4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B676C4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B676C4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D04833" w:rsidRPr="00B676C4" w14:paraId="4FC77ECA" w14:textId="77777777" w:rsidTr="00D04833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0D51BCBD" w:rsidR="00D04833" w:rsidRPr="00B676C4" w:rsidRDefault="00D04833" w:rsidP="00D0483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 xml:space="preserve">Gather security information and comply with legal </w:t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lastRenderedPageBreak/>
              <w:t>and workplace requirements.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677F2" w14:textId="66AC1080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lastRenderedPageBreak/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Review work instructions to clarify security information objectives, and interpret and comply with workplace procedures and policies</w:t>
            </w:r>
            <w:r w:rsidR="00E077DC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 xml:space="preserve"> and </w:t>
            </w:r>
            <w:r w:rsidR="00E077DC">
              <w:rPr>
                <w:rFonts w:eastAsia="Times New Roman" w:cs="Helvetica"/>
                <w:color w:val="333333"/>
                <w:lang w:eastAsia="en-AU"/>
              </w:rPr>
              <w:t xml:space="preserve">with </w:t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legal rights and responsibilities.</w:t>
            </w:r>
          </w:p>
          <w:p w14:paraId="5A739883" w14:textId="23FF52BA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Use research methods that are reliable and make efficient use of resources and time to collect security information.</w:t>
            </w:r>
          </w:p>
          <w:p w14:paraId="53FDEF05" w14:textId="7498CDBD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Collect required security information from spoken, observed and written sources.</w:t>
            </w:r>
          </w:p>
        </w:tc>
      </w:tr>
      <w:tr w:rsidR="00D04833" w:rsidRPr="00B676C4" w14:paraId="7F432C0A" w14:textId="77777777" w:rsidTr="00D04833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2AAD9A04" w:rsidR="00D04833" w:rsidRPr="00B676C4" w:rsidRDefault="00D04833" w:rsidP="00D0483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Organise and check security information.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F594B" w14:textId="14EB0130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Assess gathered security information to confirm validity, reliability and relevance.</w:t>
            </w:r>
          </w:p>
          <w:p w14:paraId="19F75865" w14:textId="14C3EEAB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Identify omissions and source additional information from established sources.</w:t>
            </w:r>
          </w:p>
          <w:p w14:paraId="3D9E939A" w14:textId="30831205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Review collected security information to confirm completeness and accuracy to meet work instructions.</w:t>
            </w:r>
          </w:p>
          <w:p w14:paraId="462B1EA3" w14:textId="3C16E02E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Prioritise and organise information in a logical manner that facilitates analysis and dissemination.</w:t>
            </w:r>
          </w:p>
        </w:tc>
      </w:tr>
      <w:tr w:rsidR="00D04833" w:rsidRPr="00B676C4" w14:paraId="2EE61746" w14:textId="77777777" w:rsidTr="00D04833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5E82CB33" w:rsidR="00D04833" w:rsidRPr="00B676C4" w:rsidRDefault="00D04833" w:rsidP="00D04833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Edit and present security information and documentation.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C1AD0" w14:textId="0740E7F8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Prepare draft security documentation and edit content to ensure it contains clear and concise language and accurate information.</w:t>
            </w:r>
          </w:p>
          <w:p w14:paraId="0A3EB5FC" w14:textId="5A93C36E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Review draft, and seek and incorporate feedback from relevant persons.</w:t>
            </w:r>
          </w:p>
          <w:p w14:paraId="5E28F5FC" w14:textId="052C9AF4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Finalise security documentation and check that it complies with workplace standards for style, format and accuracy.</w:t>
            </w:r>
          </w:p>
          <w:p w14:paraId="78BBAC44" w14:textId="3066E754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Present final security documentation within designated timeframes to meet work instructions.</w:t>
            </w:r>
          </w:p>
          <w:p w14:paraId="5763E8C8" w14:textId="0C26458B" w:rsidR="00D04833" w:rsidRPr="00B676C4" w:rsidRDefault="00D04833" w:rsidP="00D04833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File and securely store retained information in a manner that facilitates future retrieval and maintains confidentiality.</w:t>
            </w:r>
          </w:p>
        </w:tc>
      </w:tr>
      <w:tr w:rsidR="003874B1" w:rsidRPr="00B676C4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3874B1" w:rsidRPr="00B676C4" w:rsidRDefault="003874B1" w:rsidP="00B676C4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B676C4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3874B1" w:rsidRPr="00B676C4" w:rsidRDefault="003874B1" w:rsidP="00B676C4">
            <w:pPr>
              <w:spacing w:before="120" w:after="120" w:line="240" w:lineRule="auto"/>
            </w:pPr>
            <w:r w:rsidRPr="00B676C4">
              <w:t>A person demonstrating competency in this unit must have the following language, literacy, numeracy and employment skills:</w:t>
            </w:r>
          </w:p>
          <w:p w14:paraId="1A57627E" w14:textId="7FE21700" w:rsidR="003874B1" w:rsidRPr="00B676C4" w:rsidRDefault="003874B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language skills to use security industry </w:t>
            </w:r>
            <w:r w:rsidR="00407025" w:rsidRPr="00B676C4">
              <w:t>approved terminology</w:t>
            </w:r>
          </w:p>
          <w:p w14:paraId="349A7083" w14:textId="77777777" w:rsidR="00680C72" w:rsidRPr="00B676C4" w:rsidRDefault="003874B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writing skills to</w:t>
            </w:r>
            <w:r w:rsidR="00680C72" w:rsidRPr="00B676C4">
              <w:t>:</w:t>
            </w:r>
          </w:p>
          <w:p w14:paraId="3AB8C3E1" w14:textId="32232CE4" w:rsidR="003874B1" w:rsidRPr="00B676C4" w:rsidRDefault="00CD7F8B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prepare </w:t>
            </w:r>
            <w:r w:rsidR="00E077DC">
              <w:t>security documentation</w:t>
            </w:r>
            <w:r w:rsidRPr="00B676C4">
              <w:t xml:space="preserve"> using information technology such as a computer and software to send email communications</w:t>
            </w:r>
          </w:p>
          <w:p w14:paraId="37E7F0FF" w14:textId="1C09B308" w:rsidR="00431880" w:rsidRPr="00B676C4" w:rsidRDefault="00431880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select and integrate security information to complete a range of formatted texts and </w:t>
            </w:r>
            <w:r w:rsidR="00E077DC">
              <w:t>forms</w:t>
            </w:r>
          </w:p>
          <w:p w14:paraId="2DD155AA" w14:textId="67B1E983" w:rsidR="00A43935" w:rsidRPr="00B676C4" w:rsidRDefault="00B355A2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use concise and factual notes to record </w:t>
            </w:r>
            <w:r w:rsidR="00A43935" w:rsidRPr="00B676C4">
              <w:t xml:space="preserve">information gained from </w:t>
            </w:r>
            <w:r w:rsidR="00552260" w:rsidRPr="00B676C4">
              <w:t xml:space="preserve">spoken </w:t>
            </w:r>
            <w:r w:rsidR="00A43935" w:rsidRPr="00B676C4">
              <w:t xml:space="preserve">sources </w:t>
            </w:r>
            <w:r w:rsidRPr="00B676C4">
              <w:t>such as voice recordings and interviews</w:t>
            </w:r>
          </w:p>
          <w:p w14:paraId="0194974E" w14:textId="07B0B7B2" w:rsidR="00717148" w:rsidRPr="00B676C4" w:rsidRDefault="00717148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sequence security information to </w:t>
            </w:r>
            <w:r w:rsidR="00142E8D" w:rsidRPr="00B676C4">
              <w:t>present</w:t>
            </w:r>
            <w:r w:rsidRPr="00B676C4">
              <w:t xml:space="preserve"> cohesive text </w:t>
            </w:r>
          </w:p>
          <w:p w14:paraId="3E0DE701" w14:textId="57661EE1" w:rsidR="003874B1" w:rsidRPr="00B676C4" w:rsidRDefault="003874B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reading skills to interpret: </w:t>
            </w:r>
          </w:p>
          <w:p w14:paraId="4ED08AA1" w14:textId="77798A73" w:rsidR="003874B1" w:rsidRPr="00B676C4" w:rsidRDefault="003874B1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procedures and policies that clarify </w:t>
            </w:r>
            <w:r w:rsidR="0031647F" w:rsidRPr="00B676C4">
              <w:t>legal rights and responsibilities</w:t>
            </w:r>
          </w:p>
          <w:p w14:paraId="0092A023" w14:textId="20F49957" w:rsidR="003874B1" w:rsidRPr="00B676C4" w:rsidRDefault="00D57B3B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information and instructions </w:t>
            </w:r>
            <w:r w:rsidR="003874B1" w:rsidRPr="00B676C4">
              <w:t>written in English</w:t>
            </w:r>
          </w:p>
          <w:p w14:paraId="62AB5D18" w14:textId="6867FDC3" w:rsidR="005E0FDC" w:rsidRPr="00B676C4" w:rsidRDefault="005E0FDC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security information provided in different formats and contexts including medical reports</w:t>
            </w:r>
          </w:p>
          <w:p w14:paraId="549C172A" w14:textId="77777777" w:rsidR="003874B1" w:rsidRPr="00B676C4" w:rsidRDefault="003874B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speaking and listening skills to:</w:t>
            </w:r>
          </w:p>
          <w:p w14:paraId="0B59B8A1" w14:textId="75B8B6FE" w:rsidR="003874B1" w:rsidRPr="00B676C4" w:rsidRDefault="003874B1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use questions to clarify </w:t>
            </w:r>
            <w:r w:rsidR="00D84A52" w:rsidRPr="00B676C4">
              <w:t xml:space="preserve">the meaning and accuracy of </w:t>
            </w:r>
            <w:r w:rsidRPr="00B676C4">
              <w:t>security information</w:t>
            </w:r>
          </w:p>
          <w:p w14:paraId="0711F9AD" w14:textId="55D331D0" w:rsidR="008C5394" w:rsidRPr="00B676C4" w:rsidRDefault="008C5394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use paraphrasing to check understanding of information</w:t>
            </w:r>
            <w:r w:rsidR="0029298F" w:rsidRPr="00B676C4">
              <w:t xml:space="preserve"> gathered</w:t>
            </w:r>
            <w:r w:rsidRPr="00B676C4">
              <w:t xml:space="preserve"> </w:t>
            </w:r>
            <w:r w:rsidR="00B070CF" w:rsidRPr="00B676C4">
              <w:t xml:space="preserve">from </w:t>
            </w:r>
            <w:r w:rsidR="00552260" w:rsidRPr="00B676C4">
              <w:t>spoken</w:t>
            </w:r>
            <w:r w:rsidR="00B070CF" w:rsidRPr="00B676C4">
              <w:t xml:space="preserve"> sources</w:t>
            </w:r>
          </w:p>
          <w:p w14:paraId="2C0A0764" w14:textId="7E03B38F" w:rsidR="003874B1" w:rsidRPr="00B676C4" w:rsidRDefault="003874B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numeracy skills to </w:t>
            </w:r>
            <w:r w:rsidR="00FD2EB1" w:rsidRPr="00B676C4">
              <w:t>interpret</w:t>
            </w:r>
            <w:r w:rsidR="00F625D8" w:rsidRPr="00B676C4">
              <w:t xml:space="preserve"> and calculate</w:t>
            </w:r>
            <w:r w:rsidR="00CE311B" w:rsidRPr="00B676C4">
              <w:t xml:space="preserve"> </w:t>
            </w:r>
            <w:r w:rsidR="009B5CC1" w:rsidRPr="00B676C4">
              <w:t>security data</w:t>
            </w:r>
            <w:r w:rsidR="00CE311B" w:rsidRPr="00B676C4">
              <w:t xml:space="preserve"> in numerical format</w:t>
            </w:r>
          </w:p>
          <w:p w14:paraId="6C161543" w14:textId="77777777" w:rsidR="003874B1" w:rsidRPr="00B676C4" w:rsidRDefault="003874B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problem solving skills to:</w:t>
            </w:r>
          </w:p>
          <w:p w14:paraId="24E34907" w14:textId="5EE76440" w:rsidR="003874B1" w:rsidRPr="00B676C4" w:rsidRDefault="000141BA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validate accuracy and sources when gathering information using the Internet</w:t>
            </w:r>
          </w:p>
          <w:p w14:paraId="6CE18E06" w14:textId="160AD2D2" w:rsidR="003874B1" w:rsidRPr="00B676C4" w:rsidRDefault="00B070CF" w:rsidP="00B676C4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676C4">
              <w:t xml:space="preserve">edit own work to identify </w:t>
            </w:r>
            <w:r w:rsidR="00F17248" w:rsidRPr="00B676C4">
              <w:t xml:space="preserve">and correct omissions and </w:t>
            </w:r>
            <w:r w:rsidRPr="00B676C4">
              <w:t>errors</w:t>
            </w:r>
          </w:p>
          <w:p w14:paraId="3BA0964C" w14:textId="0D3EF424" w:rsidR="003874B1" w:rsidRPr="00B676C4" w:rsidRDefault="003874B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self-management s</w:t>
            </w:r>
            <w:r w:rsidR="000141BA" w:rsidRPr="00B676C4">
              <w:t>kills to plan tasks to meet work timeframes</w:t>
            </w:r>
          </w:p>
          <w:p w14:paraId="493AAE37" w14:textId="77777777" w:rsidR="00631381" w:rsidRPr="00B676C4" w:rsidRDefault="003874B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teamwork skills to adjust personal communication styles in response to the opinions, values and needs of others</w:t>
            </w:r>
          </w:p>
          <w:p w14:paraId="30A4EEBE" w14:textId="3B26043C" w:rsidR="003874B1" w:rsidRPr="00B676C4" w:rsidRDefault="00631381" w:rsidP="00B676C4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676C4">
              <w:t>technology skills to use a range of common information technologies</w:t>
            </w:r>
            <w:r w:rsidR="00410D9B" w:rsidRPr="00B676C4">
              <w:t xml:space="preserve"> </w:t>
            </w:r>
            <w:r w:rsidRPr="00B676C4">
              <w:t xml:space="preserve">to </w:t>
            </w:r>
            <w:r w:rsidR="00795CE5" w:rsidRPr="00B676C4">
              <w:t>access, store, study, retrieve, transmit and manipulate data or information</w:t>
            </w:r>
            <w:r w:rsidRPr="00B676C4">
              <w:t xml:space="preserve">, for example mobile phones and devices, </w:t>
            </w:r>
            <w:r w:rsidR="006C7C3B" w:rsidRPr="00B676C4">
              <w:t xml:space="preserve">and </w:t>
            </w:r>
            <w:r w:rsidRPr="00B676C4">
              <w:t xml:space="preserve">computer </w:t>
            </w:r>
            <w:r w:rsidR="00410D9B" w:rsidRPr="00B676C4">
              <w:t>and software packages</w:t>
            </w:r>
            <w:r w:rsidR="00AC7880" w:rsidRPr="00B676C4">
              <w:t xml:space="preserve"> </w:t>
            </w:r>
            <w:r w:rsidR="006C7C3B" w:rsidRPr="00B676C4">
              <w:t xml:space="preserve">including </w:t>
            </w:r>
            <w:r w:rsidRPr="00B676C4">
              <w:t>Internet browsers</w:t>
            </w:r>
          </w:p>
        </w:tc>
      </w:tr>
      <w:tr w:rsidR="003874B1" w:rsidRPr="00B676C4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3874B1" w:rsidRPr="00B676C4" w:rsidRDefault="003874B1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19368528" w:rsidR="003874B1" w:rsidRPr="00B676C4" w:rsidRDefault="009F1940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CPPSEC3005A Prepare and present security documentation and reports</w:t>
            </w:r>
          </w:p>
        </w:tc>
      </w:tr>
      <w:tr w:rsidR="003874B1" w:rsidRPr="00B676C4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3874B1" w:rsidRPr="00B676C4" w:rsidRDefault="003874B1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ACB85" w14:textId="77777777" w:rsidR="00680D29" w:rsidRPr="00934A93" w:rsidRDefault="00680D29" w:rsidP="00680D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0D8E75A0" w:rsidR="003874B1" w:rsidRPr="00B676C4" w:rsidRDefault="0033277A" w:rsidP="00680D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680D29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B676C4" w:rsidRDefault="009F1256" w:rsidP="00B676C4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B676C4" w:rsidRDefault="009F1256" w:rsidP="00B676C4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B676C4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B676C4" w:rsidRDefault="009F1256" w:rsidP="00B676C4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B676C4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2C0F33CD" w:rsidR="009F1256" w:rsidRPr="00B676C4" w:rsidRDefault="00D54256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B676C4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B676C4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F1525B" w:rsidRPr="00B676C4">
              <w:rPr>
                <w:rFonts w:eastAsia="Times New Roman" w:cs="Helvetica"/>
                <w:color w:val="333333"/>
                <w:lang w:eastAsia="en-AU"/>
              </w:rPr>
              <w:t>Gather, organise and present security information</w:t>
            </w:r>
            <w:r w:rsidR="008118EE" w:rsidRPr="00B676C4">
              <w:rPr>
                <w:rFonts w:eastAsia="Times New Roman" w:cs="Helvetica"/>
                <w:color w:val="333333"/>
                <w:lang w:eastAsia="en-AU"/>
              </w:rPr>
              <w:t xml:space="preserve"> and documentation</w:t>
            </w:r>
          </w:p>
        </w:tc>
      </w:tr>
      <w:tr w:rsidR="009F1256" w:rsidRPr="00B676C4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B676C4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24A24458" w:rsidR="007C59CA" w:rsidRPr="00B676C4" w:rsidRDefault="009F1256" w:rsidP="00B676C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676C4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B676C4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077DC">
              <w:rPr>
                <w:rFonts w:asciiTheme="minorHAnsi" w:hAnsiTheme="minorHAnsi" w:cs="Helvetica"/>
                <w:color w:val="333333"/>
                <w:sz w:val="22"/>
              </w:rPr>
              <w:t>, on two (2)</w:t>
            </w:r>
            <w:r w:rsidR="009F1940">
              <w:rPr>
                <w:rFonts w:asciiTheme="minorHAnsi" w:hAnsiTheme="minorHAnsi" w:cs="Helvetica"/>
                <w:color w:val="333333"/>
                <w:sz w:val="22"/>
              </w:rPr>
              <w:t xml:space="preserve"> separate</w:t>
            </w:r>
            <w:r w:rsidR="00E077DC">
              <w:rPr>
                <w:rFonts w:asciiTheme="minorHAnsi" w:hAnsiTheme="minorHAnsi" w:cs="Helvetica"/>
                <w:color w:val="333333"/>
                <w:sz w:val="22"/>
              </w:rPr>
              <w:t xml:space="preserve"> occasions,</w:t>
            </w:r>
            <w:r w:rsidR="007C34E0" w:rsidRPr="00B676C4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A8588D" w:rsidRPr="00B676C4">
              <w:rPr>
                <w:rFonts w:asciiTheme="minorHAnsi" w:hAnsiTheme="minorHAnsi" w:cs="Helvetica"/>
                <w:color w:val="333333"/>
                <w:sz w:val="22"/>
              </w:rPr>
              <w:t xml:space="preserve">gather, organise and present security information </w:t>
            </w:r>
            <w:r w:rsidR="00E077DC">
              <w:rPr>
                <w:rFonts w:asciiTheme="minorHAnsi" w:hAnsiTheme="minorHAnsi" w:cs="Helvetica"/>
                <w:color w:val="333333"/>
                <w:sz w:val="22"/>
              </w:rPr>
              <w:t xml:space="preserve">and documentation into </w:t>
            </w:r>
            <w:r w:rsidR="007C34E0" w:rsidRPr="00B676C4">
              <w:rPr>
                <w:rFonts w:asciiTheme="minorHAnsi" w:hAnsiTheme="minorHAnsi" w:cs="Helvetica"/>
                <w:color w:val="333333"/>
                <w:sz w:val="22"/>
              </w:rPr>
              <w:t>written report</w:t>
            </w:r>
            <w:r w:rsidR="00E077DC">
              <w:rPr>
                <w:rFonts w:asciiTheme="minorHAnsi" w:hAnsiTheme="minorHAnsi" w:cs="Helvetica"/>
                <w:color w:val="333333"/>
                <w:sz w:val="22"/>
              </w:rPr>
              <w:t>s that meet</w:t>
            </w:r>
            <w:r w:rsidR="007C34E0" w:rsidRPr="00B676C4">
              <w:rPr>
                <w:rFonts w:asciiTheme="minorHAnsi" w:hAnsiTheme="minorHAnsi" w:cs="Helvetica"/>
                <w:color w:val="333333"/>
                <w:sz w:val="22"/>
              </w:rPr>
              <w:t xml:space="preserve"> work </w:t>
            </w:r>
            <w:r w:rsidR="00995E65" w:rsidRPr="00B676C4">
              <w:rPr>
                <w:rFonts w:asciiTheme="minorHAnsi" w:hAnsiTheme="minorHAnsi" w:cs="Helvetica"/>
                <w:color w:val="333333"/>
                <w:sz w:val="22"/>
              </w:rPr>
              <w:t>instructions and required timeframes</w:t>
            </w:r>
            <w:r w:rsidR="008D2FAD" w:rsidRPr="00B676C4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08DC6C2B" w:rsidR="00E077DC" w:rsidRPr="009F1940" w:rsidRDefault="009F1940" w:rsidP="009F194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9F1940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B676C4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B676C4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B676C4" w:rsidRDefault="000F009F" w:rsidP="00B676C4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B676C4" w:rsidRDefault="000F009F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B676C4" w:rsidRDefault="000F009F" w:rsidP="00B676C4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3D7333EE" w14:textId="77777777" w:rsidR="000F009F" w:rsidRPr="00B676C4" w:rsidRDefault="000F009F" w:rsidP="00B676C4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3220794B" w:rsidR="000F009F" w:rsidRPr="00B676C4" w:rsidRDefault="000F009F" w:rsidP="00B676C4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684CBC86" w14:textId="3C65A5D2" w:rsidR="006404FB" w:rsidRPr="00B676C4" w:rsidRDefault="006404FB" w:rsidP="00B676C4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privacy and surveillance</w:t>
            </w:r>
          </w:p>
          <w:p w14:paraId="63429CEF" w14:textId="19902288" w:rsidR="000F009F" w:rsidRPr="00B676C4" w:rsidRDefault="009F1940" w:rsidP="00B676C4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B676C4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22EC890C" w14:textId="77777777" w:rsidR="00C43A03" w:rsidRPr="00B676C4" w:rsidRDefault="00C43A03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1E2CA94C" w14:textId="77777777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basic research techniques that can be used to gather security information</w:t>
            </w:r>
          </w:p>
          <w:p w14:paraId="32679197" w14:textId="77777777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interpersonal techniques that promote positive interactions and communication with others</w:t>
            </w:r>
          </w:p>
          <w:p w14:paraId="4A49248C" w14:textId="6EBA508C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interview techniques used to gather security information</w:t>
            </w:r>
          </w:p>
          <w:p w14:paraId="2BD3C23A" w14:textId="779B0C52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methods for complying with privacy and confidentiality regulations when gathering, presenting and storing security information</w:t>
            </w:r>
          </w:p>
          <w:p w14:paraId="75CEE9A2" w14:textId="77777777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observation and monitoring techniques used to gather security information</w:t>
            </w:r>
          </w:p>
          <w:p w14:paraId="1DE5DF65" w14:textId="77777777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 xml:space="preserve">operational functions of a range of information technologies used to gather, organise and present security information </w:t>
            </w:r>
          </w:p>
          <w:p w14:paraId="16B7DCC4" w14:textId="77777777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questioning techniques that can be used to elicit specific information</w:t>
            </w:r>
          </w:p>
          <w:p w14:paraId="269D1216" w14:textId="77777777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surveillance procedures that comply with legal requirements</w:t>
            </w:r>
          </w:p>
          <w:p w14:paraId="72CBA962" w14:textId="77777777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techniques for validating the accuracy and reliability of security information</w:t>
            </w:r>
          </w:p>
          <w:p w14:paraId="25D54984" w14:textId="68332038" w:rsidR="00A9421B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ways to engage people with individual social and cultural differences and strategies for overcoming language barriers</w:t>
            </w:r>
          </w:p>
          <w:p w14:paraId="31EC32D8" w14:textId="4C0894FC" w:rsidR="000F009F" w:rsidRPr="00B676C4" w:rsidRDefault="00A9421B" w:rsidP="00B676C4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Cs/>
                <w:color w:val="333333"/>
                <w:lang w:eastAsia="en-AU"/>
              </w:rPr>
              <w:t>workplace standards for the presentation of security information and documentation</w:t>
            </w:r>
          </w:p>
        </w:tc>
      </w:tr>
      <w:bookmarkEnd w:id="1"/>
      <w:tr w:rsidR="009F1256" w:rsidRPr="00B676C4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B676C4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B676C4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B676C4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B676C4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B676C4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B676C4" w:rsidRDefault="009F1256" w:rsidP="00B676C4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B676C4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B676C4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E7BB290" w:rsidR="00E95615" w:rsidRPr="00B676C4" w:rsidRDefault="00E95615" w:rsidP="00B676C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676C4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B676C4">
              <w:rPr>
                <w:rFonts w:eastAsia="Calibri" w:cs="Arial"/>
                <w:lang w:val="en-US"/>
              </w:rPr>
              <w:t xml:space="preserve"> </w:t>
            </w:r>
            <w:r w:rsidR="0025075D" w:rsidRPr="00B676C4">
              <w:rPr>
                <w:rFonts w:eastAsia="Calibri" w:cs="Arial"/>
                <w:lang w:val="en-US"/>
              </w:rPr>
              <w:t>gather, organise and present security information and documentation</w:t>
            </w:r>
          </w:p>
          <w:p w14:paraId="089FD987" w14:textId="1D7DBAE0" w:rsidR="00E95615" w:rsidRPr="00B676C4" w:rsidRDefault="00E95615" w:rsidP="00B676C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676C4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552260" w:rsidRPr="00B676C4">
              <w:rPr>
                <w:rFonts w:eastAsia="Calibri" w:cs="Arial"/>
                <w:lang w:val="en-US"/>
              </w:rPr>
              <w:t>ment currently used in industry</w:t>
            </w:r>
          </w:p>
          <w:p w14:paraId="1377C1F2" w14:textId="1B3102F2" w:rsidR="0025075D" w:rsidRPr="00B676C4" w:rsidRDefault="0025075D" w:rsidP="00B676C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676C4">
              <w:rPr>
                <w:rFonts w:eastAsia="Calibri" w:cs="Arial"/>
                <w:lang w:val="en-US"/>
              </w:rPr>
              <w:t>information technologies required to gather, organise and present security inform</w:t>
            </w:r>
            <w:r w:rsidR="00552260" w:rsidRPr="00B676C4">
              <w:rPr>
                <w:rFonts w:eastAsia="Calibri" w:cs="Arial"/>
                <w:lang w:val="en-US"/>
              </w:rPr>
              <w:t>ation and documentation</w:t>
            </w:r>
          </w:p>
          <w:p w14:paraId="1A855062" w14:textId="0C8E2E09" w:rsidR="009F1256" w:rsidRPr="00B676C4" w:rsidRDefault="00324AD5" w:rsidP="00B676C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676C4">
              <w:rPr>
                <w:rFonts w:eastAsia="Calibri" w:cs="Arial"/>
                <w:lang w:val="en-US"/>
              </w:rPr>
              <w:t>standard operating procedures</w:t>
            </w:r>
            <w:r w:rsidR="001B5C5A" w:rsidRPr="00B676C4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B676C4">
              <w:rPr>
                <w:rFonts w:eastAsia="Calibri" w:cs="Arial"/>
                <w:lang w:val="en-US"/>
              </w:rPr>
              <w:t>related</w:t>
            </w:r>
            <w:r w:rsidR="00164F7D" w:rsidRPr="00B676C4">
              <w:rPr>
                <w:rFonts w:eastAsia="Calibri" w:cs="Arial"/>
                <w:lang w:val="en-US"/>
              </w:rPr>
              <w:t xml:space="preserve"> </w:t>
            </w:r>
            <w:r w:rsidR="00CE5B60" w:rsidRPr="00B676C4">
              <w:rPr>
                <w:rFonts w:eastAsia="Calibri" w:cs="Arial"/>
                <w:lang w:val="en-US"/>
              </w:rPr>
              <w:t xml:space="preserve">to </w:t>
            </w:r>
            <w:r w:rsidR="004E72FD" w:rsidRPr="00B676C4">
              <w:rPr>
                <w:rFonts w:eastAsia="Calibri" w:cs="Arial"/>
                <w:lang w:val="en-US"/>
              </w:rPr>
              <w:t xml:space="preserve">the security </w:t>
            </w:r>
            <w:r w:rsidR="001B5C5A" w:rsidRPr="00B676C4">
              <w:rPr>
                <w:rFonts w:eastAsia="Calibri" w:cs="Arial"/>
                <w:lang w:val="en-US"/>
              </w:rPr>
              <w:t xml:space="preserve">work </w:t>
            </w:r>
            <w:r w:rsidR="004E72FD" w:rsidRPr="00B676C4">
              <w:rPr>
                <w:rFonts w:eastAsia="Calibri" w:cs="Arial"/>
                <w:lang w:val="en-US"/>
              </w:rPr>
              <w:t>role</w:t>
            </w:r>
            <w:r w:rsidR="00EE1D14" w:rsidRPr="00B676C4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B676C4" w14:paraId="354A02C2" w14:textId="77777777" w:rsidTr="008055DD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B676C4" w:rsidRDefault="009F1256" w:rsidP="00B676C4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068DE" w14:textId="77777777" w:rsidR="00680D29" w:rsidRPr="00934A93" w:rsidRDefault="00680D29" w:rsidP="00680D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35C3CFEF" w:rsidR="009F1256" w:rsidRPr="00B676C4" w:rsidRDefault="0033277A" w:rsidP="00680D2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680D29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B676C4" w:rsidRDefault="000E2AAE" w:rsidP="00B676C4">
      <w:pPr>
        <w:spacing w:before="120" w:after="120" w:line="240" w:lineRule="auto"/>
      </w:pPr>
    </w:p>
    <w:p w14:paraId="28987041" w14:textId="77777777" w:rsidR="00347808" w:rsidRPr="00B676C4" w:rsidRDefault="000E2AAE" w:rsidP="00B676C4">
      <w:pPr>
        <w:spacing w:before="120" w:after="120" w:line="240" w:lineRule="auto"/>
        <w:rPr>
          <w:rFonts w:eastAsia="Calibri" w:cs="Times New Roman"/>
        </w:rPr>
      </w:pPr>
      <w:r w:rsidRPr="00B676C4">
        <w:br w:type="page"/>
      </w:r>
      <w:r w:rsidR="00347808" w:rsidRPr="00B676C4">
        <w:rPr>
          <w:rFonts w:eastAsia="Calibri" w:cs="Times New Roman"/>
        </w:rPr>
        <w:t>For inclusion in separate Companion Volume: Range Statements</w:t>
      </w:r>
    </w:p>
    <w:tbl>
      <w:tblPr>
        <w:tblW w:w="4998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4"/>
      </w:tblGrid>
      <w:tr w:rsidR="006E6BE7" w:rsidRPr="00B676C4" w14:paraId="78B3DB8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B3E28" w14:textId="77777777" w:rsidR="006E6BE7" w:rsidRPr="00B676C4" w:rsidRDefault="006E6BE7" w:rsidP="00B676C4">
            <w:pPr>
              <w:spacing w:before="120" w:after="120" w:line="240" w:lineRule="auto"/>
              <w:rPr>
                <w:rFonts w:cs="Calibri"/>
              </w:rPr>
            </w:pPr>
            <w:r w:rsidRPr="00B676C4">
              <w:rPr>
                <w:rFonts w:cs="Calibri"/>
                <w:b/>
                <w:i/>
              </w:rPr>
              <w:t>Work instructions</w:t>
            </w:r>
            <w:r w:rsidRPr="00B676C4">
              <w:rPr>
                <w:rFonts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C8755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communication equipment and procedures</w:t>
            </w:r>
          </w:p>
          <w:p w14:paraId="2FE0B906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incident and security risk response procedures</w:t>
            </w:r>
          </w:p>
          <w:p w14:paraId="5B26D94B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instructions from supervisors or colleagues</w:t>
            </w:r>
          </w:p>
          <w:p w14:paraId="7C6B0256" w14:textId="43488E26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legislative and regulatory compliance requirements relating to work tasks</w:t>
            </w:r>
            <w:r w:rsidR="00E41036" w:rsidRPr="00B676C4">
              <w:rPr>
                <w:rFonts w:cs="Calibri"/>
                <w:color w:val="333333"/>
                <w:lang w:eastAsia="en-AU"/>
              </w:rPr>
              <w:t xml:space="preserve"> </w:t>
            </w:r>
            <w:r w:rsidR="000001FD" w:rsidRPr="00B676C4">
              <w:rPr>
                <w:rFonts w:cs="Calibri"/>
                <w:color w:val="333333"/>
                <w:lang w:eastAsia="en-AU"/>
              </w:rPr>
              <w:t xml:space="preserve">including </w:t>
            </w:r>
            <w:r w:rsidR="00E41036" w:rsidRPr="00B676C4">
              <w:rPr>
                <w:rFonts w:cs="Calibri"/>
                <w:color w:val="333333"/>
                <w:lang w:eastAsia="en-AU"/>
              </w:rPr>
              <w:t>surveillance</w:t>
            </w:r>
            <w:r w:rsidR="000001FD" w:rsidRPr="00B676C4">
              <w:rPr>
                <w:rFonts w:cs="Calibri"/>
                <w:color w:val="333333"/>
                <w:lang w:eastAsia="en-AU"/>
              </w:rPr>
              <w:t xml:space="preserve"> and privacy</w:t>
            </w:r>
          </w:p>
          <w:p w14:paraId="30459341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personal presentation requirements</w:t>
            </w:r>
          </w:p>
          <w:p w14:paraId="782F01BF" w14:textId="30BDC7B5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reporting requirements and timeframes</w:t>
            </w:r>
          </w:p>
          <w:p w14:paraId="753C2D4A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resource and equipment requirements</w:t>
            </w:r>
          </w:p>
          <w:p w14:paraId="20A25C88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security information to be gathered and presented</w:t>
            </w:r>
          </w:p>
          <w:p w14:paraId="0FC48F92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specific client information and instructions</w:t>
            </w:r>
          </w:p>
          <w:p w14:paraId="02C4966E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travel routes and schedules</w:t>
            </w:r>
          </w:p>
          <w:p w14:paraId="4ACBAAE4" w14:textId="77777777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use of workplace documentation</w:t>
            </w:r>
          </w:p>
          <w:p w14:paraId="0267B7C3" w14:textId="4E440CF1" w:rsidR="006E6BE7" w:rsidRPr="00B676C4" w:rsidRDefault="009F1940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>
              <w:rPr>
                <w:rFonts w:cs="Calibri"/>
                <w:color w:val="333333"/>
                <w:lang w:eastAsia="en-AU"/>
              </w:rPr>
              <w:t>workplace h</w:t>
            </w:r>
            <w:r w:rsidR="006E6BE7" w:rsidRPr="00B676C4">
              <w:rPr>
                <w:rFonts w:cs="Calibri"/>
                <w:color w:val="333333"/>
                <w:lang w:eastAsia="en-AU"/>
              </w:rPr>
              <w:t>ealth and safety (WHS) including use of personal protective clothing and equipment</w:t>
            </w:r>
          </w:p>
          <w:p w14:paraId="3AC02763" w14:textId="420E0945" w:rsidR="006E6BE7" w:rsidRPr="00B676C4" w:rsidRDefault="006E6BE7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B676C4">
              <w:rPr>
                <w:rFonts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347808" w:rsidRPr="00B676C4" w14:paraId="77523008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27E8C" w14:textId="5D9963DE" w:rsidR="00347808" w:rsidRPr="00B676C4" w:rsidRDefault="00194F0A" w:rsidP="00B676C4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B676C4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347808" w:rsidRPr="00B676C4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7AA1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1E564E0E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FFD2136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7E958DE7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4A71C4C3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6CBBFBE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employer and employee rights and responsibilities</w:t>
            </w:r>
          </w:p>
          <w:p w14:paraId="3187B94F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C30875D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0229C5BA" w14:textId="044201DF" w:rsidR="00A25BF5" w:rsidRPr="00B676C4" w:rsidRDefault="00A25BF5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privacy and confidentiality</w:t>
            </w:r>
          </w:p>
          <w:p w14:paraId="2CC5DA3F" w14:textId="624813BB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3D526619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resource parameters and procedures for accessing resources</w:t>
            </w:r>
          </w:p>
          <w:p w14:paraId="1D23A44D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B825E00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storage and disposal of confidential information</w:t>
            </w:r>
          </w:p>
          <w:p w14:paraId="4B67C3E3" w14:textId="77777777" w:rsidR="00A25BF5" w:rsidRPr="00B676C4" w:rsidRDefault="00A25BF5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surveillance and monitoring</w:t>
            </w:r>
          </w:p>
          <w:p w14:paraId="735CE742" w14:textId="1C3C2BC4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4E20D732" w14:textId="77777777" w:rsidR="00347808" w:rsidRPr="00B676C4" w:rsidRDefault="0034780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5CEC7BB1" w14:textId="65CA6A22" w:rsidR="00347808" w:rsidRPr="00B676C4" w:rsidRDefault="009F1940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347808" w:rsidRPr="00B676C4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820011" w:rsidRPr="00B676C4" w14:paraId="17A3D40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3E0B" w14:textId="5130FB5E" w:rsidR="00820011" w:rsidRPr="00B676C4" w:rsidRDefault="00DC4EE5" w:rsidP="00B676C4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B676C4">
              <w:rPr>
                <w:b/>
                <w:i/>
              </w:rPr>
              <w:t xml:space="preserve">Research methods </w:t>
            </w:r>
            <w:r w:rsidR="00820011" w:rsidRPr="00B676C4">
              <w:t xml:space="preserve">may </w:t>
            </w:r>
            <w:r w:rsidRPr="00B676C4">
              <w:t>include</w:t>
            </w:r>
            <w:r w:rsidR="00820011" w:rsidRPr="00B676C4">
              <w:rPr>
                <w:b/>
              </w:rPr>
              <w:t>:</w:t>
            </w:r>
            <w:r w:rsidR="00820011" w:rsidRPr="00B676C4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AC48F" w14:textId="77777777" w:rsidR="009405B8" w:rsidRPr="00B676C4" w:rsidRDefault="009405B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bCs/>
                <w:color w:val="333333"/>
                <w:lang w:eastAsia="en-AU"/>
              </w:rPr>
              <w:t>discussions with others</w:t>
            </w:r>
          </w:p>
          <w:p w14:paraId="5574459E" w14:textId="5B9138BE" w:rsidR="009405B8" w:rsidRPr="00B676C4" w:rsidRDefault="009405B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bCs/>
                <w:color w:val="333333"/>
                <w:lang w:eastAsia="en-AU"/>
              </w:rPr>
              <w:t>listening to voice messages and recordings</w:t>
            </w:r>
          </w:p>
          <w:p w14:paraId="689F96F6" w14:textId="77777777" w:rsidR="009405B8" w:rsidRPr="00B676C4" w:rsidRDefault="009405B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bCs/>
                <w:color w:val="333333"/>
                <w:lang w:eastAsia="en-AU"/>
              </w:rPr>
              <w:t>observation and monitoring</w:t>
            </w:r>
          </w:p>
          <w:p w14:paraId="4D6F5008" w14:textId="77777777" w:rsidR="009405B8" w:rsidRPr="00B676C4" w:rsidRDefault="009405B8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bCs/>
                <w:color w:val="333333"/>
                <w:lang w:eastAsia="en-AU"/>
              </w:rPr>
              <w:t>online information searches</w:t>
            </w:r>
          </w:p>
          <w:p w14:paraId="5CBD82EA" w14:textId="77777777" w:rsidR="00552260" w:rsidRPr="00B676C4" w:rsidRDefault="00552260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bCs/>
                <w:color w:val="333333"/>
                <w:lang w:eastAsia="en-AU"/>
              </w:rPr>
              <w:t>oral</w:t>
            </w:r>
            <w:r w:rsidR="009405B8" w:rsidRPr="00B676C4">
              <w:rPr>
                <w:rFonts w:eastAsia="Times New Roman" w:cs="Calibri"/>
                <w:bCs/>
                <w:color w:val="333333"/>
                <w:lang w:eastAsia="en-AU"/>
              </w:rPr>
              <w:t xml:space="preserve"> interviews and questioning</w:t>
            </w:r>
          </w:p>
          <w:p w14:paraId="514D257C" w14:textId="54381905" w:rsidR="00DC4EE5" w:rsidRPr="00B676C4" w:rsidRDefault="00552260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bCs/>
                <w:color w:val="333333"/>
                <w:lang w:eastAsia="en-AU"/>
              </w:rPr>
              <w:t>reading and interpreting written information</w:t>
            </w:r>
          </w:p>
        </w:tc>
      </w:tr>
      <w:tr w:rsidR="000C7B3A" w:rsidRPr="00B676C4" w14:paraId="4E48DD19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20CA0" w14:textId="7DD7EF2B" w:rsidR="000C7B3A" w:rsidRPr="00B676C4" w:rsidRDefault="000C7B3A" w:rsidP="00B676C4">
            <w:pPr>
              <w:spacing w:before="120" w:after="120" w:line="240" w:lineRule="auto"/>
            </w:pPr>
            <w:r w:rsidRPr="00B676C4">
              <w:t>Information</w:t>
            </w:r>
            <w:r w:rsidRPr="00B676C4">
              <w:rPr>
                <w:b/>
                <w:i/>
              </w:rPr>
              <w:t xml:space="preserve"> sources</w:t>
            </w:r>
            <w:r w:rsidRPr="00B676C4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D2241" w14:textId="77777777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browsing the Internet</w:t>
            </w:r>
          </w:p>
          <w:p w14:paraId="5FB7D547" w14:textId="77777777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discussions with clients and their staff</w:t>
            </w:r>
          </w:p>
          <w:p w14:paraId="2A7DF171" w14:textId="77777777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discussions with colleagues and supervisors</w:t>
            </w:r>
          </w:p>
          <w:p w14:paraId="3CA43E10" w14:textId="77777777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discussions with members of the public</w:t>
            </w:r>
          </w:p>
          <w:p w14:paraId="03EDC6A1" w14:textId="77777777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discussions with security industry representatives</w:t>
            </w:r>
          </w:p>
          <w:p w14:paraId="3CAEA443" w14:textId="77777777" w:rsidR="009674D4" w:rsidRPr="00B676C4" w:rsidRDefault="009674D4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drones</w:t>
            </w:r>
          </w:p>
          <w:p w14:paraId="53E9C7A8" w14:textId="49F45005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listening to voice recordings</w:t>
            </w:r>
          </w:p>
          <w:p w14:paraId="4845BB42" w14:textId="5428D47E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observations, monitoring or surveillance activities</w:t>
            </w:r>
          </w:p>
          <w:p w14:paraId="4A9D6893" w14:textId="3A36180F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participating in interviews and meetings</w:t>
            </w:r>
          </w:p>
          <w:p w14:paraId="13C1A280" w14:textId="77777777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participating in workshops, conferences and seminars</w:t>
            </w:r>
          </w:p>
          <w:p w14:paraId="0683CCD7" w14:textId="77777777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reading records, reports and case notes</w:t>
            </w:r>
          </w:p>
          <w:p w14:paraId="285B368F" w14:textId="0724C9C9" w:rsidR="000C7B3A" w:rsidRPr="00B676C4" w:rsidRDefault="000C7B3A" w:rsidP="00B676C4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bCs/>
                <w:color w:val="333333"/>
                <w:sz w:val="22"/>
                <w:lang w:eastAsia="en-AU"/>
              </w:rPr>
            </w:pPr>
            <w:r w:rsidRPr="00B676C4">
              <w:rPr>
                <w:rFonts w:asciiTheme="minorHAnsi" w:hAnsiTheme="minorHAnsi" w:cs="Calibri"/>
                <w:bCs/>
                <w:color w:val="333333"/>
                <w:sz w:val="22"/>
                <w:lang w:val="en-AU" w:eastAsia="en-AU"/>
              </w:rPr>
              <w:t>visits to libraries</w:t>
            </w:r>
          </w:p>
        </w:tc>
      </w:tr>
      <w:tr w:rsidR="00A95E06" w:rsidRPr="00B676C4" w14:paraId="1849F856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CA076" w14:textId="542C209F" w:rsidR="00A95E06" w:rsidRPr="00B676C4" w:rsidRDefault="00A95E06" w:rsidP="00B676C4">
            <w:pPr>
              <w:spacing w:before="120" w:after="120" w:line="240" w:lineRule="auto"/>
              <w:rPr>
                <w:rFonts w:eastAsia="Calibri" w:cs="Calibri"/>
              </w:rPr>
            </w:pPr>
            <w:r w:rsidRPr="00B676C4">
              <w:rPr>
                <w:rFonts w:eastAsia="Calibri" w:cs="Calibri"/>
                <w:b/>
                <w:i/>
              </w:rPr>
              <w:t xml:space="preserve">Information technologies </w:t>
            </w:r>
            <w:r w:rsidRPr="00B676C4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59D75" w14:textId="77777777" w:rsidR="00A95E06" w:rsidRPr="00B676C4" w:rsidRDefault="00A95E06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computers</w:t>
            </w:r>
          </w:p>
          <w:p w14:paraId="28B662A7" w14:textId="77777777" w:rsidR="00A95E06" w:rsidRPr="00B676C4" w:rsidRDefault="00A95E06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facsimiles</w:t>
            </w:r>
          </w:p>
          <w:p w14:paraId="77F36FA4" w14:textId="77777777" w:rsidR="00A95E06" w:rsidRPr="00B676C4" w:rsidRDefault="00A95E06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mobile devices such as phones and iPads</w:t>
            </w:r>
          </w:p>
          <w:p w14:paraId="510ED1A6" w14:textId="1893A29D" w:rsidR="00A95E06" w:rsidRPr="00B676C4" w:rsidRDefault="00A95E06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printers</w:t>
            </w:r>
          </w:p>
          <w:p w14:paraId="72D20E37" w14:textId="24178F03" w:rsidR="00A95E06" w:rsidRPr="00B676C4" w:rsidRDefault="00A95E06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scanners</w:t>
            </w:r>
          </w:p>
          <w:p w14:paraId="4EF496CC" w14:textId="295DC5E4" w:rsidR="00A95E06" w:rsidRPr="00B676C4" w:rsidRDefault="00A95E06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software</w:t>
            </w:r>
          </w:p>
        </w:tc>
      </w:tr>
      <w:tr w:rsidR="005C5E5B" w:rsidRPr="00B676C4" w14:paraId="6D22FF4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FF540" w14:textId="77777777" w:rsidR="005C5E5B" w:rsidRPr="00B676C4" w:rsidRDefault="005C5E5B" w:rsidP="00B676C4">
            <w:pPr>
              <w:spacing w:before="120" w:after="120" w:line="240" w:lineRule="auto"/>
              <w:rPr>
                <w:rFonts w:eastAsia="Calibri" w:cs="Calibri"/>
              </w:rPr>
            </w:pPr>
            <w:r w:rsidRPr="00B676C4">
              <w:rPr>
                <w:rFonts w:eastAsia="Calibri" w:cs="Calibri"/>
                <w:b/>
                <w:i/>
              </w:rPr>
              <w:t>Relevant persons</w:t>
            </w:r>
            <w:r w:rsidRPr="00B676C4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04F18" w14:textId="46CD16A7" w:rsidR="005C5E5B" w:rsidRPr="00B676C4" w:rsidRDefault="005C5E5B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clients</w:t>
            </w:r>
            <w:r w:rsidR="00382C0D" w:rsidRPr="00B676C4">
              <w:rPr>
                <w:rFonts w:eastAsia="Times New Roman" w:cs="Calibri"/>
                <w:color w:val="333333"/>
                <w:lang w:eastAsia="en-AU"/>
              </w:rPr>
              <w:t xml:space="preserve"> and their staff</w:t>
            </w:r>
          </w:p>
          <w:p w14:paraId="6B774A6C" w14:textId="7438EEAD" w:rsidR="005C5E5B" w:rsidRPr="00B676C4" w:rsidRDefault="005C5E5B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47295005" w14:textId="4FD2534D" w:rsidR="00D47C16" w:rsidRPr="00B676C4" w:rsidRDefault="00CF5BEB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5A6EF111" w14:textId="0D7D7334" w:rsidR="005C5E5B" w:rsidRPr="00B676C4" w:rsidRDefault="005C5E5B" w:rsidP="00B676C4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676C4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</w:tbl>
    <w:p w14:paraId="3EB00879" w14:textId="77777777" w:rsidR="00347808" w:rsidRPr="00B676C4" w:rsidRDefault="00347808" w:rsidP="00B676C4">
      <w:pPr>
        <w:spacing w:before="120" w:after="120" w:line="240" w:lineRule="auto"/>
      </w:pPr>
    </w:p>
    <w:sectPr w:rsidR="00347808" w:rsidRPr="00B6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EC91" w14:textId="77777777" w:rsidR="0033277A" w:rsidRDefault="0033277A" w:rsidP="008B6BD6">
      <w:pPr>
        <w:spacing w:after="0" w:line="240" w:lineRule="auto"/>
      </w:pPr>
      <w:r>
        <w:separator/>
      </w:r>
    </w:p>
  </w:endnote>
  <w:endnote w:type="continuationSeparator" w:id="0">
    <w:p w14:paraId="74ED8EB9" w14:textId="77777777" w:rsidR="0033277A" w:rsidRDefault="0033277A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8151" w14:textId="77777777" w:rsidR="0033277A" w:rsidRDefault="0033277A" w:rsidP="008B6BD6">
      <w:pPr>
        <w:spacing w:after="0" w:line="240" w:lineRule="auto"/>
      </w:pPr>
      <w:r>
        <w:separator/>
      </w:r>
    </w:p>
  </w:footnote>
  <w:footnote w:type="continuationSeparator" w:id="0">
    <w:p w14:paraId="3B2DFD51" w14:textId="77777777" w:rsidR="0033277A" w:rsidRDefault="0033277A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33277A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33277A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3588"/>
    <w:multiLevelType w:val="hybridMultilevel"/>
    <w:tmpl w:val="D6AE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18"/>
  </w:num>
  <w:num w:numId="6">
    <w:abstractNumId w:val="19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"/>
  </w:num>
  <w:num w:numId="16">
    <w:abstractNumId w:val="21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01FD"/>
    <w:rsid w:val="00003AB2"/>
    <w:rsid w:val="00004AFB"/>
    <w:rsid w:val="0001351D"/>
    <w:rsid w:val="000141BA"/>
    <w:rsid w:val="0001587F"/>
    <w:rsid w:val="000221D3"/>
    <w:rsid w:val="00022EB9"/>
    <w:rsid w:val="0002633E"/>
    <w:rsid w:val="000311E4"/>
    <w:rsid w:val="00031F2B"/>
    <w:rsid w:val="00041598"/>
    <w:rsid w:val="0004213A"/>
    <w:rsid w:val="0004747E"/>
    <w:rsid w:val="000519F4"/>
    <w:rsid w:val="000544B6"/>
    <w:rsid w:val="00057E31"/>
    <w:rsid w:val="00062B1F"/>
    <w:rsid w:val="000650A8"/>
    <w:rsid w:val="00066C3C"/>
    <w:rsid w:val="00071F44"/>
    <w:rsid w:val="00075F9C"/>
    <w:rsid w:val="00076E2D"/>
    <w:rsid w:val="00076FDE"/>
    <w:rsid w:val="00083B5C"/>
    <w:rsid w:val="000905CE"/>
    <w:rsid w:val="000933F8"/>
    <w:rsid w:val="000A2951"/>
    <w:rsid w:val="000B0A4B"/>
    <w:rsid w:val="000B0F23"/>
    <w:rsid w:val="000B22A3"/>
    <w:rsid w:val="000B7208"/>
    <w:rsid w:val="000C7B3A"/>
    <w:rsid w:val="000D0360"/>
    <w:rsid w:val="000D05F1"/>
    <w:rsid w:val="000D4939"/>
    <w:rsid w:val="000D5E7A"/>
    <w:rsid w:val="000D6F7B"/>
    <w:rsid w:val="000E157D"/>
    <w:rsid w:val="000E2AAE"/>
    <w:rsid w:val="000E3B4C"/>
    <w:rsid w:val="000E52E6"/>
    <w:rsid w:val="000E5CC1"/>
    <w:rsid w:val="000E7597"/>
    <w:rsid w:val="000E7DB8"/>
    <w:rsid w:val="000E7F57"/>
    <w:rsid w:val="000F009F"/>
    <w:rsid w:val="000F28C6"/>
    <w:rsid w:val="000F31A2"/>
    <w:rsid w:val="000F4364"/>
    <w:rsid w:val="000F456D"/>
    <w:rsid w:val="000F57F4"/>
    <w:rsid w:val="000F59BC"/>
    <w:rsid w:val="000F70F0"/>
    <w:rsid w:val="000F7CB3"/>
    <w:rsid w:val="001056FB"/>
    <w:rsid w:val="00110F88"/>
    <w:rsid w:val="00115B40"/>
    <w:rsid w:val="001160F3"/>
    <w:rsid w:val="00117FD8"/>
    <w:rsid w:val="0012146F"/>
    <w:rsid w:val="00122E24"/>
    <w:rsid w:val="00123F4B"/>
    <w:rsid w:val="00126F5F"/>
    <w:rsid w:val="001351D0"/>
    <w:rsid w:val="00135FE6"/>
    <w:rsid w:val="00137A71"/>
    <w:rsid w:val="00140791"/>
    <w:rsid w:val="001407AA"/>
    <w:rsid w:val="0014272F"/>
    <w:rsid w:val="00142E52"/>
    <w:rsid w:val="00142E8D"/>
    <w:rsid w:val="00146CF1"/>
    <w:rsid w:val="00150398"/>
    <w:rsid w:val="00151D30"/>
    <w:rsid w:val="001526DB"/>
    <w:rsid w:val="00152B62"/>
    <w:rsid w:val="0015706B"/>
    <w:rsid w:val="0016046D"/>
    <w:rsid w:val="00160EF4"/>
    <w:rsid w:val="00162F33"/>
    <w:rsid w:val="00164F7D"/>
    <w:rsid w:val="00167DBF"/>
    <w:rsid w:val="001717F2"/>
    <w:rsid w:val="00181554"/>
    <w:rsid w:val="00181DB8"/>
    <w:rsid w:val="0018222E"/>
    <w:rsid w:val="001831E2"/>
    <w:rsid w:val="001844AC"/>
    <w:rsid w:val="0019186A"/>
    <w:rsid w:val="00194F0A"/>
    <w:rsid w:val="001B1C21"/>
    <w:rsid w:val="001B3600"/>
    <w:rsid w:val="001B5155"/>
    <w:rsid w:val="001B5C5A"/>
    <w:rsid w:val="001C5E02"/>
    <w:rsid w:val="001C7D96"/>
    <w:rsid w:val="001D4703"/>
    <w:rsid w:val="001E34CC"/>
    <w:rsid w:val="001F3A28"/>
    <w:rsid w:val="001F5CD6"/>
    <w:rsid w:val="001F63AB"/>
    <w:rsid w:val="002101EA"/>
    <w:rsid w:val="00210CC7"/>
    <w:rsid w:val="00211198"/>
    <w:rsid w:val="00212B78"/>
    <w:rsid w:val="00215464"/>
    <w:rsid w:val="002265DB"/>
    <w:rsid w:val="002339EC"/>
    <w:rsid w:val="00233CED"/>
    <w:rsid w:val="002344D8"/>
    <w:rsid w:val="00234838"/>
    <w:rsid w:val="00236288"/>
    <w:rsid w:val="00236B8A"/>
    <w:rsid w:val="00237770"/>
    <w:rsid w:val="00242385"/>
    <w:rsid w:val="0025075D"/>
    <w:rsid w:val="00253D38"/>
    <w:rsid w:val="00262CA7"/>
    <w:rsid w:val="00262F78"/>
    <w:rsid w:val="00264FD7"/>
    <w:rsid w:val="00267DB0"/>
    <w:rsid w:val="00270425"/>
    <w:rsid w:val="00275606"/>
    <w:rsid w:val="00275674"/>
    <w:rsid w:val="0027618E"/>
    <w:rsid w:val="00277A76"/>
    <w:rsid w:val="002828F6"/>
    <w:rsid w:val="00282976"/>
    <w:rsid w:val="002859D1"/>
    <w:rsid w:val="002879FD"/>
    <w:rsid w:val="002919AD"/>
    <w:rsid w:val="0029298F"/>
    <w:rsid w:val="002A06D3"/>
    <w:rsid w:val="002A2927"/>
    <w:rsid w:val="002A30DA"/>
    <w:rsid w:val="002A4EE1"/>
    <w:rsid w:val="002B710B"/>
    <w:rsid w:val="002C10C1"/>
    <w:rsid w:val="002C3217"/>
    <w:rsid w:val="002D33E3"/>
    <w:rsid w:val="002D40FB"/>
    <w:rsid w:val="002E6879"/>
    <w:rsid w:val="002E6CAC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F85"/>
    <w:rsid w:val="003119F5"/>
    <w:rsid w:val="00315B85"/>
    <w:rsid w:val="003162FE"/>
    <w:rsid w:val="0031647F"/>
    <w:rsid w:val="003210FE"/>
    <w:rsid w:val="0032496B"/>
    <w:rsid w:val="00324AD5"/>
    <w:rsid w:val="00325855"/>
    <w:rsid w:val="003274BD"/>
    <w:rsid w:val="0033277A"/>
    <w:rsid w:val="003412A7"/>
    <w:rsid w:val="00344FC4"/>
    <w:rsid w:val="00347551"/>
    <w:rsid w:val="00347808"/>
    <w:rsid w:val="00350CB3"/>
    <w:rsid w:val="0035159A"/>
    <w:rsid w:val="00352B6A"/>
    <w:rsid w:val="00352F12"/>
    <w:rsid w:val="00356698"/>
    <w:rsid w:val="00357052"/>
    <w:rsid w:val="0036069E"/>
    <w:rsid w:val="00370E70"/>
    <w:rsid w:val="00371D22"/>
    <w:rsid w:val="00371D6C"/>
    <w:rsid w:val="00375A15"/>
    <w:rsid w:val="00376FD4"/>
    <w:rsid w:val="00381158"/>
    <w:rsid w:val="00382C0D"/>
    <w:rsid w:val="00384963"/>
    <w:rsid w:val="00385144"/>
    <w:rsid w:val="003874B1"/>
    <w:rsid w:val="0039208D"/>
    <w:rsid w:val="00393C35"/>
    <w:rsid w:val="00396154"/>
    <w:rsid w:val="003A5AFA"/>
    <w:rsid w:val="003A6E86"/>
    <w:rsid w:val="003B043F"/>
    <w:rsid w:val="003B5B93"/>
    <w:rsid w:val="003B7BBE"/>
    <w:rsid w:val="003C1C1D"/>
    <w:rsid w:val="003C6536"/>
    <w:rsid w:val="003C7308"/>
    <w:rsid w:val="003D05A3"/>
    <w:rsid w:val="003D1275"/>
    <w:rsid w:val="003D17A1"/>
    <w:rsid w:val="003D5AF3"/>
    <w:rsid w:val="003D7400"/>
    <w:rsid w:val="003E0075"/>
    <w:rsid w:val="003E00A1"/>
    <w:rsid w:val="003E0753"/>
    <w:rsid w:val="003E2E55"/>
    <w:rsid w:val="003E387E"/>
    <w:rsid w:val="003E52D8"/>
    <w:rsid w:val="003E6A76"/>
    <w:rsid w:val="003F186B"/>
    <w:rsid w:val="003F6891"/>
    <w:rsid w:val="00401CA5"/>
    <w:rsid w:val="00401ED4"/>
    <w:rsid w:val="00401EF3"/>
    <w:rsid w:val="0040486C"/>
    <w:rsid w:val="00407025"/>
    <w:rsid w:val="00410D9B"/>
    <w:rsid w:val="0041240C"/>
    <w:rsid w:val="004175AC"/>
    <w:rsid w:val="004178D4"/>
    <w:rsid w:val="00420FDB"/>
    <w:rsid w:val="00421132"/>
    <w:rsid w:val="004242B5"/>
    <w:rsid w:val="004273C5"/>
    <w:rsid w:val="00430FE2"/>
    <w:rsid w:val="00431880"/>
    <w:rsid w:val="004411D2"/>
    <w:rsid w:val="00444439"/>
    <w:rsid w:val="00447F16"/>
    <w:rsid w:val="004510F4"/>
    <w:rsid w:val="00452EEA"/>
    <w:rsid w:val="00457A39"/>
    <w:rsid w:val="00461F76"/>
    <w:rsid w:val="00463D61"/>
    <w:rsid w:val="00463EE2"/>
    <w:rsid w:val="0046792D"/>
    <w:rsid w:val="0048255C"/>
    <w:rsid w:val="004833C5"/>
    <w:rsid w:val="00487383"/>
    <w:rsid w:val="00495012"/>
    <w:rsid w:val="0049534B"/>
    <w:rsid w:val="004B4749"/>
    <w:rsid w:val="004B52EA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692E"/>
    <w:rsid w:val="004E1B34"/>
    <w:rsid w:val="004E5419"/>
    <w:rsid w:val="004E670F"/>
    <w:rsid w:val="004E6D32"/>
    <w:rsid w:val="004E72FD"/>
    <w:rsid w:val="004F0EF6"/>
    <w:rsid w:val="004F4181"/>
    <w:rsid w:val="004F59D3"/>
    <w:rsid w:val="00505110"/>
    <w:rsid w:val="00505F31"/>
    <w:rsid w:val="0050651B"/>
    <w:rsid w:val="00511F95"/>
    <w:rsid w:val="00512599"/>
    <w:rsid w:val="00516F4E"/>
    <w:rsid w:val="0052080D"/>
    <w:rsid w:val="005226C7"/>
    <w:rsid w:val="00522EC4"/>
    <w:rsid w:val="00531EEE"/>
    <w:rsid w:val="00533D80"/>
    <w:rsid w:val="005405BD"/>
    <w:rsid w:val="00542777"/>
    <w:rsid w:val="00543A5C"/>
    <w:rsid w:val="005511AB"/>
    <w:rsid w:val="00551F02"/>
    <w:rsid w:val="00552260"/>
    <w:rsid w:val="00555265"/>
    <w:rsid w:val="00555D11"/>
    <w:rsid w:val="00563CA6"/>
    <w:rsid w:val="00564B1D"/>
    <w:rsid w:val="00564B47"/>
    <w:rsid w:val="00564C07"/>
    <w:rsid w:val="00564D1D"/>
    <w:rsid w:val="005714D8"/>
    <w:rsid w:val="00574325"/>
    <w:rsid w:val="005771A4"/>
    <w:rsid w:val="0057766E"/>
    <w:rsid w:val="0058078C"/>
    <w:rsid w:val="00582D7B"/>
    <w:rsid w:val="005842DA"/>
    <w:rsid w:val="005866F9"/>
    <w:rsid w:val="005900F9"/>
    <w:rsid w:val="00597FE2"/>
    <w:rsid w:val="005A6BF0"/>
    <w:rsid w:val="005A7705"/>
    <w:rsid w:val="005B2DF4"/>
    <w:rsid w:val="005B3B7D"/>
    <w:rsid w:val="005B670C"/>
    <w:rsid w:val="005C1EF1"/>
    <w:rsid w:val="005C2A5C"/>
    <w:rsid w:val="005C3299"/>
    <w:rsid w:val="005C3D43"/>
    <w:rsid w:val="005C5E5B"/>
    <w:rsid w:val="005D0B6B"/>
    <w:rsid w:val="005D32B2"/>
    <w:rsid w:val="005D6649"/>
    <w:rsid w:val="005E0FDC"/>
    <w:rsid w:val="005E3A48"/>
    <w:rsid w:val="005E6311"/>
    <w:rsid w:val="005E6B92"/>
    <w:rsid w:val="005F072E"/>
    <w:rsid w:val="005F23D7"/>
    <w:rsid w:val="005F2C56"/>
    <w:rsid w:val="005F30CA"/>
    <w:rsid w:val="00602AC2"/>
    <w:rsid w:val="00604678"/>
    <w:rsid w:val="00604788"/>
    <w:rsid w:val="00611A60"/>
    <w:rsid w:val="006143CD"/>
    <w:rsid w:val="006146FA"/>
    <w:rsid w:val="0062140C"/>
    <w:rsid w:val="0062213A"/>
    <w:rsid w:val="006228EA"/>
    <w:rsid w:val="006234EF"/>
    <w:rsid w:val="00631381"/>
    <w:rsid w:val="00633488"/>
    <w:rsid w:val="006336F4"/>
    <w:rsid w:val="00635CF7"/>
    <w:rsid w:val="006404FB"/>
    <w:rsid w:val="006415F5"/>
    <w:rsid w:val="00643CDE"/>
    <w:rsid w:val="0064526F"/>
    <w:rsid w:val="00645735"/>
    <w:rsid w:val="00646540"/>
    <w:rsid w:val="00646934"/>
    <w:rsid w:val="00657F57"/>
    <w:rsid w:val="006618F7"/>
    <w:rsid w:val="006631E7"/>
    <w:rsid w:val="006706AE"/>
    <w:rsid w:val="00677A47"/>
    <w:rsid w:val="00680C72"/>
    <w:rsid w:val="00680D29"/>
    <w:rsid w:val="00681B59"/>
    <w:rsid w:val="00681CE2"/>
    <w:rsid w:val="00687527"/>
    <w:rsid w:val="00691005"/>
    <w:rsid w:val="00692B8E"/>
    <w:rsid w:val="00693EA1"/>
    <w:rsid w:val="00694108"/>
    <w:rsid w:val="0069727A"/>
    <w:rsid w:val="006A2E5A"/>
    <w:rsid w:val="006A37A3"/>
    <w:rsid w:val="006A39EA"/>
    <w:rsid w:val="006A4842"/>
    <w:rsid w:val="006A4EE4"/>
    <w:rsid w:val="006A5CF3"/>
    <w:rsid w:val="006A79D5"/>
    <w:rsid w:val="006B049E"/>
    <w:rsid w:val="006B1013"/>
    <w:rsid w:val="006C1398"/>
    <w:rsid w:val="006C1C10"/>
    <w:rsid w:val="006C5C56"/>
    <w:rsid w:val="006C64B7"/>
    <w:rsid w:val="006C7C3B"/>
    <w:rsid w:val="006D0EA0"/>
    <w:rsid w:val="006D17D4"/>
    <w:rsid w:val="006D1ADC"/>
    <w:rsid w:val="006D3D72"/>
    <w:rsid w:val="006D79E8"/>
    <w:rsid w:val="006E69DC"/>
    <w:rsid w:val="006E6BE7"/>
    <w:rsid w:val="006E716C"/>
    <w:rsid w:val="006E76A2"/>
    <w:rsid w:val="006F1F90"/>
    <w:rsid w:val="00701666"/>
    <w:rsid w:val="0071004D"/>
    <w:rsid w:val="007131D1"/>
    <w:rsid w:val="0071339C"/>
    <w:rsid w:val="00717148"/>
    <w:rsid w:val="007174D4"/>
    <w:rsid w:val="00720745"/>
    <w:rsid w:val="007263E5"/>
    <w:rsid w:val="0073551E"/>
    <w:rsid w:val="0073627E"/>
    <w:rsid w:val="00737079"/>
    <w:rsid w:val="007459D5"/>
    <w:rsid w:val="0075551A"/>
    <w:rsid w:val="007559A7"/>
    <w:rsid w:val="00762EF7"/>
    <w:rsid w:val="0077023C"/>
    <w:rsid w:val="00770752"/>
    <w:rsid w:val="00771CB7"/>
    <w:rsid w:val="0077343C"/>
    <w:rsid w:val="007762B1"/>
    <w:rsid w:val="00777CAC"/>
    <w:rsid w:val="00784220"/>
    <w:rsid w:val="007856FF"/>
    <w:rsid w:val="007862EC"/>
    <w:rsid w:val="00787FB2"/>
    <w:rsid w:val="007901E7"/>
    <w:rsid w:val="00791FAE"/>
    <w:rsid w:val="00792B2D"/>
    <w:rsid w:val="00794410"/>
    <w:rsid w:val="00795CE5"/>
    <w:rsid w:val="00796B09"/>
    <w:rsid w:val="0079761B"/>
    <w:rsid w:val="00797BD1"/>
    <w:rsid w:val="007A46B3"/>
    <w:rsid w:val="007A584D"/>
    <w:rsid w:val="007B03F6"/>
    <w:rsid w:val="007B0A24"/>
    <w:rsid w:val="007B0E05"/>
    <w:rsid w:val="007B2FEE"/>
    <w:rsid w:val="007B543E"/>
    <w:rsid w:val="007C34E0"/>
    <w:rsid w:val="007C59CA"/>
    <w:rsid w:val="007D3382"/>
    <w:rsid w:val="007D3E13"/>
    <w:rsid w:val="007D733E"/>
    <w:rsid w:val="007E3B8A"/>
    <w:rsid w:val="007E7A16"/>
    <w:rsid w:val="007F549F"/>
    <w:rsid w:val="007F6766"/>
    <w:rsid w:val="008055DD"/>
    <w:rsid w:val="008118EE"/>
    <w:rsid w:val="00820011"/>
    <w:rsid w:val="008200E8"/>
    <w:rsid w:val="00820FF0"/>
    <w:rsid w:val="008220AF"/>
    <w:rsid w:val="00825408"/>
    <w:rsid w:val="00826B11"/>
    <w:rsid w:val="00833490"/>
    <w:rsid w:val="00835423"/>
    <w:rsid w:val="00837D0B"/>
    <w:rsid w:val="00840F64"/>
    <w:rsid w:val="00845A24"/>
    <w:rsid w:val="008471AA"/>
    <w:rsid w:val="00851BDF"/>
    <w:rsid w:val="008535CB"/>
    <w:rsid w:val="00854210"/>
    <w:rsid w:val="00861B9D"/>
    <w:rsid w:val="00871274"/>
    <w:rsid w:val="0087223A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B07E6"/>
    <w:rsid w:val="008B29DC"/>
    <w:rsid w:val="008B4A01"/>
    <w:rsid w:val="008B4ADC"/>
    <w:rsid w:val="008B65A9"/>
    <w:rsid w:val="008B6BD6"/>
    <w:rsid w:val="008C5232"/>
    <w:rsid w:val="008C5394"/>
    <w:rsid w:val="008C5747"/>
    <w:rsid w:val="008C6562"/>
    <w:rsid w:val="008D2FAD"/>
    <w:rsid w:val="008D3885"/>
    <w:rsid w:val="008D4200"/>
    <w:rsid w:val="008D5402"/>
    <w:rsid w:val="008E5BF9"/>
    <w:rsid w:val="008F0EB6"/>
    <w:rsid w:val="008F1A02"/>
    <w:rsid w:val="008F5AD2"/>
    <w:rsid w:val="00903029"/>
    <w:rsid w:val="0090548A"/>
    <w:rsid w:val="00905698"/>
    <w:rsid w:val="00906F8F"/>
    <w:rsid w:val="00911E93"/>
    <w:rsid w:val="009123F9"/>
    <w:rsid w:val="0091474E"/>
    <w:rsid w:val="00915A6B"/>
    <w:rsid w:val="00922FD2"/>
    <w:rsid w:val="00923E61"/>
    <w:rsid w:val="009300F5"/>
    <w:rsid w:val="00931DC7"/>
    <w:rsid w:val="00932F79"/>
    <w:rsid w:val="009405B8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6"/>
    <w:rsid w:val="0096503B"/>
    <w:rsid w:val="00966E1B"/>
    <w:rsid w:val="009674D4"/>
    <w:rsid w:val="00967C5E"/>
    <w:rsid w:val="00971DAE"/>
    <w:rsid w:val="00983CAE"/>
    <w:rsid w:val="009857BE"/>
    <w:rsid w:val="00985CF4"/>
    <w:rsid w:val="00991698"/>
    <w:rsid w:val="0099296E"/>
    <w:rsid w:val="00995E65"/>
    <w:rsid w:val="009A108F"/>
    <w:rsid w:val="009A3749"/>
    <w:rsid w:val="009A3F8F"/>
    <w:rsid w:val="009A623F"/>
    <w:rsid w:val="009B33E7"/>
    <w:rsid w:val="009B53B3"/>
    <w:rsid w:val="009B5CC1"/>
    <w:rsid w:val="009B73B2"/>
    <w:rsid w:val="009C07E3"/>
    <w:rsid w:val="009C2FE5"/>
    <w:rsid w:val="009D3F66"/>
    <w:rsid w:val="009E0EC0"/>
    <w:rsid w:val="009E62ED"/>
    <w:rsid w:val="009F0801"/>
    <w:rsid w:val="009F1256"/>
    <w:rsid w:val="009F1940"/>
    <w:rsid w:val="009F7080"/>
    <w:rsid w:val="00A03BA0"/>
    <w:rsid w:val="00A06688"/>
    <w:rsid w:val="00A07E43"/>
    <w:rsid w:val="00A10F5E"/>
    <w:rsid w:val="00A17355"/>
    <w:rsid w:val="00A20394"/>
    <w:rsid w:val="00A218AE"/>
    <w:rsid w:val="00A21E95"/>
    <w:rsid w:val="00A23E12"/>
    <w:rsid w:val="00A25BF5"/>
    <w:rsid w:val="00A3083C"/>
    <w:rsid w:val="00A3361C"/>
    <w:rsid w:val="00A33620"/>
    <w:rsid w:val="00A34B10"/>
    <w:rsid w:val="00A403D6"/>
    <w:rsid w:val="00A43935"/>
    <w:rsid w:val="00A53538"/>
    <w:rsid w:val="00A55D19"/>
    <w:rsid w:val="00A56865"/>
    <w:rsid w:val="00A57BFC"/>
    <w:rsid w:val="00A60EED"/>
    <w:rsid w:val="00A74993"/>
    <w:rsid w:val="00A8272E"/>
    <w:rsid w:val="00A83B12"/>
    <w:rsid w:val="00A8588D"/>
    <w:rsid w:val="00A859EC"/>
    <w:rsid w:val="00A86EDB"/>
    <w:rsid w:val="00A90A18"/>
    <w:rsid w:val="00A9421B"/>
    <w:rsid w:val="00A95E06"/>
    <w:rsid w:val="00A96B0B"/>
    <w:rsid w:val="00AA2C06"/>
    <w:rsid w:val="00AA5359"/>
    <w:rsid w:val="00AB001A"/>
    <w:rsid w:val="00AB536E"/>
    <w:rsid w:val="00AB70BF"/>
    <w:rsid w:val="00AC148E"/>
    <w:rsid w:val="00AC7880"/>
    <w:rsid w:val="00AD0809"/>
    <w:rsid w:val="00AD4D46"/>
    <w:rsid w:val="00AD5A08"/>
    <w:rsid w:val="00AE710A"/>
    <w:rsid w:val="00AE7856"/>
    <w:rsid w:val="00AF2486"/>
    <w:rsid w:val="00AF442A"/>
    <w:rsid w:val="00AF79E6"/>
    <w:rsid w:val="00B07044"/>
    <w:rsid w:val="00B070CF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355A2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676C4"/>
    <w:rsid w:val="00B70176"/>
    <w:rsid w:val="00B7290B"/>
    <w:rsid w:val="00B74CB0"/>
    <w:rsid w:val="00B76CEB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1CB"/>
    <w:rsid w:val="00BA51D0"/>
    <w:rsid w:val="00BC266E"/>
    <w:rsid w:val="00BC3111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103E0"/>
    <w:rsid w:val="00C128ED"/>
    <w:rsid w:val="00C16AD7"/>
    <w:rsid w:val="00C21712"/>
    <w:rsid w:val="00C23667"/>
    <w:rsid w:val="00C249AF"/>
    <w:rsid w:val="00C24BEE"/>
    <w:rsid w:val="00C30C3C"/>
    <w:rsid w:val="00C409A1"/>
    <w:rsid w:val="00C43A03"/>
    <w:rsid w:val="00C43C32"/>
    <w:rsid w:val="00C50802"/>
    <w:rsid w:val="00C5378E"/>
    <w:rsid w:val="00C538A5"/>
    <w:rsid w:val="00C54166"/>
    <w:rsid w:val="00C56400"/>
    <w:rsid w:val="00C627B8"/>
    <w:rsid w:val="00C62C65"/>
    <w:rsid w:val="00C65D1C"/>
    <w:rsid w:val="00C748E7"/>
    <w:rsid w:val="00CA04C6"/>
    <w:rsid w:val="00CA0E49"/>
    <w:rsid w:val="00CA1CE6"/>
    <w:rsid w:val="00CA210F"/>
    <w:rsid w:val="00CA3477"/>
    <w:rsid w:val="00CA7BC3"/>
    <w:rsid w:val="00CB02EA"/>
    <w:rsid w:val="00CB0AF3"/>
    <w:rsid w:val="00CB50E3"/>
    <w:rsid w:val="00CC2ACE"/>
    <w:rsid w:val="00CC5F39"/>
    <w:rsid w:val="00CC6E76"/>
    <w:rsid w:val="00CC6F01"/>
    <w:rsid w:val="00CD07A3"/>
    <w:rsid w:val="00CD0B33"/>
    <w:rsid w:val="00CD2C3C"/>
    <w:rsid w:val="00CD528E"/>
    <w:rsid w:val="00CD7F8B"/>
    <w:rsid w:val="00CE1A7A"/>
    <w:rsid w:val="00CE311B"/>
    <w:rsid w:val="00CE43A4"/>
    <w:rsid w:val="00CE54C6"/>
    <w:rsid w:val="00CE5B60"/>
    <w:rsid w:val="00CE6A36"/>
    <w:rsid w:val="00CE6F97"/>
    <w:rsid w:val="00CE71DA"/>
    <w:rsid w:val="00CF20B2"/>
    <w:rsid w:val="00CF319D"/>
    <w:rsid w:val="00CF4AC3"/>
    <w:rsid w:val="00CF5BEB"/>
    <w:rsid w:val="00CF7D76"/>
    <w:rsid w:val="00D01194"/>
    <w:rsid w:val="00D04833"/>
    <w:rsid w:val="00D05BB2"/>
    <w:rsid w:val="00D11EE2"/>
    <w:rsid w:val="00D125D7"/>
    <w:rsid w:val="00D245B3"/>
    <w:rsid w:val="00D26EC4"/>
    <w:rsid w:val="00D272E9"/>
    <w:rsid w:val="00D31DFC"/>
    <w:rsid w:val="00D336F3"/>
    <w:rsid w:val="00D47C16"/>
    <w:rsid w:val="00D54256"/>
    <w:rsid w:val="00D5487F"/>
    <w:rsid w:val="00D55005"/>
    <w:rsid w:val="00D56727"/>
    <w:rsid w:val="00D57B3B"/>
    <w:rsid w:val="00D6076D"/>
    <w:rsid w:val="00D60E87"/>
    <w:rsid w:val="00D675EA"/>
    <w:rsid w:val="00D6793F"/>
    <w:rsid w:val="00D679AE"/>
    <w:rsid w:val="00D7225E"/>
    <w:rsid w:val="00D74400"/>
    <w:rsid w:val="00D7690A"/>
    <w:rsid w:val="00D77AA4"/>
    <w:rsid w:val="00D849E3"/>
    <w:rsid w:val="00D84A52"/>
    <w:rsid w:val="00D85BE5"/>
    <w:rsid w:val="00D86633"/>
    <w:rsid w:val="00D901F5"/>
    <w:rsid w:val="00D92B48"/>
    <w:rsid w:val="00D96143"/>
    <w:rsid w:val="00DA7803"/>
    <w:rsid w:val="00DB2681"/>
    <w:rsid w:val="00DB4C12"/>
    <w:rsid w:val="00DB71CF"/>
    <w:rsid w:val="00DC0E01"/>
    <w:rsid w:val="00DC36B4"/>
    <w:rsid w:val="00DC4EE5"/>
    <w:rsid w:val="00DC6D22"/>
    <w:rsid w:val="00DD0B69"/>
    <w:rsid w:val="00DD35DD"/>
    <w:rsid w:val="00DD4171"/>
    <w:rsid w:val="00DD48CE"/>
    <w:rsid w:val="00DE4630"/>
    <w:rsid w:val="00DE67BE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7DC"/>
    <w:rsid w:val="00E0784D"/>
    <w:rsid w:val="00E12922"/>
    <w:rsid w:val="00E211A3"/>
    <w:rsid w:val="00E228A4"/>
    <w:rsid w:val="00E25175"/>
    <w:rsid w:val="00E2754A"/>
    <w:rsid w:val="00E27F10"/>
    <w:rsid w:val="00E3394A"/>
    <w:rsid w:val="00E36C09"/>
    <w:rsid w:val="00E41036"/>
    <w:rsid w:val="00E455E2"/>
    <w:rsid w:val="00E45764"/>
    <w:rsid w:val="00E46838"/>
    <w:rsid w:val="00E47928"/>
    <w:rsid w:val="00E50BE3"/>
    <w:rsid w:val="00E50F78"/>
    <w:rsid w:val="00E552AB"/>
    <w:rsid w:val="00E57F2A"/>
    <w:rsid w:val="00E6565D"/>
    <w:rsid w:val="00E65BBE"/>
    <w:rsid w:val="00E66290"/>
    <w:rsid w:val="00E7479D"/>
    <w:rsid w:val="00E80B57"/>
    <w:rsid w:val="00E8233A"/>
    <w:rsid w:val="00E830A5"/>
    <w:rsid w:val="00E92E7C"/>
    <w:rsid w:val="00E95615"/>
    <w:rsid w:val="00E96AF7"/>
    <w:rsid w:val="00E96BFF"/>
    <w:rsid w:val="00E97EFE"/>
    <w:rsid w:val="00EA01A8"/>
    <w:rsid w:val="00EA2302"/>
    <w:rsid w:val="00EA2BD0"/>
    <w:rsid w:val="00EA3E0D"/>
    <w:rsid w:val="00EA5287"/>
    <w:rsid w:val="00EA7AB6"/>
    <w:rsid w:val="00EB2878"/>
    <w:rsid w:val="00EB5365"/>
    <w:rsid w:val="00EB5852"/>
    <w:rsid w:val="00EB65D9"/>
    <w:rsid w:val="00EC0A85"/>
    <w:rsid w:val="00EC5649"/>
    <w:rsid w:val="00EC5EE0"/>
    <w:rsid w:val="00EE1D14"/>
    <w:rsid w:val="00EF46A8"/>
    <w:rsid w:val="00EF49B5"/>
    <w:rsid w:val="00F00E92"/>
    <w:rsid w:val="00F03DC5"/>
    <w:rsid w:val="00F0468B"/>
    <w:rsid w:val="00F1525B"/>
    <w:rsid w:val="00F15962"/>
    <w:rsid w:val="00F16B82"/>
    <w:rsid w:val="00F16EE3"/>
    <w:rsid w:val="00F17248"/>
    <w:rsid w:val="00F174EB"/>
    <w:rsid w:val="00F22BE9"/>
    <w:rsid w:val="00F25C3D"/>
    <w:rsid w:val="00F30127"/>
    <w:rsid w:val="00F3248D"/>
    <w:rsid w:val="00F32D32"/>
    <w:rsid w:val="00F34474"/>
    <w:rsid w:val="00F44DB0"/>
    <w:rsid w:val="00F46D17"/>
    <w:rsid w:val="00F51AE3"/>
    <w:rsid w:val="00F53326"/>
    <w:rsid w:val="00F53D85"/>
    <w:rsid w:val="00F573BF"/>
    <w:rsid w:val="00F57681"/>
    <w:rsid w:val="00F57BB7"/>
    <w:rsid w:val="00F57D10"/>
    <w:rsid w:val="00F57E56"/>
    <w:rsid w:val="00F6109D"/>
    <w:rsid w:val="00F61D82"/>
    <w:rsid w:val="00F6208C"/>
    <w:rsid w:val="00F625D8"/>
    <w:rsid w:val="00F647FC"/>
    <w:rsid w:val="00F65483"/>
    <w:rsid w:val="00F66D84"/>
    <w:rsid w:val="00F70C73"/>
    <w:rsid w:val="00F716A5"/>
    <w:rsid w:val="00F7180D"/>
    <w:rsid w:val="00F733E7"/>
    <w:rsid w:val="00F8190D"/>
    <w:rsid w:val="00F83083"/>
    <w:rsid w:val="00F8745E"/>
    <w:rsid w:val="00F909CB"/>
    <w:rsid w:val="00FA1C13"/>
    <w:rsid w:val="00FA3F16"/>
    <w:rsid w:val="00FB18ED"/>
    <w:rsid w:val="00FC1AE2"/>
    <w:rsid w:val="00FC4645"/>
    <w:rsid w:val="00FC487B"/>
    <w:rsid w:val="00FC606B"/>
    <w:rsid w:val="00FC7675"/>
    <w:rsid w:val="00FD2D1D"/>
    <w:rsid w:val="00FD2EB1"/>
    <w:rsid w:val="00FD39B7"/>
    <w:rsid w:val="00FD5122"/>
    <w:rsid w:val="00FD5345"/>
    <w:rsid w:val="00FE1BCE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139</cp:revision>
  <cp:lastPrinted>2017-09-10T00:35:00Z</cp:lastPrinted>
  <dcterms:created xsi:type="dcterms:W3CDTF">2017-09-10T00:01:00Z</dcterms:created>
  <dcterms:modified xsi:type="dcterms:W3CDTF">2017-10-24T00:55:00Z</dcterms:modified>
</cp:coreProperties>
</file>