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A218A7" w:rsidRDefault="009F1256" w:rsidP="00A218A7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A218A7" w14:paraId="7B6F9FA8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A218A7" w:rsidRDefault="000D4939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A218A7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A218A7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A218A7" w14:paraId="4B6CC15D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5C1D6414" w:rsidR="009F1256" w:rsidRPr="00A218A7" w:rsidRDefault="009A623F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Manage conflict and security risks using negotiation</w:t>
            </w:r>
          </w:p>
        </w:tc>
      </w:tr>
      <w:tr w:rsidR="004B61B2" w:rsidRPr="00A218A7" w14:paraId="21C955BC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A218A7" w:rsidRDefault="00CB02EA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6253F5A" w:rsidR="00B46109" w:rsidRPr="00A218A7" w:rsidRDefault="009F1256" w:rsidP="00A218A7">
            <w:pPr>
              <w:spacing w:before="120" w:after="120" w:line="240" w:lineRule="auto"/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A218A7">
              <w:t xml:space="preserve"> </w:t>
            </w:r>
            <w:r w:rsidR="002E6879" w:rsidRPr="00A218A7">
              <w:t xml:space="preserve">to </w:t>
            </w:r>
            <w:r w:rsidR="00A07E43" w:rsidRPr="00A218A7">
              <w:t>manage conflict and</w:t>
            </w:r>
            <w:r w:rsidR="009A623F" w:rsidRPr="00A218A7">
              <w:t xml:space="preserve"> security</w:t>
            </w:r>
            <w:r w:rsidR="00A07E43" w:rsidRPr="00A218A7">
              <w:t xml:space="preserve"> risks using negotiation techniques</w:t>
            </w:r>
            <w:r w:rsidR="008D5402" w:rsidRPr="00A218A7">
              <w:t>.</w:t>
            </w:r>
          </w:p>
          <w:p w14:paraId="3337F2D4" w14:textId="112D9F7B" w:rsidR="00A218A7" w:rsidRPr="00A218A7" w:rsidRDefault="00564B47" w:rsidP="00A218A7">
            <w:pPr>
              <w:spacing w:before="120" w:after="120" w:line="240" w:lineRule="auto"/>
            </w:pPr>
            <w:r w:rsidRPr="00A218A7">
              <w:t xml:space="preserve">It </w:t>
            </w:r>
            <w:r w:rsidR="003845B7">
              <w:t>includes:</w:t>
            </w:r>
          </w:p>
          <w:p w14:paraId="617D9DBC" w14:textId="6FE2778A" w:rsidR="003845B7" w:rsidRDefault="00564B47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 xml:space="preserve">interpreting and complying with </w:t>
            </w:r>
            <w:r w:rsidR="00B56A3E" w:rsidRPr="00A218A7">
              <w:t xml:space="preserve">workplace </w:t>
            </w:r>
            <w:r w:rsidRPr="00A218A7">
              <w:t xml:space="preserve">procedures </w:t>
            </w:r>
            <w:r w:rsidR="00B56A3E" w:rsidRPr="00A218A7">
              <w:t xml:space="preserve">and policies and legal rights and responsibilities </w:t>
            </w:r>
            <w:r w:rsidRPr="00A218A7">
              <w:t xml:space="preserve">including </w:t>
            </w:r>
            <w:r w:rsidR="00C6352B">
              <w:t>workplace h</w:t>
            </w:r>
            <w:r w:rsidRPr="00A218A7">
              <w:t>ealth and safety (WHS</w:t>
            </w:r>
            <w:r w:rsidR="00403541">
              <w:t>)</w:t>
            </w:r>
          </w:p>
          <w:p w14:paraId="6EDDD436" w14:textId="77777777" w:rsidR="003845B7" w:rsidRDefault="00D56727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 xml:space="preserve">observing the work environment and maintaining </w:t>
            </w:r>
            <w:r w:rsidR="00C128ED" w:rsidRPr="00A218A7">
              <w:t>situational awareness</w:t>
            </w:r>
            <w:r w:rsidRPr="00A218A7">
              <w:t xml:space="preserve"> to</w:t>
            </w:r>
            <w:r w:rsidR="00C128ED" w:rsidRPr="00A218A7">
              <w:t xml:space="preserve"> </w:t>
            </w:r>
            <w:r w:rsidR="007D3382" w:rsidRPr="00A218A7">
              <w:t>identify source</w:t>
            </w:r>
            <w:r w:rsidR="008220AF" w:rsidRPr="00A218A7">
              <w:t>s</w:t>
            </w:r>
            <w:r w:rsidR="007D3382" w:rsidRPr="00A218A7">
              <w:t xml:space="preserve"> of conflict</w:t>
            </w:r>
            <w:r w:rsidR="00381158" w:rsidRPr="00A218A7">
              <w:t xml:space="preserve"> and risk to people, property or premises</w:t>
            </w:r>
          </w:p>
          <w:p w14:paraId="003D6CC3" w14:textId="77777777" w:rsidR="003845B7" w:rsidRDefault="008220AF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 xml:space="preserve">assessing the </w:t>
            </w:r>
            <w:r w:rsidR="00D56727" w:rsidRPr="00A218A7">
              <w:t xml:space="preserve">conflict </w:t>
            </w:r>
            <w:r w:rsidRPr="00A218A7">
              <w:t>situation and risk posed</w:t>
            </w:r>
            <w:r w:rsidR="003845B7">
              <w:t>,</w:t>
            </w:r>
            <w:r w:rsidRPr="00A218A7">
              <w:t xml:space="preserve"> and selecting and implementing response options within the scope of own authority</w:t>
            </w:r>
          </w:p>
          <w:p w14:paraId="43459DD3" w14:textId="77777777" w:rsidR="003845B7" w:rsidRDefault="00076E2D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>using effective negotiation and communication techniques to resolve conflict and minimise the security risk</w:t>
            </w:r>
            <w:r w:rsidR="00D6076D" w:rsidRPr="00A218A7">
              <w:t xml:space="preserve"> in a manner that accounts for individual social and cultural differences and encourages a shared approach to conflict resolution</w:t>
            </w:r>
          </w:p>
          <w:p w14:paraId="6890369B" w14:textId="77777777" w:rsidR="003845B7" w:rsidRDefault="00D6076D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>requires</w:t>
            </w:r>
            <w:r w:rsidR="00076E2D" w:rsidRPr="00A218A7">
              <w:t xml:space="preserve"> applying contingency measures to respond to changing circumstances that </w:t>
            </w:r>
            <w:r w:rsidR="00D56727" w:rsidRPr="00A218A7">
              <w:t xml:space="preserve">might </w:t>
            </w:r>
            <w:r w:rsidR="00076E2D" w:rsidRPr="00A218A7">
              <w:t>escalate the conflict or risk</w:t>
            </w:r>
            <w:r w:rsidR="000544B6" w:rsidRPr="00A218A7">
              <w:t xml:space="preserve"> </w:t>
            </w:r>
            <w:r w:rsidR="00381158" w:rsidRPr="00A218A7">
              <w:t>level</w:t>
            </w:r>
          </w:p>
          <w:p w14:paraId="2D1B6CD0" w14:textId="77777777" w:rsidR="003845B7" w:rsidRDefault="00A20394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 xml:space="preserve">working with others to </w:t>
            </w:r>
            <w:r w:rsidR="00D56727" w:rsidRPr="00A218A7">
              <w:t xml:space="preserve">seek assistance to implement the security response, and </w:t>
            </w:r>
            <w:r w:rsidRPr="00A218A7">
              <w:t>evaluate and improve response procedures</w:t>
            </w:r>
          </w:p>
          <w:p w14:paraId="35F35E08" w14:textId="77777777" w:rsidR="003845B7" w:rsidRDefault="00D6076D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>completing written incidents reports</w:t>
            </w:r>
          </w:p>
          <w:p w14:paraId="180DBB70" w14:textId="20DDC047" w:rsidR="00564B47" w:rsidRPr="00A218A7" w:rsidRDefault="00A20394" w:rsidP="00A218A7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A218A7">
              <w:t>recognising and m</w:t>
            </w:r>
            <w:r w:rsidR="003845B7">
              <w:t>anaging own work-related stress</w:t>
            </w:r>
          </w:p>
          <w:p w14:paraId="54D6E9A3" w14:textId="77777777" w:rsidR="00A218A7" w:rsidRPr="00A218A7" w:rsidRDefault="00A218A7" w:rsidP="00A218A7">
            <w:pPr>
              <w:spacing w:before="120" w:after="120" w:line="240" w:lineRule="auto"/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2077E925" w:rsidR="009F1256" w:rsidRPr="00A218A7" w:rsidRDefault="00A218A7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A218A7" w14:paraId="014F8F4A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A218A7" w14:paraId="41481934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A218A7" w14:paraId="241C5872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D10065" w:rsidRPr="00A218A7" w14:paraId="4FC77ECA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7508E933" w:rsidR="00D10065" w:rsidRPr="00A218A7" w:rsidRDefault="00D10065" w:rsidP="00D1006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Identify and assess conflict situation and select response option.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E053" w14:textId="42C36EE9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Interpret work instructions, procedures and policies to confirm own responsibilities and authority, and </w:t>
            </w:r>
            <w:r w:rsidR="00403541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comply with legal rights and responsibilities</w:t>
            </w:r>
            <w:r w:rsidR="00403541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 including WHS.</w:t>
            </w:r>
          </w:p>
          <w:p w14:paraId="3852135E" w14:textId="7710102C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Select and use </w:t>
            </w:r>
            <w:r w:rsidR="009F5080" w:rsidRPr="00A218A7">
              <w:rPr>
                <w:rFonts w:eastAsia="Times New Roman" w:cs="Helvetica"/>
                <w:color w:val="333333"/>
                <w:lang w:eastAsia="en-AU"/>
              </w:rPr>
              <w:t xml:space="preserve">personal protective equipment 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to ensure own safety</w:t>
            </w:r>
            <w:r w:rsidR="009F5080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9F5080" w:rsidRPr="00A218A7">
              <w:rPr>
                <w:rFonts w:eastAsia="Times New Roman" w:cs="Helvetica"/>
                <w:color w:val="333333"/>
                <w:lang w:eastAsia="en-AU"/>
              </w:rPr>
              <w:t>communication</w:t>
            </w:r>
            <w:r w:rsidR="009F5080">
              <w:rPr>
                <w:rFonts w:eastAsia="Times New Roman" w:cs="Helvetica"/>
                <w:color w:val="333333"/>
                <w:lang w:eastAsia="en-AU"/>
              </w:rPr>
              <w:t xml:space="preserve"> equipment to 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exchange information with relevant persons.</w:t>
            </w:r>
          </w:p>
          <w:p w14:paraId="70CDDB00" w14:textId="1CB531E4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Observe the work environment to maintain situational awareness and ascertain sources of conflict and security risk to people, property or premises.</w:t>
            </w:r>
          </w:p>
          <w:p w14:paraId="53FDEF05" w14:textId="4DBD49EE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Assess conflict situation and nature and degree of risk, and use communication equipment to seek assistance from relevant persons.</w:t>
            </w:r>
          </w:p>
        </w:tc>
      </w:tr>
      <w:tr w:rsidR="00D10065" w:rsidRPr="00A218A7" w14:paraId="7F432C0A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711FB13F" w:rsidR="00D10065" w:rsidRPr="00A218A7" w:rsidRDefault="00D10065" w:rsidP="00D1006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Negotiate conflict resolution.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08EC" w14:textId="4D18E4E5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Use interpersonal techniques to exchange and gather information to clarify conflict situation.</w:t>
            </w:r>
          </w:p>
          <w:p w14:paraId="17EBB8B8" w14:textId="01299F4E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Use negotiation techniques to offer options and encourage a shared approach to conflict resolution.</w:t>
            </w:r>
          </w:p>
          <w:p w14:paraId="0A859BE7" w14:textId="577183BC" w:rsidR="00D10065" w:rsidRPr="00D10065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t>Use even tone of voice and positive non-verbal and spoken communication that takes account of individual social and cultural differences throughout negotiation.</w:t>
            </w:r>
          </w:p>
          <w:p w14:paraId="462B1EA3" w14:textId="4308E59C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Anticipate factors that might escalate conflict or risk safety and security, and apply contingency measures.</w:t>
            </w:r>
          </w:p>
        </w:tc>
      </w:tr>
      <w:tr w:rsidR="00D10065" w:rsidRPr="00A218A7" w14:paraId="2EE61746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487659B0" w:rsidR="00D10065" w:rsidRPr="00A218A7" w:rsidRDefault="00D10065" w:rsidP="00D10065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Report, evaluate and improve conflict response procedures.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ADE23" w14:textId="26C5E8D1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Report incident observations and response actions using workplace documentation.</w:t>
            </w:r>
          </w:p>
          <w:p w14:paraId="66B80328" w14:textId="28C2773F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Discuss response with relevant persons and review procedures to evaluate effectiveness and identify improvements.</w:t>
            </w:r>
          </w:p>
          <w:p w14:paraId="5763E8C8" w14:textId="1AA01B13" w:rsidR="00D10065" w:rsidRPr="00A218A7" w:rsidRDefault="00D10065" w:rsidP="00D10065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Recognise effects of stress and manage own well-being using stress management techniques.</w:t>
            </w:r>
          </w:p>
        </w:tc>
      </w:tr>
      <w:tr w:rsidR="006C1398" w:rsidRPr="00A218A7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6C1398" w:rsidRPr="00A218A7" w:rsidRDefault="006C1398" w:rsidP="00A218A7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A218A7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6C1398" w:rsidRPr="00A218A7" w:rsidRDefault="006C1398" w:rsidP="00A218A7">
            <w:pPr>
              <w:spacing w:before="120" w:after="120" w:line="240" w:lineRule="auto"/>
            </w:pPr>
            <w:r w:rsidRPr="00A218A7">
              <w:t>A person demonstrating competency in this unit must have the following language, literacy, numeracy and employment skills:</w:t>
            </w:r>
          </w:p>
          <w:p w14:paraId="1A57627E" w14:textId="77777777" w:rsidR="00B54E48" w:rsidRPr="00A218A7" w:rsidRDefault="00C748E7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language</w:t>
            </w:r>
            <w:r w:rsidR="006C1398" w:rsidRPr="00A218A7">
              <w:t xml:space="preserve"> skills to</w:t>
            </w:r>
            <w:r w:rsidR="00B54E48" w:rsidRPr="00A218A7">
              <w:t>:</w:t>
            </w:r>
          </w:p>
          <w:p w14:paraId="44B1F2BD" w14:textId="01EB5D3E" w:rsidR="00B54E48" w:rsidRPr="00A218A7" w:rsidRDefault="00C748E7" w:rsidP="00D12D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provide information or advice using structure and language to suit the audience</w:t>
            </w:r>
            <w:r w:rsidR="00D12DEA">
              <w:t xml:space="preserve"> and </w:t>
            </w:r>
            <w:r w:rsidR="00B54E48" w:rsidRPr="00A218A7">
              <w:t>engage minority groups</w:t>
            </w:r>
          </w:p>
          <w:p w14:paraId="5D2026F7" w14:textId="30A25EC7" w:rsidR="00B54E48" w:rsidRPr="00A218A7" w:rsidRDefault="00B54E48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use strategies to overcome language barriers </w:t>
            </w:r>
          </w:p>
          <w:p w14:paraId="3AB8C3E1" w14:textId="3D64B458" w:rsidR="006C1398" w:rsidRPr="00A218A7" w:rsidRDefault="006C1398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writing skills to</w:t>
            </w:r>
            <w:r w:rsidR="004B4749" w:rsidRPr="00A218A7">
              <w:t xml:space="preserve"> </w:t>
            </w:r>
            <w:r w:rsidR="00604678" w:rsidRPr="00A218A7">
              <w:t xml:space="preserve">record and describe </w:t>
            </w:r>
            <w:r w:rsidR="0079761B" w:rsidRPr="00A218A7">
              <w:t xml:space="preserve">incident </w:t>
            </w:r>
            <w:r w:rsidR="004B4749" w:rsidRPr="00A218A7">
              <w:t>observations</w:t>
            </w:r>
            <w:r w:rsidR="0079761B" w:rsidRPr="00A218A7">
              <w:t xml:space="preserve"> and </w:t>
            </w:r>
            <w:r w:rsidR="00D12DEA">
              <w:t xml:space="preserve">response </w:t>
            </w:r>
            <w:r w:rsidR="0079761B" w:rsidRPr="00A218A7">
              <w:t>actions</w:t>
            </w:r>
          </w:p>
          <w:p w14:paraId="3E0DE701" w14:textId="62E68DA4" w:rsidR="006C1398" w:rsidRPr="00A218A7" w:rsidRDefault="006C1398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reading skills to interpret: </w:t>
            </w:r>
          </w:p>
          <w:p w14:paraId="4ED08AA1" w14:textId="608FBB9D" w:rsidR="006C1398" w:rsidRPr="00A218A7" w:rsidRDefault="006D79E8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workplace procedures and policies that clarify </w:t>
            </w:r>
            <w:r w:rsidR="00B56A3E" w:rsidRPr="00A218A7">
              <w:t>legal rights and responsibilities and WHS requirements</w:t>
            </w:r>
          </w:p>
          <w:p w14:paraId="0092A023" w14:textId="2762E41A" w:rsidR="006C1398" w:rsidRPr="00A218A7" w:rsidRDefault="006C1398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signs and </w:t>
            </w:r>
            <w:r w:rsidR="00D12DEA">
              <w:t>forms</w:t>
            </w:r>
            <w:r w:rsidR="006D79E8" w:rsidRPr="00A218A7">
              <w:t xml:space="preserve"> written in English</w:t>
            </w:r>
          </w:p>
          <w:p w14:paraId="549C172A" w14:textId="77777777" w:rsidR="0079761B" w:rsidRPr="00A218A7" w:rsidRDefault="006C1398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speaking and listening skills to</w:t>
            </w:r>
            <w:r w:rsidR="0079761B" w:rsidRPr="00A218A7">
              <w:t>:</w:t>
            </w:r>
          </w:p>
          <w:p w14:paraId="141606A8" w14:textId="00183620" w:rsidR="006C1398" w:rsidRPr="00A218A7" w:rsidRDefault="00B56A3E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use active listening </w:t>
            </w:r>
            <w:r w:rsidR="007D3E13" w:rsidRPr="00A218A7">
              <w:t xml:space="preserve">to </w:t>
            </w:r>
            <w:r w:rsidR="002A30DA" w:rsidRPr="00A218A7">
              <w:t xml:space="preserve">understand spoken </w:t>
            </w:r>
            <w:r w:rsidR="00122E24" w:rsidRPr="00A218A7">
              <w:t>information and instructions exchanged during negotiation</w:t>
            </w:r>
          </w:p>
          <w:p w14:paraId="0B59B8A1" w14:textId="298196F5" w:rsidR="007D3E13" w:rsidRPr="00A218A7" w:rsidRDefault="007D3E13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use questions to seek information during negotiation</w:t>
            </w:r>
          </w:p>
          <w:p w14:paraId="33197C80" w14:textId="5AC856EE" w:rsidR="007D3E13" w:rsidRPr="00A218A7" w:rsidRDefault="007D3E13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use paraphrasing to check </w:t>
            </w:r>
            <w:r w:rsidR="00352B6A" w:rsidRPr="00A218A7">
              <w:t xml:space="preserve">own </w:t>
            </w:r>
            <w:r w:rsidRPr="00A218A7">
              <w:t xml:space="preserve">understanding </w:t>
            </w:r>
            <w:r w:rsidR="006C5C56" w:rsidRPr="00A218A7">
              <w:t xml:space="preserve">and </w:t>
            </w:r>
            <w:r w:rsidR="002C10C1" w:rsidRPr="00A218A7">
              <w:t>show</w:t>
            </w:r>
            <w:r w:rsidR="006C5C56" w:rsidRPr="00A218A7">
              <w:t xml:space="preserve"> empathy </w:t>
            </w:r>
            <w:r w:rsidRPr="00A218A7">
              <w:t>during negotiation</w:t>
            </w:r>
          </w:p>
          <w:p w14:paraId="52BBCCDD" w14:textId="713CA920" w:rsidR="009A108F" w:rsidRPr="00A218A7" w:rsidRDefault="009A108F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seek </w:t>
            </w:r>
            <w:r w:rsidR="00122E24" w:rsidRPr="00A218A7">
              <w:t xml:space="preserve">and understand </w:t>
            </w:r>
            <w:r w:rsidRPr="00A218A7">
              <w:t>feedback from others when reviewing response procedures</w:t>
            </w:r>
          </w:p>
          <w:p w14:paraId="3CCE983F" w14:textId="77AB4740" w:rsidR="002D40FB" w:rsidRPr="00A218A7" w:rsidRDefault="007110D7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orally</w:t>
            </w:r>
            <w:r w:rsidR="002D40FB" w:rsidRPr="00A218A7">
              <w:t xml:space="preserve"> request assistance using </w:t>
            </w:r>
            <w:r w:rsidR="00D12DEA">
              <w:t>communication equipment</w:t>
            </w:r>
          </w:p>
          <w:p w14:paraId="2C0A0764" w14:textId="1BF86FBC" w:rsidR="006C1398" w:rsidRPr="00A218A7" w:rsidRDefault="006C1398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numeracy skills to </w:t>
            </w:r>
            <w:r w:rsidR="00C748E7" w:rsidRPr="00A218A7">
              <w:t xml:space="preserve">calculate </w:t>
            </w:r>
            <w:r w:rsidR="006D79E8" w:rsidRPr="00A218A7">
              <w:t>time</w:t>
            </w:r>
            <w:r w:rsidR="006A39EA" w:rsidRPr="00A218A7">
              <w:t xml:space="preserve"> when recording </w:t>
            </w:r>
            <w:r w:rsidR="00C748E7" w:rsidRPr="00A218A7">
              <w:t>incident details</w:t>
            </w:r>
          </w:p>
          <w:p w14:paraId="6C161543" w14:textId="77777777" w:rsidR="008200E8" w:rsidRPr="00A218A7" w:rsidRDefault="005866F9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problem solving skills to</w:t>
            </w:r>
            <w:r w:rsidR="008200E8" w:rsidRPr="00A218A7">
              <w:t>:</w:t>
            </w:r>
          </w:p>
          <w:p w14:paraId="24E34907" w14:textId="1697DB64" w:rsidR="005866F9" w:rsidRPr="00A218A7" w:rsidRDefault="009A108F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formulate response options </w:t>
            </w:r>
            <w:r w:rsidR="008C5747" w:rsidRPr="00A218A7">
              <w:t xml:space="preserve">to </w:t>
            </w:r>
            <w:r w:rsidRPr="00A218A7">
              <w:t xml:space="preserve">match risk presented in </w:t>
            </w:r>
            <w:r w:rsidR="008C5747" w:rsidRPr="00A218A7">
              <w:t>conflict situations</w:t>
            </w:r>
          </w:p>
          <w:p w14:paraId="6CE18E06" w14:textId="193019B4" w:rsidR="009A108F" w:rsidRPr="00A218A7" w:rsidRDefault="009A108F" w:rsidP="00A218A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218A7">
              <w:t xml:space="preserve">modify response to changing </w:t>
            </w:r>
            <w:r w:rsidR="0004213A" w:rsidRPr="00A218A7">
              <w:t xml:space="preserve">circumstances </w:t>
            </w:r>
            <w:r w:rsidRPr="00A218A7">
              <w:t>when applying contingency measure</w:t>
            </w:r>
          </w:p>
          <w:p w14:paraId="3BA0964C" w14:textId="77777777" w:rsidR="006C1398" w:rsidRPr="00A218A7" w:rsidRDefault="006C1398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self-management skills to plan tasks to meet job requirements</w:t>
            </w:r>
          </w:p>
          <w:p w14:paraId="30A4EEBE" w14:textId="00D94A8E" w:rsidR="00DB71CF" w:rsidRPr="00A218A7" w:rsidRDefault="00D675EA" w:rsidP="00A218A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218A7">
              <w:t>teamwork skills to adjust personal communication styles in response to the opinions, values and needs of others</w:t>
            </w:r>
          </w:p>
        </w:tc>
      </w:tr>
      <w:tr w:rsidR="006C1398" w:rsidRPr="00A218A7" w14:paraId="73C1333B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6C1398" w:rsidRPr="00A218A7" w:rsidRDefault="006C1398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1640996" w:rsidR="006C1398" w:rsidRPr="00A218A7" w:rsidRDefault="005F6231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CPPSEC3002A Manage conflict through negotiation</w:t>
            </w:r>
          </w:p>
        </w:tc>
      </w:tr>
      <w:tr w:rsidR="006C1398" w:rsidRPr="00A218A7" w14:paraId="0BA0A2C5" w14:textId="77777777" w:rsidTr="00D10065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6C1398" w:rsidRPr="00A218A7" w:rsidRDefault="006C1398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72BB3" w14:textId="77777777" w:rsidR="00985716" w:rsidRPr="00FE5FAC" w:rsidRDefault="00985716" w:rsidP="00985716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5A9F7C94" w:rsidR="006C1398" w:rsidRPr="00985716" w:rsidRDefault="00EE2A5D" w:rsidP="00985716">
            <w:pPr>
              <w:spacing w:after="0"/>
              <w:rPr>
                <w:rFonts w:eastAsia="Times New Roman"/>
              </w:rPr>
            </w:pPr>
            <w:hyperlink r:id="rId7" w:history="1">
              <w:r w:rsidR="00985716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A218A7" w:rsidRDefault="009F1256" w:rsidP="00A218A7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A218A7" w:rsidRDefault="009F1256" w:rsidP="00A218A7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A218A7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A218A7" w:rsidRDefault="009F1256" w:rsidP="00A218A7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A218A7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91DBE2B" w:rsidR="009F1256" w:rsidRPr="00A218A7" w:rsidRDefault="00D54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A218A7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A218A7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564B1D" w:rsidRPr="00A218A7">
              <w:rPr>
                <w:rFonts w:eastAsia="Times New Roman" w:cs="Helvetica"/>
                <w:color w:val="333333"/>
                <w:lang w:eastAsia="en-AU"/>
              </w:rPr>
              <w:t xml:space="preserve">Manage </w:t>
            </w:r>
            <w:r w:rsidR="00B25CCF" w:rsidRPr="00A218A7">
              <w:rPr>
                <w:rFonts w:eastAsia="Times New Roman" w:cs="Helvetica"/>
                <w:color w:val="333333"/>
                <w:lang w:eastAsia="en-AU"/>
              </w:rPr>
              <w:t>conflict and security risks</w:t>
            </w:r>
            <w:r w:rsidR="00564B1D" w:rsidRPr="00A218A7">
              <w:rPr>
                <w:rFonts w:eastAsia="Times New Roman" w:cs="Helvetica"/>
                <w:color w:val="333333"/>
                <w:lang w:eastAsia="en-AU"/>
              </w:rPr>
              <w:t xml:space="preserve"> using negotiation</w:t>
            </w:r>
          </w:p>
        </w:tc>
      </w:tr>
      <w:tr w:rsidR="009F1256" w:rsidRPr="00A218A7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A218A7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36750DCC" w:rsidR="007C59CA" w:rsidRPr="00A218A7" w:rsidRDefault="009F1256" w:rsidP="00A218A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A218A7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A218A7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8B0618" w:rsidRPr="00A218A7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DD48CE" w:rsidRPr="00A218A7">
              <w:rPr>
                <w:rFonts w:asciiTheme="minorHAnsi" w:hAnsiTheme="minorHAnsi" w:cs="Helvetica"/>
                <w:color w:val="333333"/>
                <w:sz w:val="22"/>
              </w:rPr>
              <w:t>manage conflict and security risks</w:t>
            </w:r>
            <w:r w:rsidR="000A1F1F" w:rsidRPr="00A218A7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9D680B">
              <w:rPr>
                <w:rFonts w:asciiTheme="minorHAnsi" w:hAnsiTheme="minorHAnsi" w:cs="Helvetica"/>
                <w:color w:val="333333"/>
                <w:sz w:val="22"/>
              </w:rPr>
              <w:t>using negotiation in three (3)</w:t>
            </w:r>
            <w:r w:rsidR="008B0618" w:rsidRPr="00A218A7">
              <w:rPr>
                <w:rFonts w:asciiTheme="minorHAnsi" w:hAnsiTheme="minorHAnsi" w:cs="Helvetica"/>
                <w:color w:val="333333"/>
                <w:sz w:val="22"/>
              </w:rPr>
              <w:t xml:space="preserve"> different security risk situations.</w:t>
            </w:r>
          </w:p>
          <w:p w14:paraId="4A691E81" w14:textId="784F368B" w:rsidR="009D680B" w:rsidRPr="00D96B81" w:rsidRDefault="00D96B81" w:rsidP="00D96B8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</w:t>
            </w:r>
            <w:r w:rsidRPr="00D96B81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n doing this, the person must meet the performance criteria for this unit.</w:t>
            </w:r>
          </w:p>
        </w:tc>
      </w:tr>
      <w:tr w:rsidR="009F1256" w:rsidRPr="00A218A7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A218A7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A218A7" w:rsidRDefault="000F009F" w:rsidP="00A218A7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A218A7" w:rsidRDefault="000F009F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A218A7" w:rsidRDefault="000F009F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190FAEE" w14:textId="77777777" w:rsidR="000F009F" w:rsidRPr="00A218A7" w:rsidRDefault="000F009F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3D7333EE" w14:textId="77777777" w:rsidR="000F009F" w:rsidRPr="00A218A7" w:rsidRDefault="000F009F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77777777" w:rsidR="000F009F" w:rsidRPr="00A218A7" w:rsidRDefault="000F009F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33F89A42" w14:textId="77777777" w:rsidR="000F009F" w:rsidRPr="00A218A7" w:rsidRDefault="000F009F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6959FC29" w:rsidR="000F009F" w:rsidRPr="00A218A7" w:rsidRDefault="00C6352B" w:rsidP="00A218A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A218A7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BB5A73A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5BB1DA15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51083D15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how to access specialist assistance for negotiating conflict resolution</w:t>
            </w:r>
          </w:p>
          <w:p w14:paraId="06F31926" w14:textId="528515CC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used to defuse and resolve conflict</w:t>
            </w:r>
            <w:r w:rsidR="00896C49" w:rsidRPr="00A218A7">
              <w:rPr>
                <w:rFonts w:eastAsia="Times New Roman" w:cs="Helvetica"/>
                <w:bCs/>
                <w:color w:val="333333"/>
                <w:lang w:eastAsia="en-AU"/>
              </w:rPr>
              <w:t>, maintain positive interaction, divert and minimise aggressive behaviour</w:t>
            </w:r>
          </w:p>
          <w:p w14:paraId="37188260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principles of effective communication</w:t>
            </w:r>
          </w:p>
          <w:p w14:paraId="6D5DF754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the effects of power plays on a conflict situation</w:t>
            </w:r>
          </w:p>
          <w:p w14:paraId="48E6438E" w14:textId="77777777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44BA8A1C" w14:textId="19B9A65E" w:rsidR="00E65BBE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</w:t>
            </w:r>
            <w:r w:rsidR="00E8233A" w:rsidRPr="00A218A7">
              <w:rPr>
                <w:rFonts w:eastAsia="Times New Roman" w:cs="Helvetica"/>
                <w:bCs/>
                <w:color w:val="333333"/>
                <w:lang w:eastAsia="en-AU"/>
              </w:rPr>
              <w:t xml:space="preserve"> or incite aggressive or hostile responses from others</w:t>
            </w:r>
          </w:p>
          <w:p w14:paraId="31EC32D8" w14:textId="70C17163" w:rsidR="000F009F" w:rsidRPr="00A218A7" w:rsidRDefault="00E65BBE" w:rsidP="00A218A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A218A7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A218A7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A218A7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A218A7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A218A7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A218A7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A218A7" w:rsidRDefault="009F1256" w:rsidP="00A218A7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A218A7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A218A7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05C18187" w:rsidR="00E95615" w:rsidRPr="00A218A7" w:rsidRDefault="00E95615" w:rsidP="00A218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218A7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A218A7">
              <w:rPr>
                <w:rFonts w:eastAsia="Calibri" w:cs="Arial"/>
                <w:lang w:val="en-US"/>
              </w:rPr>
              <w:t xml:space="preserve"> </w:t>
            </w:r>
            <w:r w:rsidR="009A623F" w:rsidRPr="00A218A7">
              <w:rPr>
                <w:rFonts w:eastAsia="Calibri" w:cs="Arial"/>
                <w:lang w:val="en-US"/>
              </w:rPr>
              <w:t>manage conflict and security risks using negotiation</w:t>
            </w:r>
          </w:p>
          <w:p w14:paraId="089FD987" w14:textId="7AB5F20D" w:rsidR="00E95615" w:rsidRPr="00A218A7" w:rsidRDefault="00E95615" w:rsidP="00A218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218A7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7110D7" w:rsidRPr="00A218A7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04B4C5B2" w:rsidR="009F1256" w:rsidRPr="00A218A7" w:rsidRDefault="00324AD5" w:rsidP="00A218A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218A7">
              <w:rPr>
                <w:rFonts w:eastAsia="Calibri" w:cs="Arial"/>
                <w:lang w:val="en-US"/>
              </w:rPr>
              <w:t>standard operating procedures</w:t>
            </w:r>
            <w:r w:rsidR="001B5C5A" w:rsidRPr="00A218A7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A218A7">
              <w:rPr>
                <w:rFonts w:eastAsia="Calibri" w:cs="Arial"/>
                <w:lang w:val="en-US"/>
              </w:rPr>
              <w:t>related</w:t>
            </w:r>
            <w:r w:rsidR="00164F7D" w:rsidRPr="00A218A7">
              <w:rPr>
                <w:rFonts w:eastAsia="Calibri" w:cs="Arial"/>
                <w:lang w:val="en-US"/>
              </w:rPr>
              <w:t xml:space="preserve"> </w:t>
            </w:r>
            <w:r w:rsidR="00CE5B60" w:rsidRPr="00A218A7">
              <w:rPr>
                <w:rFonts w:eastAsia="Calibri" w:cs="Arial"/>
                <w:lang w:val="en-US"/>
              </w:rPr>
              <w:t xml:space="preserve">to </w:t>
            </w:r>
            <w:r w:rsidR="004E72FD" w:rsidRPr="00A218A7">
              <w:rPr>
                <w:rFonts w:eastAsia="Calibri" w:cs="Arial"/>
                <w:lang w:val="en-US"/>
              </w:rPr>
              <w:t xml:space="preserve">the security </w:t>
            </w:r>
            <w:r w:rsidR="001B5C5A" w:rsidRPr="00A218A7">
              <w:rPr>
                <w:rFonts w:eastAsia="Calibri" w:cs="Arial"/>
                <w:lang w:val="en-US"/>
              </w:rPr>
              <w:t xml:space="preserve">work </w:t>
            </w:r>
            <w:r w:rsidR="004E72FD" w:rsidRPr="00A218A7">
              <w:rPr>
                <w:rFonts w:eastAsia="Calibri" w:cs="Arial"/>
                <w:lang w:val="en-US"/>
              </w:rPr>
              <w:t>role</w:t>
            </w:r>
            <w:r w:rsidR="00EE1D14" w:rsidRPr="00A218A7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A218A7" w14:paraId="354A02C2" w14:textId="77777777" w:rsidTr="00985716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A218A7" w:rsidRDefault="009F1256" w:rsidP="00A218A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218A7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3815" w14:textId="77777777" w:rsidR="00985716" w:rsidRPr="00FE5FAC" w:rsidRDefault="00985716" w:rsidP="00985716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536997DB" w:rsidR="009F1256" w:rsidRPr="00985716" w:rsidRDefault="00EE2A5D" w:rsidP="00985716">
            <w:pPr>
              <w:spacing w:after="0"/>
              <w:rPr>
                <w:rFonts w:eastAsia="Times New Roman"/>
              </w:rPr>
            </w:pPr>
            <w:hyperlink r:id="rId11" w:history="1">
              <w:r w:rsidR="00985716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A218A7" w:rsidRDefault="000E2AAE" w:rsidP="00A218A7">
      <w:pPr>
        <w:spacing w:before="120" w:after="120" w:line="240" w:lineRule="auto"/>
      </w:pPr>
    </w:p>
    <w:p w14:paraId="28987041" w14:textId="77777777" w:rsidR="00347808" w:rsidRPr="00A218A7" w:rsidRDefault="000E2AAE" w:rsidP="00A218A7">
      <w:pPr>
        <w:spacing w:before="120" w:after="120" w:line="240" w:lineRule="auto"/>
        <w:rPr>
          <w:rFonts w:eastAsia="Calibri" w:cs="Times New Roman"/>
        </w:rPr>
      </w:pPr>
      <w:r w:rsidRPr="00A218A7">
        <w:br w:type="page"/>
      </w:r>
      <w:r w:rsidR="00347808" w:rsidRPr="00A218A7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347808" w:rsidRPr="00A218A7" w14:paraId="5E58A86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3D69" w14:textId="77777777" w:rsidR="00347808" w:rsidRPr="00A218A7" w:rsidRDefault="00347808" w:rsidP="00A218A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A218A7">
              <w:rPr>
                <w:rFonts w:eastAsia="Calibri" w:cs="Calibri"/>
                <w:b/>
                <w:i/>
              </w:rPr>
              <w:t>Work instructions</w:t>
            </w:r>
            <w:r w:rsidRPr="00A218A7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496EE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back-up support or specialist assistance requirements</w:t>
            </w:r>
          </w:p>
          <w:p w14:paraId="50CF1747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33BCF16F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equipment and resources </w:t>
            </w:r>
          </w:p>
          <w:p w14:paraId="728705B7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40F327E1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individual or team assignment objectives and timeframes</w:t>
            </w:r>
          </w:p>
          <w:p w14:paraId="4B4DB9E1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7FE0D017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6E9BFD03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71464343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2F8F6630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2B501B3A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3B31471A" w14:textId="77777777" w:rsidR="00D26EC4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6C8191C6" w14:textId="3579358E" w:rsidR="00D26EC4" w:rsidRPr="00A218A7" w:rsidRDefault="00C6352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D26EC4" w:rsidRPr="00A218A7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600FEF35" w14:textId="2610F3C4" w:rsidR="00347808" w:rsidRPr="00A218A7" w:rsidRDefault="00D26EC4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347808" w:rsidRPr="00A218A7" w14:paraId="7752300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5F6F2D00" w:rsidR="00347808" w:rsidRPr="00A218A7" w:rsidRDefault="008B0618" w:rsidP="00A218A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A218A7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A218A7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6FFD2136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7E958DE7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4A71C4C3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099651C6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6CBBFBE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3187B94F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EDCEB02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organisational business plans and objectives</w:t>
            </w:r>
          </w:p>
          <w:p w14:paraId="3C30875D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2CC5DA3F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3D526619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1D23A44D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B62E1EE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roles, functions and responsibilities of security personnel</w:t>
            </w:r>
          </w:p>
          <w:p w14:paraId="735CE742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E20D732" w14:textId="77777777" w:rsidR="00347808" w:rsidRPr="00A218A7" w:rsidRDefault="0034780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5CEC7BB1" w14:textId="074248FA" w:rsidR="00347808" w:rsidRPr="00A218A7" w:rsidRDefault="00C6352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A218A7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820011" w:rsidRPr="00A218A7" w14:paraId="17A3D40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62D8D887" w:rsidR="00820011" w:rsidRPr="00A218A7" w:rsidRDefault="00820011" w:rsidP="00A218A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A218A7">
              <w:rPr>
                <w:b/>
                <w:i/>
              </w:rPr>
              <w:t>Communication and personal protecti</w:t>
            </w:r>
            <w:r w:rsidR="00484EC6" w:rsidRPr="00A218A7">
              <w:rPr>
                <w:b/>
                <w:i/>
              </w:rPr>
              <w:t>ve</w:t>
            </w:r>
            <w:r w:rsidRPr="00A218A7">
              <w:rPr>
                <w:b/>
                <w:i/>
              </w:rPr>
              <w:t xml:space="preserve"> equipment </w:t>
            </w:r>
            <w:r w:rsidRPr="00A218A7">
              <w:t>may include</w:t>
            </w:r>
            <w:r w:rsidRPr="00A218A7">
              <w:rPr>
                <w:b/>
              </w:rPr>
              <w:t>:</w:t>
            </w:r>
            <w:r w:rsidRPr="00A218A7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8FA60" w14:textId="13BFBA00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communication:</w:t>
            </w:r>
          </w:p>
          <w:p w14:paraId="2CB21A11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479ED072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mobile phone</w:t>
            </w:r>
          </w:p>
          <w:p w14:paraId="32AF9030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6CEF99C1" w14:textId="143B550F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portable two-way radio</w:t>
            </w:r>
          </w:p>
          <w:p w14:paraId="3EEA74F4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personal protective equipment (PPE):</w:t>
            </w:r>
          </w:p>
          <w:p w14:paraId="491CF3A7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43958796" w14:textId="77777777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high visibility vest</w:t>
            </w:r>
          </w:p>
          <w:p w14:paraId="514D257C" w14:textId="6CA5F04F" w:rsidR="00820011" w:rsidRPr="00A218A7" w:rsidRDefault="0082001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slash proof gloves</w:t>
            </w:r>
          </w:p>
        </w:tc>
      </w:tr>
      <w:tr w:rsidR="005C5E5B" w:rsidRPr="00A218A7" w14:paraId="6D22FF4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5C5E5B" w:rsidRPr="00A218A7" w:rsidRDefault="005C5E5B" w:rsidP="00A218A7">
            <w:pPr>
              <w:spacing w:before="120" w:after="120" w:line="240" w:lineRule="auto"/>
              <w:rPr>
                <w:rFonts w:eastAsia="Calibri" w:cs="Calibri"/>
              </w:rPr>
            </w:pPr>
            <w:r w:rsidRPr="00A218A7">
              <w:rPr>
                <w:rFonts w:eastAsia="Calibri" w:cs="Calibri"/>
                <w:b/>
                <w:i/>
              </w:rPr>
              <w:t>Relevant persons</w:t>
            </w:r>
            <w:r w:rsidRPr="00A218A7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04F18" w14:textId="46CD16A7" w:rsidR="005C5E5B" w:rsidRPr="00A218A7" w:rsidRDefault="005C5E5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382C0D" w:rsidRPr="00A218A7">
              <w:rPr>
                <w:rFonts w:eastAsia="Times New Roman" w:cs="Calibri"/>
                <w:color w:val="333333"/>
                <w:lang w:eastAsia="en-AU"/>
              </w:rPr>
              <w:t xml:space="preserve"> and their staff</w:t>
            </w:r>
          </w:p>
          <w:p w14:paraId="6B774A6C" w14:textId="7438EEAD" w:rsidR="005C5E5B" w:rsidRPr="00A218A7" w:rsidRDefault="005C5E5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47295005" w14:textId="5C135D13" w:rsidR="00D47C16" w:rsidRPr="00A218A7" w:rsidRDefault="00D47C16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5CC7253B" w14:textId="42EBB3A2" w:rsidR="005C5E5B" w:rsidRPr="00A218A7" w:rsidRDefault="005C5E5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specialist </w:t>
            </w:r>
            <w:r w:rsidR="00D47C16" w:rsidRPr="00A218A7">
              <w:rPr>
                <w:rFonts w:eastAsia="Times New Roman" w:cs="Calibri"/>
                <w:color w:val="333333"/>
                <w:lang w:eastAsia="en-AU"/>
              </w:rPr>
              <w:t>services such as specialist negotiator</w:t>
            </w:r>
          </w:p>
          <w:p w14:paraId="5A6EF111" w14:textId="35010867" w:rsidR="005C5E5B" w:rsidRPr="00A218A7" w:rsidRDefault="005C5E5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5E3A48" w:rsidRPr="00A218A7" w14:paraId="0B40F2D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237B7" w14:textId="407FFEF6" w:rsidR="005E3A48" w:rsidRPr="00A218A7" w:rsidRDefault="004D692E" w:rsidP="00A218A7">
            <w:pPr>
              <w:spacing w:before="120" w:after="120" w:line="240" w:lineRule="auto"/>
              <w:rPr>
                <w:rFonts w:eastAsia="Calibri" w:cs="Calibri"/>
              </w:rPr>
            </w:pPr>
            <w:r w:rsidRPr="00A218A7">
              <w:rPr>
                <w:rFonts w:eastAsia="Calibri" w:cs="Calibri"/>
                <w:b/>
                <w:i/>
              </w:rPr>
              <w:t>Conflict</w:t>
            </w:r>
            <w:r w:rsidR="005E3A48" w:rsidRPr="00A218A7">
              <w:rPr>
                <w:rFonts w:eastAsia="Calibri" w:cs="Calibri"/>
              </w:rPr>
              <w:t xml:space="preserve"> </w:t>
            </w:r>
            <w:r w:rsidRPr="00A218A7">
              <w:rPr>
                <w:rFonts w:eastAsia="Calibri" w:cs="Calibri"/>
              </w:rPr>
              <w:t>situation</w:t>
            </w:r>
            <w:r w:rsidR="006143CD" w:rsidRPr="00A218A7">
              <w:rPr>
                <w:rFonts w:eastAsia="Calibri" w:cs="Calibri"/>
              </w:rPr>
              <w:t>s</w:t>
            </w:r>
            <w:r w:rsidRPr="00A218A7">
              <w:rPr>
                <w:rFonts w:eastAsia="Calibri" w:cs="Calibri"/>
              </w:rPr>
              <w:t xml:space="preserve"> </w:t>
            </w:r>
            <w:r w:rsidR="005E3A48" w:rsidRPr="00A218A7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2B9B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accidents resulting in injury</w:t>
            </w:r>
          </w:p>
          <w:p w14:paraId="4C7FA237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conflicts between members of public</w:t>
            </w:r>
          </w:p>
          <w:p w14:paraId="577EFEB5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cultural differences</w:t>
            </w:r>
          </w:p>
          <w:p w14:paraId="3DFE40B8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destruction of property</w:t>
            </w:r>
          </w:p>
          <w:p w14:paraId="5E0599F3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ejection of persons</w:t>
            </w:r>
          </w:p>
          <w:p w14:paraId="17EFE795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persons carrying weapons</w:t>
            </w:r>
          </w:p>
          <w:p w14:paraId="6993EC9C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persons refusing to follow directions and guidance</w:t>
            </w:r>
          </w:p>
          <w:p w14:paraId="6AE90053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persons suffering from emotional distress or mental illness</w:t>
            </w:r>
          </w:p>
          <w:p w14:paraId="07BE6053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2D82007C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6F594E97" w14:textId="0A1A977A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responses of young people due to past experiences of trauma</w:t>
            </w:r>
            <w:r w:rsidR="00F16B82" w:rsidRPr="00A218A7">
              <w:rPr>
                <w:rFonts w:eastAsia="Times New Roman" w:cs="Calibri"/>
                <w:color w:val="333333"/>
                <w:lang w:eastAsia="en-AU"/>
              </w:rPr>
              <w:t xml:space="preserve"> or abuse</w:t>
            </w:r>
          </w:p>
          <w:p w14:paraId="5028E3E0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riots and demonstrations</w:t>
            </w:r>
          </w:p>
          <w:p w14:paraId="4BBAED4E" w14:textId="77777777" w:rsidR="004D692E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situations affecting the security of self, others or property</w:t>
            </w:r>
          </w:p>
          <w:p w14:paraId="16671297" w14:textId="03AC1B15" w:rsidR="005E3A48" w:rsidRPr="00A218A7" w:rsidRDefault="004D692E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violent, aggressive or threatening persons</w:t>
            </w:r>
          </w:p>
        </w:tc>
      </w:tr>
      <w:tr w:rsidR="00DB2681" w:rsidRPr="00A218A7" w14:paraId="6DDF4BD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692CB" w14:textId="52F4AF24" w:rsidR="00DB2681" w:rsidRPr="00A218A7" w:rsidRDefault="00DB2681" w:rsidP="00A218A7">
            <w:pPr>
              <w:spacing w:before="120" w:after="120" w:line="240" w:lineRule="auto"/>
            </w:pPr>
            <w:r w:rsidRPr="00A218A7">
              <w:rPr>
                <w:rFonts w:eastAsia="Calibri" w:cs="Calibri"/>
                <w:b/>
                <w:i/>
              </w:rPr>
              <w:t>Interpersonal techniques</w:t>
            </w:r>
            <w:r w:rsidRPr="00A218A7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82F9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active listening </w:t>
            </w:r>
          </w:p>
          <w:p w14:paraId="08EE8053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40BD98FD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44A2FB86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constructive feedback</w:t>
            </w:r>
          </w:p>
          <w:p w14:paraId="3B9826C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control of tone of voice and body language</w:t>
            </w:r>
          </w:p>
          <w:p w14:paraId="5715B8F3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776535BD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00CB9058" w14:textId="57B21609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effective </w:t>
            </w:r>
            <w:r w:rsidR="007110D7" w:rsidRPr="00A218A7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1C6D3D0A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25CB5D89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05D018E4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reflection and summarising</w:t>
            </w:r>
          </w:p>
          <w:p w14:paraId="1B57A2E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two-way interaction</w:t>
            </w:r>
          </w:p>
          <w:p w14:paraId="0C125A38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use of plain English</w:t>
            </w:r>
          </w:p>
          <w:p w14:paraId="500F1682" w14:textId="7C97A8ED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DB2681" w:rsidRPr="00A218A7" w14:paraId="692EF44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E9144" w14:textId="2F8776DD" w:rsidR="00DB2681" w:rsidRPr="00A218A7" w:rsidRDefault="00DB2681" w:rsidP="00A218A7">
            <w:pPr>
              <w:spacing w:before="120" w:after="120" w:line="240" w:lineRule="auto"/>
            </w:pPr>
            <w:r w:rsidRPr="00A218A7">
              <w:rPr>
                <w:b/>
                <w:i/>
              </w:rPr>
              <w:t xml:space="preserve">Negotiation techniques </w:t>
            </w:r>
            <w:r w:rsidRPr="00A218A7"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8B254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analysing personal values and their impact on attitudes and interactions in order to avoid personalising issues, discriminations and stereotyping</w:t>
            </w:r>
          </w:p>
          <w:p w14:paraId="28FDF5B7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demonstrating flexibility and willingness to negotiate </w:t>
            </w:r>
          </w:p>
          <w:p w14:paraId="31C845F9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giving the person full attention</w:t>
            </w:r>
          </w:p>
          <w:p w14:paraId="6B3128C9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interpreting and assessing actions for risk</w:t>
            </w:r>
          </w:p>
          <w:p w14:paraId="57F6A439" w14:textId="102A19F1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interpreting non-verbal and </w:t>
            </w:r>
            <w:r w:rsidR="007110D7" w:rsidRPr="00A218A7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 messages</w:t>
            </w:r>
          </w:p>
          <w:p w14:paraId="2C070CA1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observation techniques</w:t>
            </w:r>
          </w:p>
          <w:p w14:paraId="257C41E0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questioning to clarify and confirm understanding</w:t>
            </w:r>
          </w:p>
          <w:p w14:paraId="2AF7E97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resolving differences sensitively taking into account cultural considerations</w:t>
            </w:r>
          </w:p>
          <w:p w14:paraId="4FFE4878" w14:textId="6138840E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using clear presentations of options and consequences</w:t>
            </w:r>
          </w:p>
        </w:tc>
      </w:tr>
      <w:tr w:rsidR="00DB2681" w:rsidRPr="00A218A7" w14:paraId="51FE939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EACC6" w14:textId="77777777" w:rsidR="00DB2681" w:rsidRPr="00A218A7" w:rsidRDefault="00DB2681" w:rsidP="00A218A7">
            <w:pPr>
              <w:spacing w:before="120" w:after="120" w:line="240" w:lineRule="auto"/>
            </w:pPr>
            <w:r w:rsidRPr="00A218A7">
              <w:rPr>
                <w:rFonts w:eastAsia="Calibri" w:cs="Calibri"/>
                <w:b/>
                <w:i/>
              </w:rPr>
              <w:t>Social and cultural differences</w:t>
            </w:r>
            <w:r w:rsidRPr="00A218A7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7055D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1E35AE08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0C623C4E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2FB0362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161B653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3407CFE5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2ABF4BE6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07CF89E1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3FE92F9D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6FD480A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4659B3EF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7A58A320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3576F185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2F1C4E90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6BFEBC95" w14:textId="77777777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6958AE7" w14:textId="502F05F2" w:rsidR="00DB2681" w:rsidRPr="00A218A7" w:rsidRDefault="00DB2681" w:rsidP="00A218A7">
            <w:pPr>
              <w:keepNext/>
              <w:keepLines/>
              <w:numPr>
                <w:ilvl w:val="0"/>
                <w:numId w:val="1"/>
              </w:numPr>
              <w:tabs>
                <w:tab w:val="num" w:pos="360"/>
              </w:tabs>
              <w:spacing w:before="120" w:after="120" w:line="240" w:lineRule="auto"/>
              <w:ind w:left="283" w:hanging="283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val="en-US" w:eastAsia="en-AU"/>
              </w:rPr>
              <w:t>traditional practices and observations</w:t>
            </w:r>
          </w:p>
        </w:tc>
      </w:tr>
      <w:tr w:rsidR="00DB2681" w:rsidRPr="00A218A7" w14:paraId="17C21F8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1C3C1" w14:textId="37A6A3AB" w:rsidR="00DB2681" w:rsidRPr="00A218A7" w:rsidRDefault="009502CF" w:rsidP="00A218A7">
            <w:pPr>
              <w:spacing w:before="120" w:after="120" w:line="240" w:lineRule="auto"/>
              <w:rPr>
                <w:rFonts w:eastAsia="Calibri" w:cs="Calibri"/>
              </w:rPr>
            </w:pPr>
            <w:r w:rsidRPr="00A218A7">
              <w:rPr>
                <w:rFonts w:eastAsia="Calibri" w:cs="Calibri"/>
                <w:b/>
                <w:i/>
              </w:rPr>
              <w:t>Contingency measures</w:t>
            </w:r>
            <w:r w:rsidR="00DB2681" w:rsidRPr="00A218A7">
              <w:rPr>
                <w:rFonts w:eastAsia="Calibri" w:cs="Calibri"/>
                <w:b/>
                <w:i/>
              </w:rPr>
              <w:t xml:space="preserve"> </w:t>
            </w:r>
            <w:r w:rsidR="00DB2681" w:rsidRPr="00A218A7">
              <w:rPr>
                <w:rFonts w:eastAsia="Calibri" w:cs="Calibri"/>
              </w:rPr>
              <w:t xml:space="preserve">may </w:t>
            </w:r>
            <w:r w:rsidRPr="00A218A7">
              <w:rPr>
                <w:rFonts w:eastAsia="Calibri" w:cs="Calibri"/>
              </w:rPr>
              <w:t>relate to</w:t>
            </w:r>
            <w:r w:rsidR="00DB2681" w:rsidRPr="00A218A7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AA689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counselling</w:t>
            </w:r>
          </w:p>
          <w:p w14:paraId="3C43BA19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cultural support </w:t>
            </w:r>
          </w:p>
          <w:p w14:paraId="0D47333E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defusing strategies</w:t>
            </w:r>
          </w:p>
          <w:p w14:paraId="7F85830C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first-aid</w:t>
            </w:r>
          </w:p>
          <w:p w14:paraId="40016609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intervention</w:t>
            </w:r>
          </w:p>
          <w:p w14:paraId="10B438B8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mediation</w:t>
            </w:r>
          </w:p>
          <w:p w14:paraId="6CF0AF53" w14:textId="77777777" w:rsidR="0096503B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separation or isolation</w:t>
            </w:r>
          </w:p>
          <w:p w14:paraId="215810D0" w14:textId="19FDA537" w:rsidR="008B65A9" w:rsidRPr="00A218A7" w:rsidRDefault="0096503B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specialists or experts</w:t>
            </w:r>
            <w:r w:rsidR="008B65A9" w:rsidRPr="00A218A7">
              <w:rPr>
                <w:rFonts w:eastAsia="Times New Roman" w:cs="Calibri"/>
                <w:color w:val="333333"/>
                <w:lang w:eastAsia="en-AU"/>
              </w:rPr>
              <w:t xml:space="preserve"> such as emergency services</w:t>
            </w:r>
          </w:p>
          <w:p w14:paraId="52155747" w14:textId="3703EE3B" w:rsidR="00DB2681" w:rsidRPr="00A218A7" w:rsidRDefault="008B65A9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</w:tc>
      </w:tr>
      <w:tr w:rsidR="005714D8" w:rsidRPr="00A218A7" w14:paraId="48D6ACB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6C14B" w14:textId="5A227C4F" w:rsidR="005714D8" w:rsidRPr="00A218A7" w:rsidRDefault="005714D8" w:rsidP="00A218A7">
            <w:pPr>
              <w:spacing w:before="120" w:after="120" w:line="240" w:lineRule="auto"/>
              <w:rPr>
                <w:rFonts w:eastAsia="Calibri" w:cs="Calibri"/>
              </w:rPr>
            </w:pPr>
            <w:r w:rsidRPr="00A218A7">
              <w:rPr>
                <w:rFonts w:eastAsia="Calibri" w:cs="Calibri"/>
                <w:b/>
                <w:i/>
              </w:rPr>
              <w:t xml:space="preserve">Documentation </w:t>
            </w:r>
            <w:r w:rsidRPr="00A218A7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F9B58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59176B17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2742F63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6E4AE797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E324039" w14:textId="2CD714B1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5714D8" w:rsidRPr="00A218A7" w14:paraId="1AD09AA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044A1" w14:textId="513F9F08" w:rsidR="005714D8" w:rsidRPr="00A218A7" w:rsidRDefault="005714D8" w:rsidP="00A218A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A218A7">
              <w:rPr>
                <w:rFonts w:eastAsia="Calibri" w:cs="Calibri"/>
                <w:b/>
                <w:i/>
              </w:rPr>
              <w:t xml:space="preserve">Effects of stress </w:t>
            </w:r>
            <w:r w:rsidRPr="00A218A7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74E5C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frustration</w:t>
            </w:r>
          </w:p>
          <w:p w14:paraId="6296107D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inability to concentrate</w:t>
            </w:r>
          </w:p>
          <w:p w14:paraId="320368FF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increasing aggression</w:t>
            </w:r>
          </w:p>
          <w:p w14:paraId="47DFD375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over-talking</w:t>
            </w:r>
          </w:p>
          <w:p w14:paraId="70BFFAA8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tiredness </w:t>
            </w:r>
          </w:p>
          <w:p w14:paraId="2F5CEBD8" w14:textId="52419A2C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uncoordinated movements</w:t>
            </w:r>
          </w:p>
        </w:tc>
      </w:tr>
      <w:tr w:rsidR="005714D8" w:rsidRPr="00A218A7" w14:paraId="6BFF5D6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ADD8D" w14:textId="02D222B7" w:rsidR="005714D8" w:rsidRPr="00A218A7" w:rsidRDefault="005714D8" w:rsidP="00A218A7">
            <w:pPr>
              <w:spacing w:before="120" w:after="120" w:line="240" w:lineRule="auto"/>
              <w:rPr>
                <w:rFonts w:eastAsia="Calibri" w:cs="Calibri"/>
              </w:rPr>
            </w:pPr>
            <w:r w:rsidRPr="00A218A7">
              <w:rPr>
                <w:rFonts w:eastAsia="Calibri" w:cs="Calibri"/>
                <w:b/>
                <w:i/>
              </w:rPr>
              <w:t xml:space="preserve">Stress management techniques </w:t>
            </w:r>
            <w:r w:rsidRPr="00A218A7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A8251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 xml:space="preserve">conscious use of personal recreational activities </w:t>
            </w:r>
          </w:p>
          <w:p w14:paraId="51464700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counselling</w:t>
            </w:r>
          </w:p>
          <w:p w14:paraId="101EA238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formal debriefing processes</w:t>
            </w:r>
          </w:p>
          <w:p w14:paraId="0242024F" w14:textId="77777777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informal exploration of incidents with team members and supporters</w:t>
            </w:r>
          </w:p>
          <w:p w14:paraId="77D2C5E8" w14:textId="39C47BF3" w:rsidR="005714D8" w:rsidRPr="00A218A7" w:rsidRDefault="005714D8" w:rsidP="00A218A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218A7">
              <w:rPr>
                <w:rFonts w:eastAsia="Times New Roman" w:cs="Calibri"/>
                <w:color w:val="333333"/>
                <w:lang w:eastAsia="en-AU"/>
              </w:rPr>
              <w:t>review of practice and resources</w:t>
            </w:r>
          </w:p>
        </w:tc>
      </w:tr>
    </w:tbl>
    <w:p w14:paraId="3EB00879" w14:textId="77777777" w:rsidR="00347808" w:rsidRPr="00A218A7" w:rsidRDefault="00347808" w:rsidP="00A218A7">
      <w:pPr>
        <w:spacing w:before="120" w:after="120" w:line="240" w:lineRule="auto"/>
      </w:pPr>
    </w:p>
    <w:sectPr w:rsidR="00347808" w:rsidRPr="00A2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FF2C" w14:textId="77777777" w:rsidR="00EE2A5D" w:rsidRDefault="00EE2A5D" w:rsidP="008B6BD6">
      <w:pPr>
        <w:spacing w:after="0" w:line="240" w:lineRule="auto"/>
      </w:pPr>
      <w:r>
        <w:separator/>
      </w:r>
    </w:p>
  </w:endnote>
  <w:endnote w:type="continuationSeparator" w:id="0">
    <w:p w14:paraId="71327337" w14:textId="77777777" w:rsidR="00EE2A5D" w:rsidRDefault="00EE2A5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8013" w14:textId="77777777" w:rsidR="00EE2A5D" w:rsidRDefault="00EE2A5D" w:rsidP="008B6BD6">
      <w:pPr>
        <w:spacing w:after="0" w:line="240" w:lineRule="auto"/>
      </w:pPr>
      <w:r>
        <w:separator/>
      </w:r>
    </w:p>
  </w:footnote>
  <w:footnote w:type="continuationSeparator" w:id="0">
    <w:p w14:paraId="5D00BB29" w14:textId="77777777" w:rsidR="00EE2A5D" w:rsidRDefault="00EE2A5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EE2A5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EE2A5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C0B6F56"/>
    <w:multiLevelType w:val="hybridMultilevel"/>
    <w:tmpl w:val="1F20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E63CF"/>
    <w:multiLevelType w:val="hybridMultilevel"/>
    <w:tmpl w:val="9B382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19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3F63"/>
    <w:rsid w:val="0001587F"/>
    <w:rsid w:val="000221D3"/>
    <w:rsid w:val="00022EB9"/>
    <w:rsid w:val="00031F2B"/>
    <w:rsid w:val="00041598"/>
    <w:rsid w:val="0004213A"/>
    <w:rsid w:val="000519F4"/>
    <w:rsid w:val="000544B6"/>
    <w:rsid w:val="00057E31"/>
    <w:rsid w:val="00075F9C"/>
    <w:rsid w:val="00076E2D"/>
    <w:rsid w:val="00076FDE"/>
    <w:rsid w:val="00083B5C"/>
    <w:rsid w:val="000905CE"/>
    <w:rsid w:val="000A1F1F"/>
    <w:rsid w:val="000B0A4B"/>
    <w:rsid w:val="000B22A3"/>
    <w:rsid w:val="000D05F1"/>
    <w:rsid w:val="000D4939"/>
    <w:rsid w:val="000E157D"/>
    <w:rsid w:val="000E2AAE"/>
    <w:rsid w:val="000E5CC1"/>
    <w:rsid w:val="000E7DB8"/>
    <w:rsid w:val="000F009F"/>
    <w:rsid w:val="000F28C6"/>
    <w:rsid w:val="000F4364"/>
    <w:rsid w:val="000F456D"/>
    <w:rsid w:val="000F57F4"/>
    <w:rsid w:val="000F59BC"/>
    <w:rsid w:val="000F70F0"/>
    <w:rsid w:val="00110F88"/>
    <w:rsid w:val="00115B40"/>
    <w:rsid w:val="001160F3"/>
    <w:rsid w:val="0012146F"/>
    <w:rsid w:val="00122E24"/>
    <w:rsid w:val="00123F4B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6046D"/>
    <w:rsid w:val="00162F33"/>
    <w:rsid w:val="00164F7D"/>
    <w:rsid w:val="00167DBF"/>
    <w:rsid w:val="001717F2"/>
    <w:rsid w:val="00181554"/>
    <w:rsid w:val="001831E2"/>
    <w:rsid w:val="001844AC"/>
    <w:rsid w:val="001B3600"/>
    <w:rsid w:val="001B5155"/>
    <w:rsid w:val="001B5C5A"/>
    <w:rsid w:val="001C5E02"/>
    <w:rsid w:val="001C7D96"/>
    <w:rsid w:val="001D4703"/>
    <w:rsid w:val="001E34CC"/>
    <w:rsid w:val="001F5CD6"/>
    <w:rsid w:val="001F63AB"/>
    <w:rsid w:val="002101EA"/>
    <w:rsid w:val="00210CC7"/>
    <w:rsid w:val="00211198"/>
    <w:rsid w:val="00212B78"/>
    <w:rsid w:val="002339EC"/>
    <w:rsid w:val="00233CED"/>
    <w:rsid w:val="002344D8"/>
    <w:rsid w:val="00234838"/>
    <w:rsid w:val="00236288"/>
    <w:rsid w:val="00236B8A"/>
    <w:rsid w:val="00242385"/>
    <w:rsid w:val="00253D38"/>
    <w:rsid w:val="00255360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919AD"/>
    <w:rsid w:val="002A06D3"/>
    <w:rsid w:val="002A30DA"/>
    <w:rsid w:val="002A4EE1"/>
    <w:rsid w:val="002C10C1"/>
    <w:rsid w:val="002C3217"/>
    <w:rsid w:val="002C6FE6"/>
    <w:rsid w:val="002D33E3"/>
    <w:rsid w:val="002D40FB"/>
    <w:rsid w:val="002E6879"/>
    <w:rsid w:val="002E6CAC"/>
    <w:rsid w:val="002E75C7"/>
    <w:rsid w:val="002E7BCB"/>
    <w:rsid w:val="002F5B89"/>
    <w:rsid w:val="002F6193"/>
    <w:rsid w:val="00301A55"/>
    <w:rsid w:val="00303B82"/>
    <w:rsid w:val="00310F85"/>
    <w:rsid w:val="003119F5"/>
    <w:rsid w:val="003210FE"/>
    <w:rsid w:val="0032496B"/>
    <w:rsid w:val="00324AD5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62C1E"/>
    <w:rsid w:val="00371D22"/>
    <w:rsid w:val="00376FD4"/>
    <w:rsid w:val="00381158"/>
    <w:rsid w:val="00382C0D"/>
    <w:rsid w:val="003845B7"/>
    <w:rsid w:val="00384963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D05A3"/>
    <w:rsid w:val="003D5AF3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3541"/>
    <w:rsid w:val="0040486C"/>
    <w:rsid w:val="0041240C"/>
    <w:rsid w:val="004175AC"/>
    <w:rsid w:val="004178D4"/>
    <w:rsid w:val="00420FDB"/>
    <w:rsid w:val="004242B5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8255C"/>
    <w:rsid w:val="004833C5"/>
    <w:rsid w:val="00484EC6"/>
    <w:rsid w:val="00495012"/>
    <w:rsid w:val="004B4749"/>
    <w:rsid w:val="004B5B44"/>
    <w:rsid w:val="004B61B2"/>
    <w:rsid w:val="004B690D"/>
    <w:rsid w:val="004C2012"/>
    <w:rsid w:val="004C39FA"/>
    <w:rsid w:val="004C42B1"/>
    <w:rsid w:val="004C4BB3"/>
    <w:rsid w:val="004C4CC0"/>
    <w:rsid w:val="004C780F"/>
    <w:rsid w:val="004C7ABD"/>
    <w:rsid w:val="004D212F"/>
    <w:rsid w:val="004D692E"/>
    <w:rsid w:val="004E1B34"/>
    <w:rsid w:val="004E670F"/>
    <w:rsid w:val="004E6D32"/>
    <w:rsid w:val="004E72FD"/>
    <w:rsid w:val="004E753C"/>
    <w:rsid w:val="004F0EF6"/>
    <w:rsid w:val="004F4181"/>
    <w:rsid w:val="004F59D3"/>
    <w:rsid w:val="00512599"/>
    <w:rsid w:val="00516F4E"/>
    <w:rsid w:val="0052080D"/>
    <w:rsid w:val="005226C7"/>
    <w:rsid w:val="00522EC4"/>
    <w:rsid w:val="00533D80"/>
    <w:rsid w:val="00543A5C"/>
    <w:rsid w:val="005511AB"/>
    <w:rsid w:val="00563CA6"/>
    <w:rsid w:val="00564B1D"/>
    <w:rsid w:val="00564B47"/>
    <w:rsid w:val="00564C07"/>
    <w:rsid w:val="00564D1D"/>
    <w:rsid w:val="005714D8"/>
    <w:rsid w:val="00574325"/>
    <w:rsid w:val="0057766E"/>
    <w:rsid w:val="0058078C"/>
    <w:rsid w:val="00582D7B"/>
    <w:rsid w:val="005866F9"/>
    <w:rsid w:val="005900F9"/>
    <w:rsid w:val="00597FE2"/>
    <w:rsid w:val="005A7705"/>
    <w:rsid w:val="005B2DF4"/>
    <w:rsid w:val="005B3B7D"/>
    <w:rsid w:val="005C2A5C"/>
    <w:rsid w:val="005C3D43"/>
    <w:rsid w:val="005C5E5B"/>
    <w:rsid w:val="005D0B6B"/>
    <w:rsid w:val="005D32B2"/>
    <w:rsid w:val="005D6649"/>
    <w:rsid w:val="005E3A48"/>
    <w:rsid w:val="005E6311"/>
    <w:rsid w:val="005E6B92"/>
    <w:rsid w:val="005F2C56"/>
    <w:rsid w:val="005F30CA"/>
    <w:rsid w:val="005F6231"/>
    <w:rsid w:val="00602AC2"/>
    <w:rsid w:val="00604678"/>
    <w:rsid w:val="00604788"/>
    <w:rsid w:val="006143CD"/>
    <w:rsid w:val="006146FA"/>
    <w:rsid w:val="0062213A"/>
    <w:rsid w:val="006234EF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7F57"/>
    <w:rsid w:val="006618F7"/>
    <w:rsid w:val="006706AE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5CF3"/>
    <w:rsid w:val="006A79D5"/>
    <w:rsid w:val="006B049E"/>
    <w:rsid w:val="006C1398"/>
    <w:rsid w:val="006C1C10"/>
    <w:rsid w:val="006C5C56"/>
    <w:rsid w:val="006C620E"/>
    <w:rsid w:val="006C64B7"/>
    <w:rsid w:val="006D0EA0"/>
    <w:rsid w:val="006D1ADC"/>
    <w:rsid w:val="006D3D72"/>
    <w:rsid w:val="006D79E8"/>
    <w:rsid w:val="006E69DC"/>
    <w:rsid w:val="006E716C"/>
    <w:rsid w:val="006E76A2"/>
    <w:rsid w:val="006F1F90"/>
    <w:rsid w:val="00701666"/>
    <w:rsid w:val="007110D7"/>
    <w:rsid w:val="007131D1"/>
    <w:rsid w:val="007174D4"/>
    <w:rsid w:val="00720745"/>
    <w:rsid w:val="007263E5"/>
    <w:rsid w:val="0073551E"/>
    <w:rsid w:val="0073627E"/>
    <w:rsid w:val="007459D5"/>
    <w:rsid w:val="007559A7"/>
    <w:rsid w:val="00762EF7"/>
    <w:rsid w:val="00766838"/>
    <w:rsid w:val="0077023C"/>
    <w:rsid w:val="00770752"/>
    <w:rsid w:val="0077343C"/>
    <w:rsid w:val="00777CAC"/>
    <w:rsid w:val="00784220"/>
    <w:rsid w:val="007856FF"/>
    <w:rsid w:val="007862EC"/>
    <w:rsid w:val="00791FAE"/>
    <w:rsid w:val="00792B2D"/>
    <w:rsid w:val="00794410"/>
    <w:rsid w:val="00796B09"/>
    <w:rsid w:val="0079761B"/>
    <w:rsid w:val="00797BD1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F549F"/>
    <w:rsid w:val="007F6766"/>
    <w:rsid w:val="00820011"/>
    <w:rsid w:val="008200E8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4210"/>
    <w:rsid w:val="00861B9D"/>
    <w:rsid w:val="00871274"/>
    <w:rsid w:val="0087223A"/>
    <w:rsid w:val="0088034F"/>
    <w:rsid w:val="0088142B"/>
    <w:rsid w:val="00881CB2"/>
    <w:rsid w:val="00882B00"/>
    <w:rsid w:val="00882C6D"/>
    <w:rsid w:val="00884D7A"/>
    <w:rsid w:val="00885713"/>
    <w:rsid w:val="00885F44"/>
    <w:rsid w:val="00890002"/>
    <w:rsid w:val="00895DF1"/>
    <w:rsid w:val="00896C49"/>
    <w:rsid w:val="008A2465"/>
    <w:rsid w:val="008B0618"/>
    <w:rsid w:val="008B29DC"/>
    <w:rsid w:val="008B4ADC"/>
    <w:rsid w:val="008B65A9"/>
    <w:rsid w:val="008B6BD6"/>
    <w:rsid w:val="008B6BF4"/>
    <w:rsid w:val="008C5232"/>
    <w:rsid w:val="008C5747"/>
    <w:rsid w:val="008D2FAD"/>
    <w:rsid w:val="008D3885"/>
    <w:rsid w:val="008D4200"/>
    <w:rsid w:val="008D5402"/>
    <w:rsid w:val="008F0EB6"/>
    <w:rsid w:val="008F1A02"/>
    <w:rsid w:val="00903029"/>
    <w:rsid w:val="0090548A"/>
    <w:rsid w:val="00906F8F"/>
    <w:rsid w:val="00911E93"/>
    <w:rsid w:val="009123F9"/>
    <w:rsid w:val="00915A6B"/>
    <w:rsid w:val="00924D0C"/>
    <w:rsid w:val="009300F5"/>
    <w:rsid w:val="009311CE"/>
    <w:rsid w:val="00931DC7"/>
    <w:rsid w:val="00932F79"/>
    <w:rsid w:val="009427AB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7120B"/>
    <w:rsid w:val="00971DAE"/>
    <w:rsid w:val="00983CAE"/>
    <w:rsid w:val="00985716"/>
    <w:rsid w:val="009857BE"/>
    <w:rsid w:val="00991698"/>
    <w:rsid w:val="0099296E"/>
    <w:rsid w:val="009A108F"/>
    <w:rsid w:val="009A3749"/>
    <w:rsid w:val="009A3F8F"/>
    <w:rsid w:val="009A623F"/>
    <w:rsid w:val="009B33E7"/>
    <w:rsid w:val="009B73B2"/>
    <w:rsid w:val="009C07E3"/>
    <w:rsid w:val="009D680B"/>
    <w:rsid w:val="009E0EC0"/>
    <w:rsid w:val="009E62ED"/>
    <w:rsid w:val="009F0801"/>
    <w:rsid w:val="009F1256"/>
    <w:rsid w:val="009F5080"/>
    <w:rsid w:val="009F7080"/>
    <w:rsid w:val="00A03BA0"/>
    <w:rsid w:val="00A07E43"/>
    <w:rsid w:val="00A17355"/>
    <w:rsid w:val="00A20394"/>
    <w:rsid w:val="00A218A7"/>
    <w:rsid w:val="00A218AE"/>
    <w:rsid w:val="00A21E95"/>
    <w:rsid w:val="00A23E12"/>
    <w:rsid w:val="00A3083C"/>
    <w:rsid w:val="00A34B10"/>
    <w:rsid w:val="00A403D6"/>
    <w:rsid w:val="00A53538"/>
    <w:rsid w:val="00A56865"/>
    <w:rsid w:val="00A57BFC"/>
    <w:rsid w:val="00A8272E"/>
    <w:rsid w:val="00A83B12"/>
    <w:rsid w:val="00A859EC"/>
    <w:rsid w:val="00A86EDB"/>
    <w:rsid w:val="00A90A18"/>
    <w:rsid w:val="00A96B0B"/>
    <w:rsid w:val="00AA5359"/>
    <w:rsid w:val="00AB001A"/>
    <w:rsid w:val="00AB70BF"/>
    <w:rsid w:val="00AC148E"/>
    <w:rsid w:val="00AD0809"/>
    <w:rsid w:val="00AD4D46"/>
    <w:rsid w:val="00AD5A08"/>
    <w:rsid w:val="00AE710A"/>
    <w:rsid w:val="00AE7856"/>
    <w:rsid w:val="00AF2486"/>
    <w:rsid w:val="00AF442A"/>
    <w:rsid w:val="00AF79E6"/>
    <w:rsid w:val="00B076E4"/>
    <w:rsid w:val="00B11EAA"/>
    <w:rsid w:val="00B1354D"/>
    <w:rsid w:val="00B203A8"/>
    <w:rsid w:val="00B212CC"/>
    <w:rsid w:val="00B23D85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6A3E"/>
    <w:rsid w:val="00B640D1"/>
    <w:rsid w:val="00B653E2"/>
    <w:rsid w:val="00B65640"/>
    <w:rsid w:val="00B6637E"/>
    <w:rsid w:val="00B70176"/>
    <w:rsid w:val="00B74CB0"/>
    <w:rsid w:val="00B80D1D"/>
    <w:rsid w:val="00B81FF3"/>
    <w:rsid w:val="00B85225"/>
    <w:rsid w:val="00B853E6"/>
    <w:rsid w:val="00B878E3"/>
    <w:rsid w:val="00B9055D"/>
    <w:rsid w:val="00B958A0"/>
    <w:rsid w:val="00BA0CD3"/>
    <w:rsid w:val="00BA1C7B"/>
    <w:rsid w:val="00BA41CB"/>
    <w:rsid w:val="00BA51D0"/>
    <w:rsid w:val="00BC266E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49AF"/>
    <w:rsid w:val="00C24BEE"/>
    <w:rsid w:val="00C409A1"/>
    <w:rsid w:val="00C43C32"/>
    <w:rsid w:val="00C50DA1"/>
    <w:rsid w:val="00C5378E"/>
    <w:rsid w:val="00C538A5"/>
    <w:rsid w:val="00C54166"/>
    <w:rsid w:val="00C56400"/>
    <w:rsid w:val="00C62C65"/>
    <w:rsid w:val="00C6352B"/>
    <w:rsid w:val="00C65D1C"/>
    <w:rsid w:val="00C748E7"/>
    <w:rsid w:val="00CA04C6"/>
    <w:rsid w:val="00CA0E49"/>
    <w:rsid w:val="00CA210F"/>
    <w:rsid w:val="00CA7BC3"/>
    <w:rsid w:val="00CB02EA"/>
    <w:rsid w:val="00CB0AF3"/>
    <w:rsid w:val="00CB1112"/>
    <w:rsid w:val="00CB50E3"/>
    <w:rsid w:val="00CC2ACE"/>
    <w:rsid w:val="00CC6E76"/>
    <w:rsid w:val="00CD07A3"/>
    <w:rsid w:val="00CD528E"/>
    <w:rsid w:val="00CE1A7A"/>
    <w:rsid w:val="00CE54C6"/>
    <w:rsid w:val="00CE5B60"/>
    <w:rsid w:val="00CE6F97"/>
    <w:rsid w:val="00CE71DA"/>
    <w:rsid w:val="00CF20B2"/>
    <w:rsid w:val="00CF4AC3"/>
    <w:rsid w:val="00D05BB2"/>
    <w:rsid w:val="00D10065"/>
    <w:rsid w:val="00D11EE2"/>
    <w:rsid w:val="00D12DEA"/>
    <w:rsid w:val="00D245B3"/>
    <w:rsid w:val="00D26EC4"/>
    <w:rsid w:val="00D47C16"/>
    <w:rsid w:val="00D54256"/>
    <w:rsid w:val="00D5487F"/>
    <w:rsid w:val="00D55005"/>
    <w:rsid w:val="00D56727"/>
    <w:rsid w:val="00D6076D"/>
    <w:rsid w:val="00D60E87"/>
    <w:rsid w:val="00D675EA"/>
    <w:rsid w:val="00D6793F"/>
    <w:rsid w:val="00D74400"/>
    <w:rsid w:val="00D7690A"/>
    <w:rsid w:val="00D77AA4"/>
    <w:rsid w:val="00D849E3"/>
    <w:rsid w:val="00D86633"/>
    <w:rsid w:val="00D92B48"/>
    <w:rsid w:val="00D96B81"/>
    <w:rsid w:val="00DA7803"/>
    <w:rsid w:val="00DB2681"/>
    <w:rsid w:val="00DB4C12"/>
    <w:rsid w:val="00DB71CF"/>
    <w:rsid w:val="00DC0E01"/>
    <w:rsid w:val="00DD0B69"/>
    <w:rsid w:val="00DD35DD"/>
    <w:rsid w:val="00DD4171"/>
    <w:rsid w:val="00DD48CE"/>
    <w:rsid w:val="00DE4630"/>
    <w:rsid w:val="00DE5F52"/>
    <w:rsid w:val="00DF044D"/>
    <w:rsid w:val="00DF3DDB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754A"/>
    <w:rsid w:val="00E27F10"/>
    <w:rsid w:val="00E455E2"/>
    <w:rsid w:val="00E45764"/>
    <w:rsid w:val="00E46838"/>
    <w:rsid w:val="00E50F78"/>
    <w:rsid w:val="00E552AB"/>
    <w:rsid w:val="00E57F2A"/>
    <w:rsid w:val="00E65BBE"/>
    <w:rsid w:val="00E7479D"/>
    <w:rsid w:val="00E80B57"/>
    <w:rsid w:val="00E82129"/>
    <w:rsid w:val="00E8233A"/>
    <w:rsid w:val="00E830A5"/>
    <w:rsid w:val="00E92E7C"/>
    <w:rsid w:val="00E95615"/>
    <w:rsid w:val="00E96BFF"/>
    <w:rsid w:val="00E97EFE"/>
    <w:rsid w:val="00EA01A8"/>
    <w:rsid w:val="00EA2BD0"/>
    <w:rsid w:val="00EA5287"/>
    <w:rsid w:val="00EB5365"/>
    <w:rsid w:val="00EB5852"/>
    <w:rsid w:val="00EB65D9"/>
    <w:rsid w:val="00EC0A85"/>
    <w:rsid w:val="00EC5649"/>
    <w:rsid w:val="00EC5EE0"/>
    <w:rsid w:val="00EE1D14"/>
    <w:rsid w:val="00EE2A5D"/>
    <w:rsid w:val="00EF49B5"/>
    <w:rsid w:val="00F03DC5"/>
    <w:rsid w:val="00F0468B"/>
    <w:rsid w:val="00F15962"/>
    <w:rsid w:val="00F16B82"/>
    <w:rsid w:val="00F174EB"/>
    <w:rsid w:val="00F22BE9"/>
    <w:rsid w:val="00F25C3D"/>
    <w:rsid w:val="00F3248D"/>
    <w:rsid w:val="00F32D32"/>
    <w:rsid w:val="00F34474"/>
    <w:rsid w:val="00F46D17"/>
    <w:rsid w:val="00F53326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A1C13"/>
    <w:rsid w:val="00FB18ED"/>
    <w:rsid w:val="00FC1AE2"/>
    <w:rsid w:val="00FC4645"/>
    <w:rsid w:val="00FC487B"/>
    <w:rsid w:val="00FC606B"/>
    <w:rsid w:val="00FC7675"/>
    <w:rsid w:val="00FD2D1D"/>
    <w:rsid w:val="00FD39B7"/>
    <w:rsid w:val="00FF0FFA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iPriority w:val="99"/>
    <w:semiHidden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10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194</cp:revision>
  <cp:lastPrinted>2017-08-30T05:44:00Z</cp:lastPrinted>
  <dcterms:created xsi:type="dcterms:W3CDTF">2017-09-08T03:28:00Z</dcterms:created>
  <dcterms:modified xsi:type="dcterms:W3CDTF">2017-10-24T00:52:00Z</dcterms:modified>
</cp:coreProperties>
</file>