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643E6" w14:textId="77777777" w:rsidR="00590E8E" w:rsidRPr="00764B84" w:rsidRDefault="00590E8E" w:rsidP="007B0781">
      <w:pPr>
        <w:jc w:val="center"/>
        <w:rPr>
          <w:sz w:val="40"/>
          <w:lang w:val="en-US"/>
        </w:rPr>
      </w:pPr>
    </w:p>
    <w:p w14:paraId="0CA707CE" w14:textId="77777777" w:rsidR="00590E8E" w:rsidRDefault="00590E8E" w:rsidP="007B0781">
      <w:pPr>
        <w:jc w:val="center"/>
        <w:rPr>
          <w:sz w:val="40"/>
        </w:rPr>
      </w:pPr>
    </w:p>
    <w:p w14:paraId="6227904B" w14:textId="0A58D318" w:rsidR="007B0781" w:rsidRPr="00BF77B0" w:rsidRDefault="007B0781" w:rsidP="007B0781">
      <w:pPr>
        <w:jc w:val="center"/>
        <w:rPr>
          <w:sz w:val="40"/>
        </w:rPr>
      </w:pPr>
      <w:r w:rsidRPr="00BF77B0">
        <w:rPr>
          <w:sz w:val="40"/>
        </w:rPr>
        <w:t xml:space="preserve">Case for Change: </w:t>
      </w:r>
      <w:r w:rsidR="00590E8E">
        <w:rPr>
          <w:sz w:val="40"/>
        </w:rPr>
        <w:t>Painting and Decorating</w:t>
      </w:r>
    </w:p>
    <w:p w14:paraId="22D76B49" w14:textId="36B1155F" w:rsidR="007B0781" w:rsidRPr="00BF77B0" w:rsidRDefault="007B0781" w:rsidP="007B0781">
      <w:pPr>
        <w:jc w:val="center"/>
        <w:rPr>
          <w:sz w:val="40"/>
        </w:rPr>
      </w:pPr>
      <w:r w:rsidRPr="00BF77B0">
        <w:rPr>
          <w:sz w:val="40"/>
        </w:rPr>
        <w:t>CP</w:t>
      </w:r>
      <w:r w:rsidR="00590E8E">
        <w:rPr>
          <w:sz w:val="40"/>
        </w:rPr>
        <w:t>C</w:t>
      </w:r>
      <w:r w:rsidRPr="00BF77B0">
        <w:rPr>
          <w:sz w:val="40"/>
        </w:rPr>
        <w:t xml:space="preserve"> </w:t>
      </w:r>
      <w:r w:rsidR="00590E8E">
        <w:rPr>
          <w:sz w:val="40"/>
        </w:rPr>
        <w:t>Construction, Plumbing and</w:t>
      </w:r>
      <w:r w:rsidRPr="00BF77B0">
        <w:rPr>
          <w:sz w:val="40"/>
        </w:rPr>
        <w:t xml:space="preserve"> Services Training Package</w:t>
      </w:r>
    </w:p>
    <w:p w14:paraId="3D3B816C" w14:textId="77777777" w:rsidR="007B0781" w:rsidRPr="00BF77B0" w:rsidRDefault="007B0781" w:rsidP="007B0781">
      <w:pPr>
        <w:jc w:val="center"/>
        <w:rPr>
          <w:sz w:val="40"/>
        </w:rPr>
      </w:pPr>
      <w:r>
        <w:rPr>
          <w:sz w:val="40"/>
        </w:rPr>
        <w:t>October</w:t>
      </w:r>
      <w:r w:rsidRPr="00BF77B0">
        <w:rPr>
          <w:sz w:val="40"/>
        </w:rPr>
        <w:t xml:space="preserve"> 2017</w:t>
      </w:r>
    </w:p>
    <w:p w14:paraId="75EA9B1B" w14:textId="73095F93" w:rsidR="006726D6" w:rsidRDefault="003D62D8">
      <w:pPr>
        <w:sectPr w:rsidR="006726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noProof/>
          <w:lang w:val="en-US"/>
        </w:rPr>
        <mc:AlternateContent>
          <mc:Choice Requires="wps">
            <w:drawing>
              <wp:anchor distT="0" distB="0" distL="114300" distR="114300" simplePos="0" relativeHeight="251671552" behindDoc="0" locked="0" layoutInCell="1" allowOverlap="1" wp14:anchorId="62D6A47E" wp14:editId="0A959AB1">
                <wp:simplePos x="0" y="0"/>
                <wp:positionH relativeFrom="column">
                  <wp:posOffset>-754380</wp:posOffset>
                </wp:positionH>
                <wp:positionV relativeFrom="paragraph">
                  <wp:posOffset>8785860</wp:posOffset>
                </wp:positionV>
                <wp:extent cx="172974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729740" cy="320040"/>
                        </a:xfrm>
                        <a:prstGeom prst="rect">
                          <a:avLst/>
                        </a:prstGeom>
                        <a:noFill/>
                        <a:ln w="6350">
                          <a:noFill/>
                        </a:ln>
                      </wps:spPr>
                      <wps:txbx>
                        <w:txbxContent>
                          <w:p w14:paraId="674E0B5F" w14:textId="77777777" w:rsidR="00D809CB" w:rsidRPr="003D62D8" w:rsidRDefault="00D809CB">
                            <w:pPr>
                              <w:rPr>
                                <w:lang w:val="en-US"/>
                              </w:rPr>
                            </w:pPr>
                            <w:r>
                              <w:rPr>
                                <w:lang w:val="en-US"/>
                              </w:rPr>
                              <w:t>October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D6A47E" id="_x0000_t202" coordsize="21600,21600" o:spt="202" path="m,l,21600r21600,l21600,xe">
                <v:stroke joinstyle="miter"/>
                <v:path gradientshapeok="t" o:connecttype="rect"/>
              </v:shapetype>
              <v:shape id="Text Box 4" o:spid="_x0000_s1026" type="#_x0000_t202" style="position:absolute;margin-left:-59.4pt;margin-top:691.8pt;width:136.2pt;height:25.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" filled="f" stroked="f" strokeweight=".5pt">
                <v:textbox>
                  <w:txbxContent>
                    <w:p w14:paraId="674E0B5F" w14:textId="77777777" w:rsidR="00D809CB" w:rsidRPr="003D62D8" w:rsidRDefault="00D809CB">
                      <w:pPr>
                        <w:rPr>
                          <w:lang w:val="en-US"/>
                        </w:rPr>
                      </w:pPr>
                      <w:r>
                        <w:rPr>
                          <w:lang w:val="en-US"/>
                        </w:rPr>
                        <w:t>October 2017</w:t>
                      </w:r>
                    </w:p>
                  </w:txbxContent>
                </v:textbox>
              </v:shape>
            </w:pict>
          </mc:Fallback>
        </mc:AlternateContent>
      </w:r>
      <w:r w:rsidR="0005222B">
        <w:rPr>
          <w:noProof/>
          <w:lang w:val="en-US"/>
        </w:rPr>
        <mc:AlternateContent>
          <mc:Choice Requires="wps">
            <w:drawing>
              <wp:anchor distT="0" distB="0" distL="114300" distR="114300" simplePos="0" relativeHeight="251670528" behindDoc="0" locked="0" layoutInCell="1" allowOverlap="1" wp14:anchorId="1DFBB2AD" wp14:editId="5C0261ED">
                <wp:simplePos x="0" y="0"/>
                <wp:positionH relativeFrom="page">
                  <wp:align>right</wp:align>
                </wp:positionH>
                <wp:positionV relativeFrom="paragraph">
                  <wp:posOffset>3017520</wp:posOffset>
                </wp:positionV>
                <wp:extent cx="7467600" cy="1104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467600" cy="1104900"/>
                        </a:xfrm>
                        <a:prstGeom prst="rect">
                          <a:avLst/>
                        </a:prstGeom>
                        <a:noFill/>
                        <a:ln w="6350">
                          <a:noFill/>
                        </a:ln>
                      </wps:spPr>
                      <wps:txbx>
                        <w:txbxContent>
                          <w:p w14:paraId="6BD9A9FD" w14:textId="77777777" w:rsidR="00D809CB" w:rsidRPr="0005222B" w:rsidRDefault="00D809CB">
                            <w:pPr>
                              <w:rPr>
                                <w:color w:val="FFFFFF" w:themeColor="background1"/>
                                <w:sz w:val="32"/>
                                <w:lang w:val="en-US"/>
                              </w:rPr>
                            </w:pPr>
                            <w:r w:rsidRPr="0005222B">
                              <w:rPr>
                                <w:color w:val="FFFFFF" w:themeColor="background1"/>
                                <w:sz w:val="32"/>
                                <w:lang w:val="en-US"/>
                              </w:rPr>
                              <w:t>CPC Construction, Plumbing and Services Training Package</w:t>
                            </w:r>
                          </w:p>
                          <w:p w14:paraId="185B4CF1" w14:textId="1F9D1162" w:rsidR="00D809CB" w:rsidRPr="0005222B" w:rsidRDefault="00D809CB">
                            <w:pPr>
                              <w:rPr>
                                <w:color w:val="FFFFFF" w:themeColor="background1"/>
                                <w:sz w:val="32"/>
                                <w:lang w:val="en-US"/>
                              </w:rPr>
                            </w:pPr>
                            <w:r w:rsidRPr="0005222B">
                              <w:rPr>
                                <w:color w:val="FFFFFF" w:themeColor="background1"/>
                                <w:sz w:val="32"/>
                                <w:lang w:val="en-US"/>
                              </w:rPr>
                              <w:t>Case for Change for CPC30611 - Certificate III in Painting and Decorating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B2AD" id="Text Box 3" o:spid="_x0000_s1027" type="#_x0000_t202" style="position:absolute;margin-left:536.8pt;margin-top:237.6pt;width:588pt;height:87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" filled="f" stroked="f" strokeweight=".5pt">
                <v:textbox>
                  <w:txbxContent>
                    <w:p w14:paraId="6BD9A9FD" w14:textId="77777777" w:rsidR="00D809CB" w:rsidRPr="0005222B" w:rsidRDefault="00D809CB">
                      <w:pPr>
                        <w:rPr>
                          <w:color w:val="FFFFFF" w:themeColor="background1"/>
                          <w:sz w:val="32"/>
                          <w:lang w:val="en-US"/>
                        </w:rPr>
                      </w:pPr>
                      <w:r w:rsidRPr="0005222B">
                        <w:rPr>
                          <w:color w:val="FFFFFF" w:themeColor="background1"/>
                          <w:sz w:val="32"/>
                          <w:lang w:val="en-US"/>
                        </w:rPr>
                        <w:t>CPC Construction, Plumbing and Services Training Package</w:t>
                      </w:r>
                    </w:p>
                    <w:p w14:paraId="185B4CF1" w14:textId="1F9D1162" w:rsidR="00D809CB" w:rsidRPr="0005222B" w:rsidRDefault="00D809CB">
                      <w:pPr>
                        <w:rPr>
                          <w:color w:val="FFFFFF" w:themeColor="background1"/>
                          <w:sz w:val="32"/>
                          <w:lang w:val="en-US"/>
                        </w:rPr>
                      </w:pPr>
                      <w:r w:rsidRPr="0005222B">
                        <w:rPr>
                          <w:color w:val="FFFFFF" w:themeColor="background1"/>
                          <w:sz w:val="32"/>
                          <w:lang w:val="en-US"/>
                        </w:rPr>
                        <w:t>Case for Change for CPC30611 - Certificate III in Painting and Decorating</w:t>
                      </w:r>
                    </w:p>
                  </w:txbxContent>
                </v:textbox>
                <w10:wrap anchorx="page"/>
              </v:shape>
            </w:pict>
          </mc:Fallback>
        </mc:AlternateContent>
      </w:r>
    </w:p>
    <w:bookmarkStart w:id="0" w:name="_Toc475695346" w:displacedByCustomXml="next"/>
    <w:bookmarkStart w:id="1" w:name="_Toc475695454" w:displacedByCustomXml="next"/>
    <w:bookmarkStart w:id="2" w:name="_Toc475972828" w:displacedByCustomXml="next"/>
    <w:bookmarkStart w:id="3" w:name="_Toc475972924" w:displacedByCustomXml="next"/>
    <w:bookmarkStart w:id="4" w:name="_Toc475973047" w:displacedByCustomXml="next"/>
    <w:bookmarkStart w:id="5" w:name="_Toc482092899" w:displacedByCustomXml="next"/>
    <w:bookmarkStart w:id="6" w:name="_Toc485818110" w:displacedByCustomXml="next"/>
    <w:bookmarkStart w:id="7" w:name="_Toc490221582" w:displacedByCustomXml="next"/>
    <w:bookmarkStart w:id="8" w:name="_Toc475695348" w:displacedByCustomXml="next"/>
    <w:bookmarkStart w:id="9" w:name="_Toc475695456" w:displacedByCustomXml="next"/>
    <w:bookmarkStart w:id="10" w:name="_Toc475972830" w:displacedByCustomXml="next"/>
    <w:bookmarkStart w:id="11" w:name="_Toc475972926" w:displacedByCustomXml="next"/>
    <w:sdt>
      <w:sdtPr>
        <w:rPr>
          <w:rFonts w:ascii="Calibri" w:eastAsiaTheme="minorHAnsi" w:hAnsi="Calibri" w:cstheme="minorBidi"/>
          <w:sz w:val="22"/>
          <w:szCs w:val="22"/>
          <w:lang w:val="en-AU"/>
        </w:rPr>
        <w:id w:val="1349143794"/>
        <w:docPartObj>
          <w:docPartGallery w:val="Table of Contents"/>
          <w:docPartUnique/>
        </w:docPartObj>
      </w:sdtPr>
      <w:sdtEndPr>
        <w:rPr>
          <w:b/>
          <w:bCs/>
          <w:noProof/>
        </w:rPr>
      </w:sdtEndPr>
      <w:sdtContent>
        <w:p w14:paraId="7298F86C" w14:textId="71AD80DC" w:rsidR="005070D6" w:rsidRDefault="005070D6">
          <w:pPr>
            <w:pStyle w:val="TOCHeading"/>
          </w:pPr>
          <w:r>
            <w:t>Table of Contents</w:t>
          </w:r>
        </w:p>
        <w:p w14:paraId="6D0A2959" w14:textId="720120D0" w:rsidR="005070D6" w:rsidRDefault="005070D6">
          <w:pPr>
            <w:pStyle w:val="TOC2"/>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96460780" w:history="1">
            <w:r w:rsidRPr="00451525">
              <w:rPr>
                <w:rStyle w:val="Hyperlink"/>
                <w:noProof/>
              </w:rPr>
              <w:t>Name of Allocated IRC(s)</w:t>
            </w:r>
            <w:r>
              <w:rPr>
                <w:noProof/>
                <w:webHidden/>
              </w:rPr>
              <w:tab/>
            </w:r>
            <w:r>
              <w:rPr>
                <w:noProof/>
                <w:webHidden/>
              </w:rPr>
              <w:fldChar w:fldCharType="begin"/>
            </w:r>
            <w:r>
              <w:rPr>
                <w:noProof/>
                <w:webHidden/>
              </w:rPr>
              <w:instrText xml:space="preserve"> PAGEREF _Toc496460780 \h </w:instrText>
            </w:r>
            <w:r>
              <w:rPr>
                <w:noProof/>
                <w:webHidden/>
              </w:rPr>
            </w:r>
            <w:r>
              <w:rPr>
                <w:noProof/>
                <w:webHidden/>
              </w:rPr>
              <w:fldChar w:fldCharType="separate"/>
            </w:r>
            <w:r>
              <w:rPr>
                <w:noProof/>
                <w:webHidden/>
              </w:rPr>
              <w:t>4</w:t>
            </w:r>
            <w:r>
              <w:rPr>
                <w:noProof/>
                <w:webHidden/>
              </w:rPr>
              <w:fldChar w:fldCharType="end"/>
            </w:r>
          </w:hyperlink>
        </w:p>
        <w:p w14:paraId="39E11ADE" w14:textId="79261A78" w:rsidR="005070D6" w:rsidRDefault="00CF1526">
          <w:pPr>
            <w:pStyle w:val="TOC2"/>
            <w:tabs>
              <w:tab w:val="right" w:leader="dot" w:pos="9016"/>
            </w:tabs>
            <w:rPr>
              <w:rFonts w:asciiTheme="minorHAnsi" w:eastAsiaTheme="minorEastAsia" w:hAnsiTheme="minorHAnsi"/>
              <w:noProof/>
              <w:lang w:eastAsia="en-AU"/>
            </w:rPr>
          </w:pPr>
          <w:hyperlink w:anchor="_Toc496460781" w:history="1">
            <w:r w:rsidR="005070D6" w:rsidRPr="00451525">
              <w:rPr>
                <w:rStyle w:val="Hyperlink"/>
                <w:noProof/>
              </w:rPr>
              <w:t>Name of the SSO</w:t>
            </w:r>
            <w:r w:rsidR="005070D6">
              <w:rPr>
                <w:noProof/>
                <w:webHidden/>
              </w:rPr>
              <w:tab/>
            </w:r>
            <w:r w:rsidR="005070D6">
              <w:rPr>
                <w:noProof/>
                <w:webHidden/>
              </w:rPr>
              <w:fldChar w:fldCharType="begin"/>
            </w:r>
            <w:r w:rsidR="005070D6">
              <w:rPr>
                <w:noProof/>
                <w:webHidden/>
              </w:rPr>
              <w:instrText xml:space="preserve"> PAGEREF _Toc496460781 \h </w:instrText>
            </w:r>
            <w:r w:rsidR="005070D6">
              <w:rPr>
                <w:noProof/>
                <w:webHidden/>
              </w:rPr>
            </w:r>
            <w:r w:rsidR="005070D6">
              <w:rPr>
                <w:noProof/>
                <w:webHidden/>
              </w:rPr>
              <w:fldChar w:fldCharType="separate"/>
            </w:r>
            <w:r w:rsidR="005070D6">
              <w:rPr>
                <w:noProof/>
                <w:webHidden/>
              </w:rPr>
              <w:t>4</w:t>
            </w:r>
            <w:r w:rsidR="005070D6">
              <w:rPr>
                <w:noProof/>
                <w:webHidden/>
              </w:rPr>
              <w:fldChar w:fldCharType="end"/>
            </w:r>
          </w:hyperlink>
        </w:p>
        <w:p w14:paraId="0BD080E8" w14:textId="2F8A61C0" w:rsidR="005070D6" w:rsidRDefault="00CF1526">
          <w:pPr>
            <w:pStyle w:val="TOC2"/>
            <w:tabs>
              <w:tab w:val="right" w:leader="dot" w:pos="9016"/>
            </w:tabs>
            <w:rPr>
              <w:rFonts w:asciiTheme="minorHAnsi" w:eastAsiaTheme="minorEastAsia" w:hAnsiTheme="minorHAnsi"/>
              <w:noProof/>
              <w:lang w:eastAsia="en-AU"/>
            </w:rPr>
          </w:pPr>
          <w:hyperlink w:anchor="_Toc496460782" w:history="1">
            <w:r w:rsidR="005070D6" w:rsidRPr="00451525">
              <w:rPr>
                <w:rStyle w:val="Hyperlink"/>
                <w:noProof/>
              </w:rPr>
              <w:t>Components for consideration</w:t>
            </w:r>
            <w:r w:rsidR="005070D6">
              <w:rPr>
                <w:noProof/>
                <w:webHidden/>
              </w:rPr>
              <w:tab/>
            </w:r>
            <w:r w:rsidR="005070D6">
              <w:rPr>
                <w:noProof/>
                <w:webHidden/>
              </w:rPr>
              <w:fldChar w:fldCharType="begin"/>
            </w:r>
            <w:r w:rsidR="005070D6">
              <w:rPr>
                <w:noProof/>
                <w:webHidden/>
              </w:rPr>
              <w:instrText xml:space="preserve"> PAGEREF _Toc496460782 \h </w:instrText>
            </w:r>
            <w:r w:rsidR="005070D6">
              <w:rPr>
                <w:noProof/>
                <w:webHidden/>
              </w:rPr>
            </w:r>
            <w:r w:rsidR="005070D6">
              <w:rPr>
                <w:noProof/>
                <w:webHidden/>
              </w:rPr>
              <w:fldChar w:fldCharType="separate"/>
            </w:r>
            <w:r w:rsidR="005070D6">
              <w:rPr>
                <w:noProof/>
                <w:webHidden/>
              </w:rPr>
              <w:t>4</w:t>
            </w:r>
            <w:r w:rsidR="005070D6">
              <w:rPr>
                <w:noProof/>
                <w:webHidden/>
              </w:rPr>
              <w:fldChar w:fldCharType="end"/>
            </w:r>
          </w:hyperlink>
        </w:p>
        <w:p w14:paraId="58EDF7FB" w14:textId="028D7F32" w:rsidR="005070D6" w:rsidRDefault="00CF1526">
          <w:pPr>
            <w:pStyle w:val="TOC3"/>
            <w:tabs>
              <w:tab w:val="right" w:leader="dot" w:pos="9016"/>
            </w:tabs>
            <w:rPr>
              <w:rFonts w:asciiTheme="minorHAnsi" w:eastAsiaTheme="minorEastAsia" w:hAnsiTheme="minorHAnsi"/>
              <w:noProof/>
              <w:lang w:eastAsia="en-AU"/>
            </w:rPr>
          </w:pPr>
          <w:hyperlink w:anchor="_Toc496460783" w:history="1">
            <w:r w:rsidR="005070D6" w:rsidRPr="00451525">
              <w:rPr>
                <w:rStyle w:val="Hyperlink"/>
                <w:noProof/>
              </w:rPr>
              <w:t>Qualification:</w:t>
            </w:r>
            <w:r w:rsidR="005070D6">
              <w:rPr>
                <w:noProof/>
                <w:webHidden/>
              </w:rPr>
              <w:tab/>
            </w:r>
            <w:r w:rsidR="005070D6">
              <w:rPr>
                <w:noProof/>
                <w:webHidden/>
              </w:rPr>
              <w:fldChar w:fldCharType="begin"/>
            </w:r>
            <w:r w:rsidR="005070D6">
              <w:rPr>
                <w:noProof/>
                <w:webHidden/>
              </w:rPr>
              <w:instrText xml:space="preserve"> PAGEREF _Toc496460783 \h </w:instrText>
            </w:r>
            <w:r w:rsidR="005070D6">
              <w:rPr>
                <w:noProof/>
                <w:webHidden/>
              </w:rPr>
            </w:r>
            <w:r w:rsidR="005070D6">
              <w:rPr>
                <w:noProof/>
                <w:webHidden/>
              </w:rPr>
              <w:fldChar w:fldCharType="separate"/>
            </w:r>
            <w:r w:rsidR="005070D6">
              <w:rPr>
                <w:noProof/>
                <w:webHidden/>
              </w:rPr>
              <w:t>4</w:t>
            </w:r>
            <w:r w:rsidR="005070D6">
              <w:rPr>
                <w:noProof/>
                <w:webHidden/>
              </w:rPr>
              <w:fldChar w:fldCharType="end"/>
            </w:r>
          </w:hyperlink>
        </w:p>
        <w:p w14:paraId="3C4F3EC3" w14:textId="495D517B" w:rsidR="005070D6" w:rsidRDefault="00CF1526">
          <w:pPr>
            <w:pStyle w:val="TOC3"/>
            <w:tabs>
              <w:tab w:val="right" w:leader="dot" w:pos="9016"/>
            </w:tabs>
            <w:rPr>
              <w:rFonts w:asciiTheme="minorHAnsi" w:eastAsiaTheme="minorEastAsia" w:hAnsiTheme="minorHAnsi"/>
              <w:noProof/>
              <w:lang w:eastAsia="en-AU"/>
            </w:rPr>
          </w:pPr>
          <w:hyperlink w:anchor="_Toc496460784" w:history="1">
            <w:r w:rsidR="005070D6" w:rsidRPr="00451525">
              <w:rPr>
                <w:rStyle w:val="Hyperlink"/>
                <w:noProof/>
              </w:rPr>
              <w:t>Units of competency:</w:t>
            </w:r>
            <w:r w:rsidR="005070D6">
              <w:rPr>
                <w:noProof/>
                <w:webHidden/>
              </w:rPr>
              <w:tab/>
            </w:r>
            <w:r w:rsidR="005070D6">
              <w:rPr>
                <w:noProof/>
                <w:webHidden/>
              </w:rPr>
              <w:fldChar w:fldCharType="begin"/>
            </w:r>
            <w:r w:rsidR="005070D6">
              <w:rPr>
                <w:noProof/>
                <w:webHidden/>
              </w:rPr>
              <w:instrText xml:space="preserve"> PAGEREF _Toc496460784 \h </w:instrText>
            </w:r>
            <w:r w:rsidR="005070D6">
              <w:rPr>
                <w:noProof/>
                <w:webHidden/>
              </w:rPr>
            </w:r>
            <w:r w:rsidR="005070D6">
              <w:rPr>
                <w:noProof/>
                <w:webHidden/>
              </w:rPr>
              <w:fldChar w:fldCharType="separate"/>
            </w:r>
            <w:r w:rsidR="005070D6">
              <w:rPr>
                <w:noProof/>
                <w:webHidden/>
              </w:rPr>
              <w:t>4</w:t>
            </w:r>
            <w:r w:rsidR="005070D6">
              <w:rPr>
                <w:noProof/>
                <w:webHidden/>
              </w:rPr>
              <w:fldChar w:fldCharType="end"/>
            </w:r>
          </w:hyperlink>
        </w:p>
        <w:p w14:paraId="47278BDE" w14:textId="1F69CD0F" w:rsidR="005070D6" w:rsidRDefault="00CF1526">
          <w:pPr>
            <w:pStyle w:val="TOC2"/>
            <w:tabs>
              <w:tab w:val="right" w:leader="dot" w:pos="9016"/>
            </w:tabs>
            <w:rPr>
              <w:rFonts w:asciiTheme="minorHAnsi" w:eastAsiaTheme="minorEastAsia" w:hAnsiTheme="minorHAnsi"/>
              <w:noProof/>
              <w:lang w:eastAsia="en-AU"/>
            </w:rPr>
          </w:pPr>
          <w:hyperlink w:anchor="_Toc496460785" w:history="1">
            <w:r w:rsidR="005070D6" w:rsidRPr="00451525">
              <w:rPr>
                <w:rStyle w:val="Hyperlink"/>
                <w:noProof/>
              </w:rPr>
              <w:t>Occupational Outcomes</w:t>
            </w:r>
            <w:r w:rsidR="005070D6">
              <w:rPr>
                <w:noProof/>
                <w:webHidden/>
              </w:rPr>
              <w:tab/>
            </w:r>
            <w:r w:rsidR="005070D6">
              <w:rPr>
                <w:noProof/>
                <w:webHidden/>
              </w:rPr>
              <w:fldChar w:fldCharType="begin"/>
            </w:r>
            <w:r w:rsidR="005070D6">
              <w:rPr>
                <w:noProof/>
                <w:webHidden/>
              </w:rPr>
              <w:instrText xml:space="preserve"> PAGEREF _Toc496460785 \h </w:instrText>
            </w:r>
            <w:r w:rsidR="005070D6">
              <w:rPr>
                <w:noProof/>
                <w:webHidden/>
              </w:rPr>
            </w:r>
            <w:r w:rsidR="005070D6">
              <w:rPr>
                <w:noProof/>
                <w:webHidden/>
              </w:rPr>
              <w:fldChar w:fldCharType="separate"/>
            </w:r>
            <w:r w:rsidR="005070D6">
              <w:rPr>
                <w:noProof/>
                <w:webHidden/>
              </w:rPr>
              <w:t>5</w:t>
            </w:r>
            <w:r w:rsidR="005070D6">
              <w:rPr>
                <w:noProof/>
                <w:webHidden/>
              </w:rPr>
              <w:fldChar w:fldCharType="end"/>
            </w:r>
          </w:hyperlink>
        </w:p>
        <w:p w14:paraId="532D92FF" w14:textId="272D2FE1" w:rsidR="005070D6" w:rsidRDefault="00CF1526">
          <w:pPr>
            <w:pStyle w:val="TOC2"/>
            <w:tabs>
              <w:tab w:val="right" w:leader="dot" w:pos="9016"/>
            </w:tabs>
            <w:rPr>
              <w:rFonts w:asciiTheme="minorHAnsi" w:eastAsiaTheme="minorEastAsia" w:hAnsiTheme="minorHAnsi"/>
              <w:noProof/>
              <w:lang w:eastAsia="en-AU"/>
            </w:rPr>
          </w:pPr>
          <w:hyperlink w:anchor="_Toc496460786" w:history="1">
            <w:r w:rsidR="005070D6" w:rsidRPr="00451525">
              <w:rPr>
                <w:rStyle w:val="Hyperlink"/>
                <w:noProof/>
              </w:rPr>
              <w:t>Pathways</w:t>
            </w:r>
            <w:r w:rsidR="005070D6">
              <w:rPr>
                <w:noProof/>
                <w:webHidden/>
              </w:rPr>
              <w:tab/>
            </w:r>
            <w:r w:rsidR="005070D6">
              <w:rPr>
                <w:noProof/>
                <w:webHidden/>
              </w:rPr>
              <w:fldChar w:fldCharType="begin"/>
            </w:r>
            <w:r w:rsidR="005070D6">
              <w:rPr>
                <w:noProof/>
                <w:webHidden/>
              </w:rPr>
              <w:instrText xml:space="preserve"> PAGEREF _Toc496460786 \h </w:instrText>
            </w:r>
            <w:r w:rsidR="005070D6">
              <w:rPr>
                <w:noProof/>
                <w:webHidden/>
              </w:rPr>
            </w:r>
            <w:r w:rsidR="005070D6">
              <w:rPr>
                <w:noProof/>
                <w:webHidden/>
              </w:rPr>
              <w:fldChar w:fldCharType="separate"/>
            </w:r>
            <w:r w:rsidR="005070D6">
              <w:rPr>
                <w:noProof/>
                <w:webHidden/>
              </w:rPr>
              <w:t>5</w:t>
            </w:r>
            <w:r w:rsidR="005070D6">
              <w:rPr>
                <w:noProof/>
                <w:webHidden/>
              </w:rPr>
              <w:fldChar w:fldCharType="end"/>
            </w:r>
          </w:hyperlink>
        </w:p>
        <w:p w14:paraId="166D2831" w14:textId="1A28BC28" w:rsidR="005070D6" w:rsidRDefault="00CF1526">
          <w:pPr>
            <w:pStyle w:val="TOC2"/>
            <w:tabs>
              <w:tab w:val="right" w:leader="dot" w:pos="9016"/>
            </w:tabs>
            <w:rPr>
              <w:rFonts w:asciiTheme="minorHAnsi" w:eastAsiaTheme="minorEastAsia" w:hAnsiTheme="minorHAnsi"/>
              <w:noProof/>
              <w:lang w:eastAsia="en-AU"/>
            </w:rPr>
          </w:pPr>
          <w:hyperlink w:anchor="_Toc496460787" w:history="1">
            <w:r w:rsidR="005070D6" w:rsidRPr="00451525">
              <w:rPr>
                <w:rStyle w:val="Hyperlink"/>
                <w:noProof/>
              </w:rPr>
              <w:t>Procedural Information</w:t>
            </w:r>
            <w:r w:rsidR="005070D6">
              <w:rPr>
                <w:noProof/>
                <w:webHidden/>
              </w:rPr>
              <w:tab/>
            </w:r>
            <w:r w:rsidR="005070D6">
              <w:rPr>
                <w:noProof/>
                <w:webHidden/>
              </w:rPr>
              <w:fldChar w:fldCharType="begin"/>
            </w:r>
            <w:r w:rsidR="005070D6">
              <w:rPr>
                <w:noProof/>
                <w:webHidden/>
              </w:rPr>
              <w:instrText xml:space="preserve"> PAGEREF _Toc496460787 \h </w:instrText>
            </w:r>
            <w:r w:rsidR="005070D6">
              <w:rPr>
                <w:noProof/>
                <w:webHidden/>
              </w:rPr>
            </w:r>
            <w:r w:rsidR="005070D6">
              <w:rPr>
                <w:noProof/>
                <w:webHidden/>
              </w:rPr>
              <w:fldChar w:fldCharType="separate"/>
            </w:r>
            <w:r w:rsidR="005070D6">
              <w:rPr>
                <w:noProof/>
                <w:webHidden/>
              </w:rPr>
              <w:t>6</w:t>
            </w:r>
            <w:r w:rsidR="005070D6">
              <w:rPr>
                <w:noProof/>
                <w:webHidden/>
              </w:rPr>
              <w:fldChar w:fldCharType="end"/>
            </w:r>
          </w:hyperlink>
        </w:p>
        <w:p w14:paraId="74AB9453" w14:textId="54D40AA9" w:rsidR="005070D6" w:rsidRDefault="00CF1526">
          <w:pPr>
            <w:pStyle w:val="TOC1"/>
            <w:tabs>
              <w:tab w:val="right" w:leader="dot" w:pos="9016"/>
            </w:tabs>
            <w:rPr>
              <w:rFonts w:asciiTheme="minorHAnsi" w:eastAsiaTheme="minorEastAsia" w:hAnsiTheme="minorHAnsi"/>
              <w:noProof/>
              <w:lang w:eastAsia="en-AU"/>
            </w:rPr>
          </w:pPr>
          <w:hyperlink w:anchor="_Toc496460788" w:history="1">
            <w:r w:rsidR="005070D6" w:rsidRPr="00451525">
              <w:rPr>
                <w:rStyle w:val="Hyperlink"/>
                <w:noProof/>
              </w:rPr>
              <w:t>The Case for Change</w:t>
            </w:r>
            <w:r w:rsidR="005070D6">
              <w:rPr>
                <w:noProof/>
                <w:webHidden/>
              </w:rPr>
              <w:tab/>
            </w:r>
            <w:r w:rsidR="005070D6">
              <w:rPr>
                <w:noProof/>
                <w:webHidden/>
              </w:rPr>
              <w:fldChar w:fldCharType="begin"/>
            </w:r>
            <w:r w:rsidR="005070D6">
              <w:rPr>
                <w:noProof/>
                <w:webHidden/>
              </w:rPr>
              <w:instrText xml:space="preserve"> PAGEREF _Toc496460788 \h </w:instrText>
            </w:r>
            <w:r w:rsidR="005070D6">
              <w:rPr>
                <w:noProof/>
                <w:webHidden/>
              </w:rPr>
            </w:r>
            <w:r w:rsidR="005070D6">
              <w:rPr>
                <w:noProof/>
                <w:webHidden/>
              </w:rPr>
              <w:fldChar w:fldCharType="separate"/>
            </w:r>
            <w:r w:rsidR="005070D6">
              <w:rPr>
                <w:noProof/>
                <w:webHidden/>
              </w:rPr>
              <w:t>7</w:t>
            </w:r>
            <w:r w:rsidR="005070D6">
              <w:rPr>
                <w:noProof/>
                <w:webHidden/>
              </w:rPr>
              <w:fldChar w:fldCharType="end"/>
            </w:r>
          </w:hyperlink>
        </w:p>
        <w:p w14:paraId="75661AA7" w14:textId="0AB9E8F8" w:rsidR="005070D6" w:rsidRDefault="00CF1526">
          <w:pPr>
            <w:pStyle w:val="TOC2"/>
            <w:tabs>
              <w:tab w:val="right" w:leader="dot" w:pos="9016"/>
            </w:tabs>
            <w:rPr>
              <w:rFonts w:asciiTheme="minorHAnsi" w:eastAsiaTheme="minorEastAsia" w:hAnsiTheme="minorHAnsi"/>
              <w:noProof/>
              <w:lang w:eastAsia="en-AU"/>
            </w:rPr>
          </w:pPr>
          <w:hyperlink w:anchor="_Toc496460789" w:history="1">
            <w:r w:rsidR="005070D6" w:rsidRPr="00451525">
              <w:rPr>
                <w:rStyle w:val="Hyperlink"/>
                <w:noProof/>
              </w:rPr>
              <w:t>Evidence for full review</w:t>
            </w:r>
            <w:r w:rsidR="005070D6">
              <w:rPr>
                <w:noProof/>
                <w:webHidden/>
              </w:rPr>
              <w:tab/>
            </w:r>
            <w:r w:rsidR="005070D6">
              <w:rPr>
                <w:noProof/>
                <w:webHidden/>
              </w:rPr>
              <w:fldChar w:fldCharType="begin"/>
            </w:r>
            <w:r w:rsidR="005070D6">
              <w:rPr>
                <w:noProof/>
                <w:webHidden/>
              </w:rPr>
              <w:instrText xml:space="preserve"> PAGEREF _Toc496460789 \h </w:instrText>
            </w:r>
            <w:r w:rsidR="005070D6">
              <w:rPr>
                <w:noProof/>
                <w:webHidden/>
              </w:rPr>
            </w:r>
            <w:r w:rsidR="005070D6">
              <w:rPr>
                <w:noProof/>
                <w:webHidden/>
              </w:rPr>
              <w:fldChar w:fldCharType="separate"/>
            </w:r>
            <w:r w:rsidR="005070D6">
              <w:rPr>
                <w:noProof/>
                <w:webHidden/>
              </w:rPr>
              <w:t>7</w:t>
            </w:r>
            <w:r w:rsidR="005070D6">
              <w:rPr>
                <w:noProof/>
                <w:webHidden/>
              </w:rPr>
              <w:fldChar w:fldCharType="end"/>
            </w:r>
          </w:hyperlink>
        </w:p>
        <w:p w14:paraId="69196516" w14:textId="563E5AEC" w:rsidR="005070D6" w:rsidRDefault="00CF1526">
          <w:pPr>
            <w:pStyle w:val="TOC2"/>
            <w:tabs>
              <w:tab w:val="right" w:leader="dot" w:pos="9016"/>
            </w:tabs>
            <w:rPr>
              <w:rFonts w:asciiTheme="minorHAnsi" w:eastAsiaTheme="minorEastAsia" w:hAnsiTheme="minorHAnsi"/>
              <w:noProof/>
              <w:lang w:eastAsia="en-AU"/>
            </w:rPr>
          </w:pPr>
          <w:hyperlink w:anchor="_Toc496460790" w:history="1">
            <w:r w:rsidR="005070D6" w:rsidRPr="00451525">
              <w:rPr>
                <w:rStyle w:val="Hyperlink"/>
                <w:noProof/>
              </w:rPr>
              <w:t>Industry Outlook</w:t>
            </w:r>
            <w:r w:rsidR="005070D6">
              <w:rPr>
                <w:noProof/>
                <w:webHidden/>
              </w:rPr>
              <w:tab/>
            </w:r>
            <w:r w:rsidR="005070D6">
              <w:rPr>
                <w:noProof/>
                <w:webHidden/>
              </w:rPr>
              <w:fldChar w:fldCharType="begin"/>
            </w:r>
            <w:r w:rsidR="005070D6">
              <w:rPr>
                <w:noProof/>
                <w:webHidden/>
              </w:rPr>
              <w:instrText xml:space="preserve"> PAGEREF _Toc496460790 \h </w:instrText>
            </w:r>
            <w:r w:rsidR="005070D6">
              <w:rPr>
                <w:noProof/>
                <w:webHidden/>
              </w:rPr>
            </w:r>
            <w:r w:rsidR="005070D6">
              <w:rPr>
                <w:noProof/>
                <w:webHidden/>
              </w:rPr>
              <w:fldChar w:fldCharType="separate"/>
            </w:r>
            <w:r w:rsidR="005070D6">
              <w:rPr>
                <w:noProof/>
                <w:webHidden/>
              </w:rPr>
              <w:t>9</w:t>
            </w:r>
            <w:r w:rsidR="005070D6">
              <w:rPr>
                <w:noProof/>
                <w:webHidden/>
              </w:rPr>
              <w:fldChar w:fldCharType="end"/>
            </w:r>
          </w:hyperlink>
        </w:p>
        <w:p w14:paraId="0E47F6E7" w14:textId="2DA6872A" w:rsidR="005070D6" w:rsidRDefault="00CF1526">
          <w:pPr>
            <w:pStyle w:val="TOC1"/>
            <w:tabs>
              <w:tab w:val="right" w:leader="dot" w:pos="9016"/>
            </w:tabs>
            <w:rPr>
              <w:rFonts w:asciiTheme="minorHAnsi" w:eastAsiaTheme="minorEastAsia" w:hAnsiTheme="minorHAnsi"/>
              <w:noProof/>
              <w:lang w:eastAsia="en-AU"/>
            </w:rPr>
          </w:pPr>
          <w:hyperlink w:anchor="_Toc496460791" w:history="1">
            <w:r w:rsidR="005070D6" w:rsidRPr="00451525">
              <w:rPr>
                <w:rStyle w:val="Hyperlink"/>
                <w:noProof/>
              </w:rPr>
              <w:t>Market, Demand, and Drivers</w:t>
            </w:r>
            <w:r w:rsidR="005070D6">
              <w:rPr>
                <w:noProof/>
                <w:webHidden/>
              </w:rPr>
              <w:tab/>
            </w:r>
            <w:r w:rsidR="005070D6">
              <w:rPr>
                <w:noProof/>
                <w:webHidden/>
              </w:rPr>
              <w:fldChar w:fldCharType="begin"/>
            </w:r>
            <w:r w:rsidR="005070D6">
              <w:rPr>
                <w:noProof/>
                <w:webHidden/>
              </w:rPr>
              <w:instrText xml:space="preserve"> PAGEREF _Toc496460791 \h </w:instrText>
            </w:r>
            <w:r w:rsidR="005070D6">
              <w:rPr>
                <w:noProof/>
                <w:webHidden/>
              </w:rPr>
            </w:r>
            <w:r w:rsidR="005070D6">
              <w:rPr>
                <w:noProof/>
                <w:webHidden/>
              </w:rPr>
              <w:fldChar w:fldCharType="separate"/>
            </w:r>
            <w:r w:rsidR="005070D6">
              <w:rPr>
                <w:noProof/>
                <w:webHidden/>
              </w:rPr>
              <w:t>10</w:t>
            </w:r>
            <w:r w:rsidR="005070D6">
              <w:rPr>
                <w:noProof/>
                <w:webHidden/>
              </w:rPr>
              <w:fldChar w:fldCharType="end"/>
            </w:r>
          </w:hyperlink>
        </w:p>
        <w:p w14:paraId="79D7C3B2" w14:textId="13B6F621" w:rsidR="005070D6" w:rsidRDefault="00CF1526">
          <w:pPr>
            <w:pStyle w:val="TOC2"/>
            <w:tabs>
              <w:tab w:val="right" w:leader="dot" w:pos="9016"/>
            </w:tabs>
            <w:rPr>
              <w:rFonts w:asciiTheme="minorHAnsi" w:eastAsiaTheme="minorEastAsia" w:hAnsiTheme="minorHAnsi"/>
              <w:noProof/>
              <w:lang w:eastAsia="en-AU"/>
            </w:rPr>
          </w:pPr>
          <w:hyperlink w:anchor="_Toc496460792" w:history="1">
            <w:r w:rsidR="005070D6" w:rsidRPr="00451525">
              <w:rPr>
                <w:rStyle w:val="Hyperlink"/>
                <w:noProof/>
              </w:rPr>
              <w:t>Products and Markets</w:t>
            </w:r>
            <w:r w:rsidR="005070D6">
              <w:rPr>
                <w:noProof/>
                <w:webHidden/>
              </w:rPr>
              <w:tab/>
            </w:r>
            <w:r w:rsidR="005070D6">
              <w:rPr>
                <w:noProof/>
                <w:webHidden/>
              </w:rPr>
              <w:fldChar w:fldCharType="begin"/>
            </w:r>
            <w:r w:rsidR="005070D6">
              <w:rPr>
                <w:noProof/>
                <w:webHidden/>
              </w:rPr>
              <w:instrText xml:space="preserve"> PAGEREF _Toc496460792 \h </w:instrText>
            </w:r>
            <w:r w:rsidR="005070D6">
              <w:rPr>
                <w:noProof/>
                <w:webHidden/>
              </w:rPr>
            </w:r>
            <w:r w:rsidR="005070D6">
              <w:rPr>
                <w:noProof/>
                <w:webHidden/>
              </w:rPr>
              <w:fldChar w:fldCharType="separate"/>
            </w:r>
            <w:r w:rsidR="005070D6">
              <w:rPr>
                <w:noProof/>
                <w:webHidden/>
              </w:rPr>
              <w:t>10</w:t>
            </w:r>
            <w:r w:rsidR="005070D6">
              <w:rPr>
                <w:noProof/>
                <w:webHidden/>
              </w:rPr>
              <w:fldChar w:fldCharType="end"/>
            </w:r>
          </w:hyperlink>
        </w:p>
        <w:p w14:paraId="657B8450" w14:textId="118DB30A" w:rsidR="005070D6" w:rsidRDefault="00CF1526">
          <w:pPr>
            <w:pStyle w:val="TOC3"/>
            <w:tabs>
              <w:tab w:val="right" w:leader="dot" w:pos="9016"/>
            </w:tabs>
            <w:rPr>
              <w:rFonts w:asciiTheme="minorHAnsi" w:eastAsiaTheme="minorEastAsia" w:hAnsiTheme="minorHAnsi"/>
              <w:noProof/>
              <w:lang w:eastAsia="en-AU"/>
            </w:rPr>
          </w:pPr>
          <w:hyperlink w:anchor="_Toc496460793" w:history="1">
            <w:r w:rsidR="005070D6" w:rsidRPr="00451525">
              <w:rPr>
                <w:rStyle w:val="Hyperlink"/>
                <w:noProof/>
              </w:rPr>
              <w:t>Supply Chain</w:t>
            </w:r>
            <w:r w:rsidR="005070D6">
              <w:rPr>
                <w:noProof/>
                <w:webHidden/>
              </w:rPr>
              <w:tab/>
            </w:r>
            <w:r w:rsidR="005070D6">
              <w:rPr>
                <w:noProof/>
                <w:webHidden/>
              </w:rPr>
              <w:fldChar w:fldCharType="begin"/>
            </w:r>
            <w:r w:rsidR="005070D6">
              <w:rPr>
                <w:noProof/>
                <w:webHidden/>
              </w:rPr>
              <w:instrText xml:space="preserve"> PAGEREF _Toc496460793 \h </w:instrText>
            </w:r>
            <w:r w:rsidR="005070D6">
              <w:rPr>
                <w:noProof/>
                <w:webHidden/>
              </w:rPr>
            </w:r>
            <w:r w:rsidR="005070D6">
              <w:rPr>
                <w:noProof/>
                <w:webHidden/>
              </w:rPr>
              <w:fldChar w:fldCharType="separate"/>
            </w:r>
            <w:r w:rsidR="005070D6">
              <w:rPr>
                <w:noProof/>
                <w:webHidden/>
              </w:rPr>
              <w:t>10</w:t>
            </w:r>
            <w:r w:rsidR="005070D6">
              <w:rPr>
                <w:noProof/>
                <w:webHidden/>
              </w:rPr>
              <w:fldChar w:fldCharType="end"/>
            </w:r>
          </w:hyperlink>
        </w:p>
        <w:p w14:paraId="4E8FEC9E" w14:textId="652D48DA" w:rsidR="005070D6" w:rsidRDefault="00CF1526">
          <w:pPr>
            <w:pStyle w:val="TOC3"/>
            <w:tabs>
              <w:tab w:val="right" w:leader="dot" w:pos="9016"/>
            </w:tabs>
            <w:rPr>
              <w:rFonts w:asciiTheme="minorHAnsi" w:eastAsiaTheme="minorEastAsia" w:hAnsiTheme="minorHAnsi"/>
              <w:noProof/>
              <w:lang w:eastAsia="en-AU"/>
            </w:rPr>
          </w:pPr>
          <w:hyperlink w:anchor="_Toc496460794" w:history="1">
            <w:r w:rsidR="005070D6" w:rsidRPr="00451525">
              <w:rPr>
                <w:rStyle w:val="Hyperlink"/>
                <w:noProof/>
              </w:rPr>
              <w:t>Demand Determinants</w:t>
            </w:r>
            <w:r w:rsidR="005070D6">
              <w:rPr>
                <w:noProof/>
                <w:webHidden/>
              </w:rPr>
              <w:tab/>
            </w:r>
            <w:r w:rsidR="005070D6">
              <w:rPr>
                <w:noProof/>
                <w:webHidden/>
              </w:rPr>
              <w:fldChar w:fldCharType="begin"/>
            </w:r>
            <w:r w:rsidR="005070D6">
              <w:rPr>
                <w:noProof/>
                <w:webHidden/>
              </w:rPr>
              <w:instrText xml:space="preserve"> PAGEREF _Toc496460794 \h </w:instrText>
            </w:r>
            <w:r w:rsidR="005070D6">
              <w:rPr>
                <w:noProof/>
                <w:webHidden/>
              </w:rPr>
            </w:r>
            <w:r w:rsidR="005070D6">
              <w:rPr>
                <w:noProof/>
                <w:webHidden/>
              </w:rPr>
              <w:fldChar w:fldCharType="separate"/>
            </w:r>
            <w:r w:rsidR="005070D6">
              <w:rPr>
                <w:noProof/>
                <w:webHidden/>
              </w:rPr>
              <w:t>10</w:t>
            </w:r>
            <w:r w:rsidR="005070D6">
              <w:rPr>
                <w:noProof/>
                <w:webHidden/>
              </w:rPr>
              <w:fldChar w:fldCharType="end"/>
            </w:r>
          </w:hyperlink>
        </w:p>
        <w:p w14:paraId="02755766" w14:textId="45DA42A5" w:rsidR="005070D6" w:rsidRDefault="00CF1526">
          <w:pPr>
            <w:pStyle w:val="TOC2"/>
            <w:tabs>
              <w:tab w:val="right" w:leader="dot" w:pos="9016"/>
            </w:tabs>
            <w:rPr>
              <w:rFonts w:asciiTheme="minorHAnsi" w:eastAsiaTheme="minorEastAsia" w:hAnsiTheme="minorHAnsi"/>
              <w:noProof/>
              <w:lang w:eastAsia="en-AU"/>
            </w:rPr>
          </w:pPr>
          <w:hyperlink w:anchor="_Toc496460795" w:history="1">
            <w:r w:rsidR="005070D6" w:rsidRPr="00451525">
              <w:rPr>
                <w:rStyle w:val="Hyperlink"/>
                <w:noProof/>
                <w:lang w:val="en-US"/>
              </w:rPr>
              <w:t>Key Success Factors Key Success Factors</w:t>
            </w:r>
            <w:r w:rsidR="005070D6">
              <w:rPr>
                <w:noProof/>
                <w:webHidden/>
              </w:rPr>
              <w:tab/>
            </w:r>
            <w:r w:rsidR="005070D6">
              <w:rPr>
                <w:noProof/>
                <w:webHidden/>
              </w:rPr>
              <w:fldChar w:fldCharType="begin"/>
            </w:r>
            <w:r w:rsidR="005070D6">
              <w:rPr>
                <w:noProof/>
                <w:webHidden/>
              </w:rPr>
              <w:instrText xml:space="preserve"> PAGEREF _Toc496460795 \h </w:instrText>
            </w:r>
            <w:r w:rsidR="005070D6">
              <w:rPr>
                <w:noProof/>
                <w:webHidden/>
              </w:rPr>
            </w:r>
            <w:r w:rsidR="005070D6">
              <w:rPr>
                <w:noProof/>
                <w:webHidden/>
              </w:rPr>
              <w:fldChar w:fldCharType="separate"/>
            </w:r>
            <w:r w:rsidR="005070D6">
              <w:rPr>
                <w:noProof/>
                <w:webHidden/>
              </w:rPr>
              <w:t>11</w:t>
            </w:r>
            <w:r w:rsidR="005070D6">
              <w:rPr>
                <w:noProof/>
                <w:webHidden/>
              </w:rPr>
              <w:fldChar w:fldCharType="end"/>
            </w:r>
          </w:hyperlink>
        </w:p>
        <w:p w14:paraId="6AA68A0B" w14:textId="4CBE7706" w:rsidR="005070D6" w:rsidRDefault="00CF1526">
          <w:pPr>
            <w:pStyle w:val="TOC2"/>
            <w:tabs>
              <w:tab w:val="right" w:leader="dot" w:pos="9016"/>
            </w:tabs>
            <w:rPr>
              <w:rFonts w:asciiTheme="minorHAnsi" w:eastAsiaTheme="minorEastAsia" w:hAnsiTheme="minorHAnsi"/>
              <w:noProof/>
              <w:lang w:eastAsia="en-AU"/>
            </w:rPr>
          </w:pPr>
          <w:hyperlink w:anchor="_Toc496460796" w:history="1">
            <w:r w:rsidR="005070D6" w:rsidRPr="00451525">
              <w:rPr>
                <w:rStyle w:val="Hyperlink"/>
                <w:noProof/>
              </w:rPr>
              <w:t>National Qualification Uptake</w:t>
            </w:r>
            <w:r w:rsidR="005070D6">
              <w:rPr>
                <w:noProof/>
                <w:webHidden/>
              </w:rPr>
              <w:tab/>
            </w:r>
            <w:r w:rsidR="005070D6">
              <w:rPr>
                <w:noProof/>
                <w:webHidden/>
              </w:rPr>
              <w:fldChar w:fldCharType="begin"/>
            </w:r>
            <w:r w:rsidR="005070D6">
              <w:rPr>
                <w:noProof/>
                <w:webHidden/>
              </w:rPr>
              <w:instrText xml:space="preserve"> PAGEREF _Toc496460796 \h </w:instrText>
            </w:r>
            <w:r w:rsidR="005070D6">
              <w:rPr>
                <w:noProof/>
                <w:webHidden/>
              </w:rPr>
            </w:r>
            <w:r w:rsidR="005070D6">
              <w:rPr>
                <w:noProof/>
                <w:webHidden/>
              </w:rPr>
              <w:fldChar w:fldCharType="separate"/>
            </w:r>
            <w:r w:rsidR="005070D6">
              <w:rPr>
                <w:noProof/>
                <w:webHidden/>
              </w:rPr>
              <w:t>12</w:t>
            </w:r>
            <w:r w:rsidR="005070D6">
              <w:rPr>
                <w:noProof/>
                <w:webHidden/>
              </w:rPr>
              <w:fldChar w:fldCharType="end"/>
            </w:r>
          </w:hyperlink>
        </w:p>
        <w:p w14:paraId="120AA55D" w14:textId="25DADAD6" w:rsidR="005070D6" w:rsidRDefault="00CF1526">
          <w:pPr>
            <w:pStyle w:val="TOC3"/>
            <w:tabs>
              <w:tab w:val="right" w:leader="dot" w:pos="9016"/>
            </w:tabs>
            <w:rPr>
              <w:rFonts w:asciiTheme="minorHAnsi" w:eastAsiaTheme="minorEastAsia" w:hAnsiTheme="minorHAnsi"/>
              <w:noProof/>
              <w:lang w:eastAsia="en-AU"/>
            </w:rPr>
          </w:pPr>
          <w:hyperlink w:anchor="_Toc496460797" w:history="1">
            <w:r w:rsidR="005070D6" w:rsidRPr="00451525">
              <w:rPr>
                <w:rStyle w:val="Hyperlink"/>
                <w:noProof/>
              </w:rPr>
              <w:t>Qualification Completions</w:t>
            </w:r>
            <w:r w:rsidR="005070D6">
              <w:rPr>
                <w:noProof/>
                <w:webHidden/>
              </w:rPr>
              <w:tab/>
            </w:r>
            <w:r w:rsidR="005070D6">
              <w:rPr>
                <w:noProof/>
                <w:webHidden/>
              </w:rPr>
              <w:fldChar w:fldCharType="begin"/>
            </w:r>
            <w:r w:rsidR="005070D6">
              <w:rPr>
                <w:noProof/>
                <w:webHidden/>
              </w:rPr>
              <w:instrText xml:space="preserve"> PAGEREF _Toc496460797 \h </w:instrText>
            </w:r>
            <w:r w:rsidR="005070D6">
              <w:rPr>
                <w:noProof/>
                <w:webHidden/>
              </w:rPr>
            </w:r>
            <w:r w:rsidR="005070D6">
              <w:rPr>
                <w:noProof/>
                <w:webHidden/>
              </w:rPr>
              <w:fldChar w:fldCharType="separate"/>
            </w:r>
            <w:r w:rsidR="005070D6">
              <w:rPr>
                <w:noProof/>
                <w:webHidden/>
              </w:rPr>
              <w:t>12</w:t>
            </w:r>
            <w:r w:rsidR="005070D6">
              <w:rPr>
                <w:noProof/>
                <w:webHidden/>
              </w:rPr>
              <w:fldChar w:fldCharType="end"/>
            </w:r>
          </w:hyperlink>
        </w:p>
        <w:p w14:paraId="3D769157" w14:textId="78E56274" w:rsidR="005070D6" w:rsidRDefault="00CF1526">
          <w:pPr>
            <w:pStyle w:val="TOC3"/>
            <w:tabs>
              <w:tab w:val="right" w:leader="dot" w:pos="9016"/>
            </w:tabs>
            <w:rPr>
              <w:rFonts w:asciiTheme="minorHAnsi" w:eastAsiaTheme="minorEastAsia" w:hAnsiTheme="minorHAnsi"/>
              <w:noProof/>
              <w:lang w:eastAsia="en-AU"/>
            </w:rPr>
          </w:pPr>
          <w:hyperlink w:anchor="_Toc496460798" w:history="1">
            <w:r w:rsidR="005070D6" w:rsidRPr="00451525">
              <w:rPr>
                <w:rStyle w:val="Hyperlink"/>
                <w:noProof/>
              </w:rPr>
              <w:t>RTO Scope</w:t>
            </w:r>
            <w:r w:rsidR="005070D6">
              <w:rPr>
                <w:noProof/>
                <w:webHidden/>
              </w:rPr>
              <w:tab/>
            </w:r>
            <w:r w:rsidR="005070D6">
              <w:rPr>
                <w:noProof/>
                <w:webHidden/>
              </w:rPr>
              <w:fldChar w:fldCharType="begin"/>
            </w:r>
            <w:r w:rsidR="005070D6">
              <w:rPr>
                <w:noProof/>
                <w:webHidden/>
              </w:rPr>
              <w:instrText xml:space="preserve"> PAGEREF _Toc496460798 \h </w:instrText>
            </w:r>
            <w:r w:rsidR="005070D6">
              <w:rPr>
                <w:noProof/>
                <w:webHidden/>
              </w:rPr>
            </w:r>
            <w:r w:rsidR="005070D6">
              <w:rPr>
                <w:noProof/>
                <w:webHidden/>
              </w:rPr>
              <w:fldChar w:fldCharType="separate"/>
            </w:r>
            <w:r w:rsidR="005070D6">
              <w:rPr>
                <w:noProof/>
                <w:webHidden/>
              </w:rPr>
              <w:t>12</w:t>
            </w:r>
            <w:r w:rsidR="005070D6">
              <w:rPr>
                <w:noProof/>
                <w:webHidden/>
              </w:rPr>
              <w:fldChar w:fldCharType="end"/>
            </w:r>
          </w:hyperlink>
        </w:p>
        <w:p w14:paraId="08B2850F" w14:textId="2E5ABF2B" w:rsidR="005070D6" w:rsidRDefault="00CF1526">
          <w:pPr>
            <w:pStyle w:val="TOC2"/>
            <w:tabs>
              <w:tab w:val="right" w:leader="dot" w:pos="9016"/>
            </w:tabs>
            <w:rPr>
              <w:rFonts w:asciiTheme="minorHAnsi" w:eastAsiaTheme="minorEastAsia" w:hAnsiTheme="minorHAnsi"/>
              <w:noProof/>
              <w:lang w:eastAsia="en-AU"/>
            </w:rPr>
          </w:pPr>
          <w:hyperlink w:anchor="_Toc496460799" w:history="1">
            <w:r w:rsidR="005070D6" w:rsidRPr="00451525">
              <w:rPr>
                <w:rStyle w:val="Hyperlink"/>
                <w:noProof/>
              </w:rPr>
              <w:t>Proposed Changes</w:t>
            </w:r>
            <w:r w:rsidR="005070D6">
              <w:rPr>
                <w:noProof/>
                <w:webHidden/>
              </w:rPr>
              <w:tab/>
            </w:r>
            <w:r w:rsidR="005070D6">
              <w:rPr>
                <w:noProof/>
                <w:webHidden/>
              </w:rPr>
              <w:fldChar w:fldCharType="begin"/>
            </w:r>
            <w:r w:rsidR="005070D6">
              <w:rPr>
                <w:noProof/>
                <w:webHidden/>
              </w:rPr>
              <w:instrText xml:space="preserve"> PAGEREF _Toc496460799 \h </w:instrText>
            </w:r>
            <w:r w:rsidR="005070D6">
              <w:rPr>
                <w:noProof/>
                <w:webHidden/>
              </w:rPr>
            </w:r>
            <w:r w:rsidR="005070D6">
              <w:rPr>
                <w:noProof/>
                <w:webHidden/>
              </w:rPr>
              <w:fldChar w:fldCharType="separate"/>
            </w:r>
            <w:r w:rsidR="005070D6">
              <w:rPr>
                <w:noProof/>
                <w:webHidden/>
              </w:rPr>
              <w:t>13</w:t>
            </w:r>
            <w:r w:rsidR="005070D6">
              <w:rPr>
                <w:noProof/>
                <w:webHidden/>
              </w:rPr>
              <w:fldChar w:fldCharType="end"/>
            </w:r>
          </w:hyperlink>
        </w:p>
        <w:p w14:paraId="43A74ABE" w14:textId="5A4FD552" w:rsidR="005070D6" w:rsidRDefault="00CF1526">
          <w:pPr>
            <w:pStyle w:val="TOC1"/>
            <w:tabs>
              <w:tab w:val="right" w:leader="dot" w:pos="9016"/>
            </w:tabs>
            <w:rPr>
              <w:rFonts w:asciiTheme="minorHAnsi" w:eastAsiaTheme="minorEastAsia" w:hAnsiTheme="minorHAnsi"/>
              <w:noProof/>
              <w:lang w:eastAsia="en-AU"/>
            </w:rPr>
          </w:pPr>
          <w:hyperlink w:anchor="_Toc496460800" w:history="1">
            <w:r w:rsidR="005070D6" w:rsidRPr="00451525">
              <w:rPr>
                <w:rStyle w:val="Hyperlink"/>
                <w:noProof/>
              </w:rPr>
              <w:t>Industry support for change</w:t>
            </w:r>
            <w:r w:rsidR="005070D6">
              <w:rPr>
                <w:noProof/>
                <w:webHidden/>
              </w:rPr>
              <w:tab/>
            </w:r>
            <w:r w:rsidR="005070D6">
              <w:rPr>
                <w:noProof/>
                <w:webHidden/>
              </w:rPr>
              <w:fldChar w:fldCharType="begin"/>
            </w:r>
            <w:r w:rsidR="005070D6">
              <w:rPr>
                <w:noProof/>
                <w:webHidden/>
              </w:rPr>
              <w:instrText xml:space="preserve"> PAGEREF _Toc496460800 \h </w:instrText>
            </w:r>
            <w:r w:rsidR="005070D6">
              <w:rPr>
                <w:noProof/>
                <w:webHidden/>
              </w:rPr>
            </w:r>
            <w:r w:rsidR="005070D6">
              <w:rPr>
                <w:noProof/>
                <w:webHidden/>
              </w:rPr>
              <w:fldChar w:fldCharType="separate"/>
            </w:r>
            <w:r w:rsidR="005070D6">
              <w:rPr>
                <w:noProof/>
                <w:webHidden/>
              </w:rPr>
              <w:t>14</w:t>
            </w:r>
            <w:r w:rsidR="005070D6">
              <w:rPr>
                <w:noProof/>
                <w:webHidden/>
              </w:rPr>
              <w:fldChar w:fldCharType="end"/>
            </w:r>
          </w:hyperlink>
        </w:p>
        <w:p w14:paraId="03EB4101" w14:textId="4D393D79" w:rsidR="005070D6" w:rsidRDefault="00CF1526">
          <w:pPr>
            <w:pStyle w:val="TOC2"/>
            <w:tabs>
              <w:tab w:val="right" w:leader="dot" w:pos="9016"/>
            </w:tabs>
            <w:rPr>
              <w:rFonts w:asciiTheme="minorHAnsi" w:eastAsiaTheme="minorEastAsia" w:hAnsiTheme="minorHAnsi"/>
              <w:noProof/>
              <w:lang w:eastAsia="en-AU"/>
            </w:rPr>
          </w:pPr>
          <w:hyperlink w:anchor="_Toc496460801" w:history="1">
            <w:r w:rsidR="005070D6" w:rsidRPr="00451525">
              <w:rPr>
                <w:rStyle w:val="Hyperlink"/>
                <w:noProof/>
              </w:rPr>
              <w:t>Methodology</w:t>
            </w:r>
            <w:r w:rsidR="005070D6">
              <w:rPr>
                <w:noProof/>
                <w:webHidden/>
              </w:rPr>
              <w:tab/>
            </w:r>
            <w:r w:rsidR="005070D6">
              <w:rPr>
                <w:noProof/>
                <w:webHidden/>
              </w:rPr>
              <w:fldChar w:fldCharType="begin"/>
            </w:r>
            <w:r w:rsidR="005070D6">
              <w:rPr>
                <w:noProof/>
                <w:webHidden/>
              </w:rPr>
              <w:instrText xml:space="preserve"> PAGEREF _Toc496460801 \h </w:instrText>
            </w:r>
            <w:r w:rsidR="005070D6">
              <w:rPr>
                <w:noProof/>
                <w:webHidden/>
              </w:rPr>
            </w:r>
            <w:r w:rsidR="005070D6">
              <w:rPr>
                <w:noProof/>
                <w:webHidden/>
              </w:rPr>
              <w:fldChar w:fldCharType="separate"/>
            </w:r>
            <w:r w:rsidR="005070D6">
              <w:rPr>
                <w:noProof/>
                <w:webHidden/>
              </w:rPr>
              <w:t>14</w:t>
            </w:r>
            <w:r w:rsidR="005070D6">
              <w:rPr>
                <w:noProof/>
                <w:webHidden/>
              </w:rPr>
              <w:fldChar w:fldCharType="end"/>
            </w:r>
          </w:hyperlink>
        </w:p>
        <w:p w14:paraId="73297F01" w14:textId="57C0495F" w:rsidR="005070D6" w:rsidRDefault="00CF1526">
          <w:pPr>
            <w:pStyle w:val="TOC1"/>
            <w:tabs>
              <w:tab w:val="right" w:leader="dot" w:pos="9016"/>
            </w:tabs>
            <w:rPr>
              <w:rFonts w:asciiTheme="minorHAnsi" w:eastAsiaTheme="minorEastAsia" w:hAnsiTheme="minorHAnsi"/>
              <w:noProof/>
              <w:lang w:eastAsia="en-AU"/>
            </w:rPr>
          </w:pPr>
          <w:hyperlink w:anchor="_Toc496460802" w:history="1">
            <w:r w:rsidR="005070D6" w:rsidRPr="00451525">
              <w:rPr>
                <w:rStyle w:val="Hyperlink"/>
                <w:noProof/>
              </w:rPr>
              <w:t>Impact of change</w:t>
            </w:r>
            <w:r w:rsidR="005070D6">
              <w:rPr>
                <w:noProof/>
                <w:webHidden/>
              </w:rPr>
              <w:tab/>
            </w:r>
            <w:r w:rsidR="005070D6">
              <w:rPr>
                <w:noProof/>
                <w:webHidden/>
              </w:rPr>
              <w:fldChar w:fldCharType="begin"/>
            </w:r>
            <w:r w:rsidR="005070D6">
              <w:rPr>
                <w:noProof/>
                <w:webHidden/>
              </w:rPr>
              <w:instrText xml:space="preserve"> PAGEREF _Toc496460802 \h </w:instrText>
            </w:r>
            <w:r w:rsidR="005070D6">
              <w:rPr>
                <w:noProof/>
                <w:webHidden/>
              </w:rPr>
            </w:r>
            <w:r w:rsidR="005070D6">
              <w:rPr>
                <w:noProof/>
                <w:webHidden/>
              </w:rPr>
              <w:fldChar w:fldCharType="separate"/>
            </w:r>
            <w:r w:rsidR="005070D6">
              <w:rPr>
                <w:noProof/>
                <w:webHidden/>
              </w:rPr>
              <w:t>14</w:t>
            </w:r>
            <w:r w:rsidR="005070D6">
              <w:rPr>
                <w:noProof/>
                <w:webHidden/>
              </w:rPr>
              <w:fldChar w:fldCharType="end"/>
            </w:r>
          </w:hyperlink>
        </w:p>
        <w:p w14:paraId="19FA39AF" w14:textId="26A35A2A" w:rsidR="005070D6" w:rsidRDefault="00CF1526">
          <w:pPr>
            <w:pStyle w:val="TOC2"/>
            <w:tabs>
              <w:tab w:val="right" w:leader="dot" w:pos="9016"/>
            </w:tabs>
            <w:rPr>
              <w:rFonts w:asciiTheme="minorHAnsi" w:eastAsiaTheme="minorEastAsia" w:hAnsiTheme="minorHAnsi"/>
              <w:noProof/>
              <w:lang w:eastAsia="en-AU"/>
            </w:rPr>
          </w:pPr>
          <w:hyperlink w:anchor="_Toc496460803" w:history="1">
            <w:r w:rsidR="005070D6" w:rsidRPr="00451525">
              <w:rPr>
                <w:rStyle w:val="Hyperlink"/>
                <w:noProof/>
              </w:rPr>
              <w:t>Estimated impact of proposed changes</w:t>
            </w:r>
            <w:r w:rsidR="005070D6">
              <w:rPr>
                <w:noProof/>
                <w:webHidden/>
              </w:rPr>
              <w:tab/>
            </w:r>
            <w:r w:rsidR="005070D6">
              <w:rPr>
                <w:noProof/>
                <w:webHidden/>
              </w:rPr>
              <w:fldChar w:fldCharType="begin"/>
            </w:r>
            <w:r w:rsidR="005070D6">
              <w:rPr>
                <w:noProof/>
                <w:webHidden/>
              </w:rPr>
              <w:instrText xml:space="preserve"> PAGEREF _Toc496460803 \h </w:instrText>
            </w:r>
            <w:r w:rsidR="005070D6">
              <w:rPr>
                <w:noProof/>
                <w:webHidden/>
              </w:rPr>
            </w:r>
            <w:r w:rsidR="005070D6">
              <w:rPr>
                <w:noProof/>
                <w:webHidden/>
              </w:rPr>
              <w:fldChar w:fldCharType="separate"/>
            </w:r>
            <w:r w:rsidR="005070D6">
              <w:rPr>
                <w:noProof/>
                <w:webHidden/>
              </w:rPr>
              <w:t>14</w:t>
            </w:r>
            <w:r w:rsidR="005070D6">
              <w:rPr>
                <w:noProof/>
                <w:webHidden/>
              </w:rPr>
              <w:fldChar w:fldCharType="end"/>
            </w:r>
          </w:hyperlink>
        </w:p>
        <w:p w14:paraId="2F83ACD7" w14:textId="6A81E76C" w:rsidR="005070D6" w:rsidRDefault="00CF1526">
          <w:pPr>
            <w:pStyle w:val="TOC3"/>
            <w:tabs>
              <w:tab w:val="right" w:leader="dot" w:pos="9016"/>
            </w:tabs>
            <w:rPr>
              <w:rFonts w:asciiTheme="minorHAnsi" w:eastAsiaTheme="minorEastAsia" w:hAnsiTheme="minorHAnsi"/>
              <w:noProof/>
              <w:lang w:eastAsia="en-AU"/>
            </w:rPr>
          </w:pPr>
          <w:hyperlink w:anchor="_Toc496460804" w:history="1">
            <w:r w:rsidR="005070D6" w:rsidRPr="00451525">
              <w:rPr>
                <w:rStyle w:val="Hyperlink"/>
                <w:noProof/>
              </w:rPr>
              <w:t>Positive Impact of implementing the recommended changes</w:t>
            </w:r>
            <w:r w:rsidR="005070D6">
              <w:rPr>
                <w:noProof/>
                <w:webHidden/>
              </w:rPr>
              <w:tab/>
            </w:r>
            <w:r w:rsidR="005070D6">
              <w:rPr>
                <w:noProof/>
                <w:webHidden/>
              </w:rPr>
              <w:fldChar w:fldCharType="begin"/>
            </w:r>
            <w:r w:rsidR="005070D6">
              <w:rPr>
                <w:noProof/>
                <w:webHidden/>
              </w:rPr>
              <w:instrText xml:space="preserve"> PAGEREF _Toc496460804 \h </w:instrText>
            </w:r>
            <w:r w:rsidR="005070D6">
              <w:rPr>
                <w:noProof/>
                <w:webHidden/>
              </w:rPr>
            </w:r>
            <w:r w:rsidR="005070D6">
              <w:rPr>
                <w:noProof/>
                <w:webHidden/>
              </w:rPr>
              <w:fldChar w:fldCharType="separate"/>
            </w:r>
            <w:r w:rsidR="005070D6">
              <w:rPr>
                <w:noProof/>
                <w:webHidden/>
              </w:rPr>
              <w:t>14</w:t>
            </w:r>
            <w:r w:rsidR="005070D6">
              <w:rPr>
                <w:noProof/>
                <w:webHidden/>
              </w:rPr>
              <w:fldChar w:fldCharType="end"/>
            </w:r>
          </w:hyperlink>
        </w:p>
        <w:p w14:paraId="698A8BC5" w14:textId="775CAA81" w:rsidR="005070D6" w:rsidRDefault="00CF1526">
          <w:pPr>
            <w:pStyle w:val="TOC3"/>
            <w:tabs>
              <w:tab w:val="right" w:leader="dot" w:pos="9016"/>
            </w:tabs>
            <w:rPr>
              <w:rFonts w:asciiTheme="minorHAnsi" w:eastAsiaTheme="minorEastAsia" w:hAnsiTheme="minorHAnsi"/>
              <w:noProof/>
              <w:lang w:eastAsia="en-AU"/>
            </w:rPr>
          </w:pPr>
          <w:hyperlink w:anchor="_Toc496460805" w:history="1">
            <w:r w:rsidR="005070D6" w:rsidRPr="00451525">
              <w:rPr>
                <w:rStyle w:val="Hyperlink"/>
                <w:noProof/>
              </w:rPr>
              <w:t>Negative Impact of not implementing the recommended changes</w:t>
            </w:r>
            <w:r w:rsidR="005070D6">
              <w:rPr>
                <w:noProof/>
                <w:webHidden/>
              </w:rPr>
              <w:tab/>
            </w:r>
            <w:r w:rsidR="005070D6">
              <w:rPr>
                <w:noProof/>
                <w:webHidden/>
              </w:rPr>
              <w:fldChar w:fldCharType="begin"/>
            </w:r>
            <w:r w:rsidR="005070D6">
              <w:rPr>
                <w:noProof/>
                <w:webHidden/>
              </w:rPr>
              <w:instrText xml:space="preserve"> PAGEREF _Toc496460805 \h </w:instrText>
            </w:r>
            <w:r w:rsidR="005070D6">
              <w:rPr>
                <w:noProof/>
                <w:webHidden/>
              </w:rPr>
            </w:r>
            <w:r w:rsidR="005070D6">
              <w:rPr>
                <w:noProof/>
                <w:webHidden/>
              </w:rPr>
              <w:fldChar w:fldCharType="separate"/>
            </w:r>
            <w:r w:rsidR="005070D6">
              <w:rPr>
                <w:noProof/>
                <w:webHidden/>
              </w:rPr>
              <w:t>14</w:t>
            </w:r>
            <w:r w:rsidR="005070D6">
              <w:rPr>
                <w:noProof/>
                <w:webHidden/>
              </w:rPr>
              <w:fldChar w:fldCharType="end"/>
            </w:r>
          </w:hyperlink>
        </w:p>
        <w:p w14:paraId="0320F257" w14:textId="59337E90" w:rsidR="005070D6" w:rsidRDefault="00CF1526">
          <w:pPr>
            <w:pStyle w:val="TOC3"/>
            <w:tabs>
              <w:tab w:val="right" w:leader="dot" w:pos="9016"/>
            </w:tabs>
            <w:rPr>
              <w:rFonts w:asciiTheme="minorHAnsi" w:eastAsiaTheme="minorEastAsia" w:hAnsiTheme="minorHAnsi"/>
              <w:noProof/>
              <w:lang w:eastAsia="en-AU"/>
            </w:rPr>
          </w:pPr>
          <w:hyperlink w:anchor="_Toc496460806" w:history="1">
            <w:r w:rsidR="005070D6" w:rsidRPr="00451525">
              <w:rPr>
                <w:rStyle w:val="Hyperlink"/>
                <w:noProof/>
              </w:rPr>
              <w:t>Estimated time frames</w:t>
            </w:r>
            <w:r w:rsidR="005070D6">
              <w:rPr>
                <w:noProof/>
                <w:webHidden/>
              </w:rPr>
              <w:tab/>
            </w:r>
            <w:r w:rsidR="005070D6">
              <w:rPr>
                <w:noProof/>
                <w:webHidden/>
              </w:rPr>
              <w:fldChar w:fldCharType="begin"/>
            </w:r>
            <w:r w:rsidR="005070D6">
              <w:rPr>
                <w:noProof/>
                <w:webHidden/>
              </w:rPr>
              <w:instrText xml:space="preserve"> PAGEREF _Toc496460806 \h </w:instrText>
            </w:r>
            <w:r w:rsidR="005070D6">
              <w:rPr>
                <w:noProof/>
                <w:webHidden/>
              </w:rPr>
            </w:r>
            <w:r w:rsidR="005070D6">
              <w:rPr>
                <w:noProof/>
                <w:webHidden/>
              </w:rPr>
              <w:fldChar w:fldCharType="separate"/>
            </w:r>
            <w:r w:rsidR="005070D6">
              <w:rPr>
                <w:noProof/>
                <w:webHidden/>
              </w:rPr>
              <w:t>14</w:t>
            </w:r>
            <w:r w:rsidR="005070D6">
              <w:rPr>
                <w:noProof/>
                <w:webHidden/>
              </w:rPr>
              <w:fldChar w:fldCharType="end"/>
            </w:r>
          </w:hyperlink>
        </w:p>
        <w:p w14:paraId="21FDAB0E" w14:textId="630112E6" w:rsidR="005070D6" w:rsidRDefault="00CF1526">
          <w:pPr>
            <w:pStyle w:val="TOC1"/>
            <w:tabs>
              <w:tab w:val="right" w:leader="dot" w:pos="9016"/>
            </w:tabs>
            <w:rPr>
              <w:rFonts w:asciiTheme="minorHAnsi" w:eastAsiaTheme="minorEastAsia" w:hAnsiTheme="minorHAnsi"/>
              <w:noProof/>
              <w:lang w:eastAsia="en-AU"/>
            </w:rPr>
          </w:pPr>
          <w:hyperlink w:anchor="_Toc496460807" w:history="1">
            <w:r w:rsidR="005070D6" w:rsidRPr="00451525">
              <w:rPr>
                <w:rStyle w:val="Hyperlink"/>
                <w:noProof/>
              </w:rPr>
              <w:t>Implementing the COAG Industry and Skills Council (CISC) reforms for training packages</w:t>
            </w:r>
            <w:r w:rsidR="005070D6">
              <w:rPr>
                <w:noProof/>
                <w:webHidden/>
              </w:rPr>
              <w:tab/>
            </w:r>
            <w:r w:rsidR="005070D6">
              <w:rPr>
                <w:noProof/>
                <w:webHidden/>
              </w:rPr>
              <w:fldChar w:fldCharType="begin"/>
            </w:r>
            <w:r w:rsidR="005070D6">
              <w:rPr>
                <w:noProof/>
                <w:webHidden/>
              </w:rPr>
              <w:instrText xml:space="preserve"> PAGEREF _Toc496460807 \h </w:instrText>
            </w:r>
            <w:r w:rsidR="005070D6">
              <w:rPr>
                <w:noProof/>
                <w:webHidden/>
              </w:rPr>
            </w:r>
            <w:r w:rsidR="005070D6">
              <w:rPr>
                <w:noProof/>
                <w:webHidden/>
              </w:rPr>
              <w:fldChar w:fldCharType="separate"/>
            </w:r>
            <w:r w:rsidR="005070D6">
              <w:rPr>
                <w:noProof/>
                <w:webHidden/>
              </w:rPr>
              <w:t>15</w:t>
            </w:r>
            <w:r w:rsidR="005070D6">
              <w:rPr>
                <w:noProof/>
                <w:webHidden/>
              </w:rPr>
              <w:fldChar w:fldCharType="end"/>
            </w:r>
          </w:hyperlink>
        </w:p>
        <w:p w14:paraId="1B97FB74" w14:textId="0BA34CF8" w:rsidR="005070D6" w:rsidRDefault="00CF1526">
          <w:pPr>
            <w:pStyle w:val="TOC2"/>
            <w:tabs>
              <w:tab w:val="right" w:leader="dot" w:pos="9016"/>
            </w:tabs>
            <w:rPr>
              <w:rFonts w:asciiTheme="minorHAnsi" w:eastAsiaTheme="minorEastAsia" w:hAnsiTheme="minorHAnsi"/>
              <w:noProof/>
              <w:lang w:eastAsia="en-AU"/>
            </w:rPr>
          </w:pPr>
          <w:hyperlink w:anchor="_Toc496460808" w:history="1">
            <w:r w:rsidR="005070D6" w:rsidRPr="00451525">
              <w:rPr>
                <w:rStyle w:val="Hyperlink"/>
                <w:noProof/>
              </w:rPr>
              <w:t>Appendix A: Stakeholder Consultation Method and Scale</w:t>
            </w:r>
            <w:r w:rsidR="005070D6">
              <w:rPr>
                <w:noProof/>
                <w:webHidden/>
              </w:rPr>
              <w:tab/>
            </w:r>
            <w:r w:rsidR="005070D6">
              <w:rPr>
                <w:noProof/>
                <w:webHidden/>
              </w:rPr>
              <w:fldChar w:fldCharType="begin"/>
            </w:r>
            <w:r w:rsidR="005070D6">
              <w:rPr>
                <w:noProof/>
                <w:webHidden/>
              </w:rPr>
              <w:instrText xml:space="preserve"> PAGEREF _Toc496460808 \h </w:instrText>
            </w:r>
            <w:r w:rsidR="005070D6">
              <w:rPr>
                <w:noProof/>
                <w:webHidden/>
              </w:rPr>
            </w:r>
            <w:r w:rsidR="005070D6">
              <w:rPr>
                <w:noProof/>
                <w:webHidden/>
              </w:rPr>
              <w:fldChar w:fldCharType="separate"/>
            </w:r>
            <w:r w:rsidR="005070D6">
              <w:rPr>
                <w:noProof/>
                <w:webHidden/>
              </w:rPr>
              <w:t>16</w:t>
            </w:r>
            <w:r w:rsidR="005070D6">
              <w:rPr>
                <w:noProof/>
                <w:webHidden/>
              </w:rPr>
              <w:fldChar w:fldCharType="end"/>
            </w:r>
          </w:hyperlink>
        </w:p>
        <w:p w14:paraId="30964092" w14:textId="1E7407D9" w:rsidR="005070D6" w:rsidRDefault="00CF1526">
          <w:pPr>
            <w:pStyle w:val="TOC2"/>
            <w:tabs>
              <w:tab w:val="right" w:leader="dot" w:pos="9016"/>
            </w:tabs>
            <w:rPr>
              <w:rFonts w:asciiTheme="minorHAnsi" w:eastAsiaTheme="minorEastAsia" w:hAnsiTheme="minorHAnsi"/>
              <w:noProof/>
              <w:lang w:eastAsia="en-AU"/>
            </w:rPr>
          </w:pPr>
          <w:hyperlink w:anchor="_Toc496460809" w:history="1">
            <w:r w:rsidR="005070D6" w:rsidRPr="00451525">
              <w:rPr>
                <w:rStyle w:val="Hyperlink"/>
                <w:noProof/>
              </w:rPr>
              <w:t>Appendix B: Project Register Stakeholder Feedback</w:t>
            </w:r>
            <w:r w:rsidR="005070D6">
              <w:rPr>
                <w:noProof/>
                <w:webHidden/>
              </w:rPr>
              <w:tab/>
            </w:r>
            <w:r w:rsidR="005070D6">
              <w:rPr>
                <w:noProof/>
                <w:webHidden/>
              </w:rPr>
              <w:fldChar w:fldCharType="begin"/>
            </w:r>
            <w:r w:rsidR="005070D6">
              <w:rPr>
                <w:noProof/>
                <w:webHidden/>
              </w:rPr>
              <w:instrText xml:space="preserve"> PAGEREF _Toc496460809 \h </w:instrText>
            </w:r>
            <w:r w:rsidR="005070D6">
              <w:rPr>
                <w:noProof/>
                <w:webHidden/>
              </w:rPr>
            </w:r>
            <w:r w:rsidR="005070D6">
              <w:rPr>
                <w:noProof/>
                <w:webHidden/>
              </w:rPr>
              <w:fldChar w:fldCharType="separate"/>
            </w:r>
            <w:r w:rsidR="005070D6">
              <w:rPr>
                <w:noProof/>
                <w:webHidden/>
              </w:rPr>
              <w:t>18</w:t>
            </w:r>
            <w:r w:rsidR="005070D6">
              <w:rPr>
                <w:noProof/>
                <w:webHidden/>
              </w:rPr>
              <w:fldChar w:fldCharType="end"/>
            </w:r>
          </w:hyperlink>
        </w:p>
        <w:p w14:paraId="0F37FA0F" w14:textId="4BC8C4C5" w:rsidR="005070D6" w:rsidRDefault="00CF1526">
          <w:pPr>
            <w:pStyle w:val="TOC3"/>
            <w:tabs>
              <w:tab w:val="right" w:leader="dot" w:pos="9016"/>
            </w:tabs>
            <w:rPr>
              <w:rFonts w:asciiTheme="minorHAnsi" w:eastAsiaTheme="minorEastAsia" w:hAnsiTheme="minorHAnsi"/>
              <w:noProof/>
              <w:lang w:eastAsia="en-AU"/>
            </w:rPr>
          </w:pPr>
          <w:hyperlink w:anchor="_Toc496460810" w:history="1">
            <w:r w:rsidR="005070D6" w:rsidRPr="00451525">
              <w:rPr>
                <w:rStyle w:val="Hyperlink"/>
                <w:noProof/>
              </w:rPr>
              <w:t>MPA Stakeholder Unit Review Feedback</w:t>
            </w:r>
            <w:r w:rsidR="005070D6">
              <w:rPr>
                <w:noProof/>
                <w:webHidden/>
              </w:rPr>
              <w:tab/>
            </w:r>
            <w:r w:rsidR="005070D6">
              <w:rPr>
                <w:noProof/>
                <w:webHidden/>
              </w:rPr>
              <w:fldChar w:fldCharType="begin"/>
            </w:r>
            <w:r w:rsidR="005070D6">
              <w:rPr>
                <w:noProof/>
                <w:webHidden/>
              </w:rPr>
              <w:instrText xml:space="preserve"> PAGEREF _Toc496460810 \h </w:instrText>
            </w:r>
            <w:r w:rsidR="005070D6">
              <w:rPr>
                <w:noProof/>
                <w:webHidden/>
              </w:rPr>
            </w:r>
            <w:r w:rsidR="005070D6">
              <w:rPr>
                <w:noProof/>
                <w:webHidden/>
              </w:rPr>
              <w:fldChar w:fldCharType="separate"/>
            </w:r>
            <w:r w:rsidR="005070D6">
              <w:rPr>
                <w:noProof/>
                <w:webHidden/>
              </w:rPr>
              <w:t>18</w:t>
            </w:r>
            <w:r w:rsidR="005070D6">
              <w:rPr>
                <w:noProof/>
                <w:webHidden/>
              </w:rPr>
              <w:fldChar w:fldCharType="end"/>
            </w:r>
          </w:hyperlink>
        </w:p>
        <w:p w14:paraId="7180BCD4" w14:textId="4F467F19" w:rsidR="005070D6" w:rsidRDefault="00CF1526">
          <w:pPr>
            <w:pStyle w:val="TOC3"/>
            <w:tabs>
              <w:tab w:val="right" w:leader="dot" w:pos="9016"/>
            </w:tabs>
            <w:rPr>
              <w:rFonts w:asciiTheme="minorHAnsi" w:eastAsiaTheme="minorEastAsia" w:hAnsiTheme="minorHAnsi"/>
              <w:noProof/>
              <w:lang w:eastAsia="en-AU"/>
            </w:rPr>
          </w:pPr>
          <w:hyperlink w:anchor="_Toc496460811" w:history="1">
            <w:r w:rsidR="005070D6" w:rsidRPr="00451525">
              <w:rPr>
                <w:rStyle w:val="Hyperlink"/>
                <w:noProof/>
              </w:rPr>
              <w:t>BMA Consulting 2104 CPC30611 Review</w:t>
            </w:r>
            <w:r w:rsidR="005070D6">
              <w:rPr>
                <w:noProof/>
                <w:webHidden/>
              </w:rPr>
              <w:tab/>
            </w:r>
            <w:r w:rsidR="005070D6">
              <w:rPr>
                <w:noProof/>
                <w:webHidden/>
              </w:rPr>
              <w:fldChar w:fldCharType="begin"/>
            </w:r>
            <w:r w:rsidR="005070D6">
              <w:rPr>
                <w:noProof/>
                <w:webHidden/>
              </w:rPr>
              <w:instrText xml:space="preserve"> PAGEREF _Toc496460811 \h </w:instrText>
            </w:r>
            <w:r w:rsidR="005070D6">
              <w:rPr>
                <w:noProof/>
                <w:webHidden/>
              </w:rPr>
            </w:r>
            <w:r w:rsidR="005070D6">
              <w:rPr>
                <w:noProof/>
                <w:webHidden/>
              </w:rPr>
              <w:fldChar w:fldCharType="separate"/>
            </w:r>
            <w:r w:rsidR="005070D6">
              <w:rPr>
                <w:noProof/>
                <w:webHidden/>
              </w:rPr>
              <w:t>21</w:t>
            </w:r>
            <w:r w:rsidR="005070D6">
              <w:rPr>
                <w:noProof/>
                <w:webHidden/>
              </w:rPr>
              <w:fldChar w:fldCharType="end"/>
            </w:r>
          </w:hyperlink>
        </w:p>
        <w:p w14:paraId="717F2EC8" w14:textId="5E86BA7F" w:rsidR="005070D6" w:rsidRDefault="005070D6">
          <w:r>
            <w:rPr>
              <w:b/>
              <w:bCs/>
              <w:noProof/>
            </w:rPr>
            <w:fldChar w:fldCharType="end"/>
          </w:r>
        </w:p>
      </w:sdtContent>
    </w:sdt>
    <w:p w14:paraId="40EC7251" w14:textId="77777777" w:rsidR="00FE7553" w:rsidRDefault="00FE7553" w:rsidP="008068D6">
      <w:pPr>
        <w:pStyle w:val="Heading2"/>
        <w:jc w:val="left"/>
        <w:sectPr w:rsidR="00FE7553" w:rsidSect="00E71F80">
          <w:pgSz w:w="11906" w:h="16838"/>
          <w:pgMar w:top="1440" w:right="1440" w:bottom="1440" w:left="1440" w:header="708" w:footer="708" w:gutter="0"/>
          <w:cols w:space="708"/>
          <w:docGrid w:linePitch="360"/>
        </w:sectPr>
      </w:pPr>
    </w:p>
    <w:p w14:paraId="49EA6E62" w14:textId="39448E3C" w:rsidR="008068D6" w:rsidRPr="00A449FF" w:rsidRDefault="008068D6" w:rsidP="008068D6">
      <w:pPr>
        <w:pStyle w:val="Heading2"/>
        <w:jc w:val="left"/>
      </w:pPr>
      <w:bookmarkStart w:id="12" w:name="_Toc496460780"/>
      <w:r w:rsidRPr="00A449FF">
        <w:lastRenderedPageBreak/>
        <w:t>Name of Allocated IRC(s)</w:t>
      </w:r>
      <w:bookmarkEnd w:id="7"/>
      <w:bookmarkEnd w:id="6"/>
      <w:bookmarkEnd w:id="5"/>
      <w:bookmarkEnd w:id="4"/>
      <w:bookmarkEnd w:id="3"/>
      <w:bookmarkEnd w:id="2"/>
      <w:bookmarkEnd w:id="1"/>
      <w:bookmarkEnd w:id="0"/>
      <w:bookmarkEnd w:id="12"/>
      <w:r w:rsidRPr="00A449FF">
        <w:t xml:space="preserve"> </w:t>
      </w:r>
    </w:p>
    <w:p w14:paraId="41998117" w14:textId="77777777" w:rsidR="008068D6" w:rsidRPr="0095612A" w:rsidRDefault="008068D6" w:rsidP="008068D6">
      <w:r>
        <w:t xml:space="preserve">Construction, Plumbing and Services Industry Reference Committee </w:t>
      </w:r>
    </w:p>
    <w:p w14:paraId="38FA20E1" w14:textId="10FE9F44" w:rsidR="008068D6" w:rsidRDefault="008068D6" w:rsidP="008068D6">
      <w:pPr>
        <w:pStyle w:val="Heading2"/>
        <w:jc w:val="left"/>
      </w:pPr>
      <w:bookmarkStart w:id="13" w:name="_Toc475695347"/>
      <w:bookmarkStart w:id="14" w:name="_Toc475695455"/>
      <w:bookmarkStart w:id="15" w:name="_Toc475972829"/>
      <w:bookmarkStart w:id="16" w:name="_Toc475972925"/>
      <w:bookmarkStart w:id="17" w:name="_Toc475973048"/>
      <w:bookmarkStart w:id="18" w:name="_Toc482092901"/>
      <w:bookmarkStart w:id="19" w:name="_Toc485818112"/>
      <w:bookmarkStart w:id="20" w:name="_Toc490221583"/>
      <w:bookmarkStart w:id="21" w:name="_Toc496460781"/>
      <w:r w:rsidRPr="00774840">
        <w:t>Name of the SSO</w:t>
      </w:r>
      <w:bookmarkEnd w:id="13"/>
      <w:bookmarkEnd w:id="14"/>
      <w:bookmarkEnd w:id="15"/>
      <w:bookmarkEnd w:id="16"/>
      <w:bookmarkEnd w:id="17"/>
      <w:bookmarkEnd w:id="18"/>
      <w:bookmarkEnd w:id="19"/>
      <w:bookmarkEnd w:id="20"/>
      <w:bookmarkEnd w:id="21"/>
    </w:p>
    <w:p w14:paraId="6ECC2330" w14:textId="77777777" w:rsidR="008068D6" w:rsidRPr="00CF51A3" w:rsidRDefault="008068D6" w:rsidP="008068D6">
      <w:r>
        <w:t>Artibus Innovation</w:t>
      </w:r>
    </w:p>
    <w:p w14:paraId="286EE545" w14:textId="58A27337" w:rsidR="008068D6" w:rsidRPr="00774840" w:rsidRDefault="00174B0D" w:rsidP="008068D6">
      <w:pPr>
        <w:pStyle w:val="Heading2"/>
        <w:jc w:val="left"/>
      </w:pPr>
      <w:bookmarkStart w:id="22" w:name="_Toc496460782"/>
      <w:bookmarkEnd w:id="11"/>
      <w:bookmarkEnd w:id="10"/>
      <w:bookmarkEnd w:id="9"/>
      <w:bookmarkEnd w:id="8"/>
      <w:r>
        <w:t>Components for consideration</w:t>
      </w:r>
      <w:bookmarkEnd w:id="22"/>
    </w:p>
    <w:p w14:paraId="415E5338" w14:textId="77777777" w:rsidR="008068D6" w:rsidRDefault="008068D6" w:rsidP="008068D6">
      <w:pPr>
        <w:rPr>
          <w:i/>
        </w:rPr>
      </w:pPr>
      <w:r>
        <w:t xml:space="preserve">This submission puts forward the case for </w:t>
      </w:r>
      <w:r w:rsidR="00174B0D">
        <w:t>change</w:t>
      </w:r>
      <w:r>
        <w:t xml:space="preserve"> for </w:t>
      </w:r>
      <w:r w:rsidR="00174B0D">
        <w:t>the full review of the qualification CPC30611 – Certificate III in Painting and Decorating and the associated</w:t>
      </w:r>
      <w:r>
        <w:t xml:space="preserve"> units </w:t>
      </w:r>
      <w:r w:rsidR="00174B0D">
        <w:t>of competency.</w:t>
      </w:r>
    </w:p>
    <w:p w14:paraId="5AAB6C4D" w14:textId="1F589A11" w:rsidR="008068D6" w:rsidRDefault="008068D6" w:rsidP="0049563C">
      <w:pPr>
        <w:pStyle w:val="Heading3"/>
      </w:pPr>
      <w:bookmarkStart w:id="23" w:name="_Toc485818114"/>
      <w:bookmarkStart w:id="24" w:name="_Toc490221585"/>
      <w:bookmarkStart w:id="25" w:name="_Toc496460783"/>
      <w:r>
        <w:t>Qualification</w:t>
      </w:r>
      <w:bookmarkEnd w:id="23"/>
      <w:bookmarkEnd w:id="24"/>
      <w:r w:rsidR="0032535F">
        <w:t>:</w:t>
      </w:r>
      <w:bookmarkEnd w:id="25"/>
    </w:p>
    <w:tbl>
      <w:tblPr>
        <w:tblStyle w:val="GridTable4-Accent31"/>
        <w:tblW w:w="9184" w:type="dxa"/>
        <w:tblLook w:val="04A0" w:firstRow="1" w:lastRow="0" w:firstColumn="1" w:lastColumn="0" w:noHBand="0" w:noVBand="1"/>
      </w:tblPr>
      <w:tblGrid>
        <w:gridCol w:w="1455"/>
        <w:gridCol w:w="7729"/>
      </w:tblGrid>
      <w:tr w:rsidR="00174B0D" w:rsidRPr="00BB1CCE" w14:paraId="55A1B0C8" w14:textId="77777777" w:rsidTr="0020560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hideMark/>
          </w:tcPr>
          <w:p w14:paraId="7D66A175" w14:textId="77777777" w:rsidR="00174B0D" w:rsidRPr="00BB1CCE" w:rsidRDefault="00174B0D" w:rsidP="00205600">
            <w:pPr>
              <w:rPr>
                <w:rFonts w:eastAsia="Times New Roman" w:cs="Times New Roman"/>
                <w:lang w:eastAsia="en-AU"/>
              </w:rPr>
            </w:pPr>
            <w:r w:rsidRPr="00181E17">
              <w:rPr>
                <w:rFonts w:eastAsia="Times New Roman" w:cs="Times New Roman"/>
                <w:lang w:eastAsia="en-AU"/>
              </w:rPr>
              <w:t xml:space="preserve">Code </w:t>
            </w:r>
          </w:p>
        </w:tc>
        <w:tc>
          <w:tcPr>
            <w:tcW w:w="7729" w:type="dxa"/>
            <w:noWrap/>
            <w:hideMark/>
          </w:tcPr>
          <w:p w14:paraId="654CFD63" w14:textId="77777777" w:rsidR="00174B0D" w:rsidRPr="00BB1CCE" w:rsidRDefault="00174B0D" w:rsidP="00205600">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181E17">
              <w:rPr>
                <w:rFonts w:eastAsia="Times New Roman" w:cs="Times New Roman"/>
                <w:lang w:eastAsia="en-AU"/>
              </w:rPr>
              <w:t>Title</w:t>
            </w:r>
          </w:p>
        </w:tc>
      </w:tr>
      <w:tr w:rsidR="00174B0D" w:rsidRPr="00BB1CCE" w14:paraId="7AE46881" w14:textId="77777777" w:rsidTr="00174B0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tcPr>
          <w:p w14:paraId="3707BF20" w14:textId="77777777" w:rsidR="00174B0D" w:rsidRPr="00BB1CCE" w:rsidRDefault="00174B0D" w:rsidP="00205600">
            <w:pPr>
              <w:rPr>
                <w:rFonts w:eastAsia="Times New Roman" w:cs="Times New Roman"/>
                <w:b w:val="0"/>
                <w:lang w:eastAsia="en-AU"/>
              </w:rPr>
            </w:pPr>
            <w:r>
              <w:rPr>
                <w:rFonts w:eastAsia="Times New Roman" w:cs="Times New Roman"/>
                <w:b w:val="0"/>
                <w:lang w:eastAsia="en-AU"/>
              </w:rPr>
              <w:t>CPC30611</w:t>
            </w:r>
          </w:p>
        </w:tc>
        <w:tc>
          <w:tcPr>
            <w:tcW w:w="7729" w:type="dxa"/>
            <w:noWrap/>
          </w:tcPr>
          <w:p w14:paraId="3F3BF9A1" w14:textId="77777777" w:rsidR="00174B0D" w:rsidRPr="00BB1CCE" w:rsidRDefault="00174B0D" w:rsidP="00205600">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Pr>
                <w:rFonts w:eastAsia="Times New Roman" w:cs="Times New Roman"/>
                <w:lang w:eastAsia="en-AU"/>
              </w:rPr>
              <w:t>Certificate III in Painting and Decorating</w:t>
            </w:r>
          </w:p>
        </w:tc>
      </w:tr>
    </w:tbl>
    <w:p w14:paraId="278A26F5" w14:textId="77777777" w:rsidR="00174B0D" w:rsidRPr="00174B0D" w:rsidRDefault="00174B0D" w:rsidP="00174B0D">
      <w:pPr>
        <w:rPr>
          <w:lang w:val="en-US"/>
        </w:rPr>
      </w:pPr>
    </w:p>
    <w:p w14:paraId="7A0555D9" w14:textId="7A1F5FFE" w:rsidR="008068D6" w:rsidRDefault="008068D6" w:rsidP="0049563C">
      <w:pPr>
        <w:pStyle w:val="Heading3"/>
        <w:rPr>
          <w:lang w:eastAsia="en-AU"/>
        </w:rPr>
      </w:pPr>
      <w:bookmarkStart w:id="26" w:name="_Toc475695350"/>
      <w:bookmarkStart w:id="27" w:name="_Toc475695458"/>
      <w:bookmarkStart w:id="28" w:name="_Toc475972832"/>
      <w:bookmarkStart w:id="29" w:name="_Toc475972928"/>
      <w:bookmarkStart w:id="30" w:name="_Toc482092903"/>
      <w:bookmarkStart w:id="31" w:name="_Toc485818115"/>
      <w:bookmarkStart w:id="32" w:name="_Toc490221586"/>
      <w:bookmarkStart w:id="33" w:name="_Toc496460784"/>
      <w:r w:rsidRPr="00BF49E9">
        <w:t>Units of competency</w:t>
      </w:r>
      <w:bookmarkEnd w:id="26"/>
      <w:bookmarkEnd w:id="27"/>
      <w:bookmarkEnd w:id="28"/>
      <w:bookmarkEnd w:id="29"/>
      <w:bookmarkEnd w:id="30"/>
      <w:bookmarkEnd w:id="31"/>
      <w:bookmarkEnd w:id="32"/>
      <w:r w:rsidR="0032535F">
        <w:t>:</w:t>
      </w:r>
      <w:bookmarkEnd w:id="33"/>
    </w:p>
    <w:tbl>
      <w:tblPr>
        <w:tblStyle w:val="GridTable4-Accent31"/>
        <w:tblW w:w="9442" w:type="dxa"/>
        <w:tblLook w:val="04A0" w:firstRow="1" w:lastRow="0" w:firstColumn="1" w:lastColumn="0" w:noHBand="0" w:noVBand="1"/>
      </w:tblPr>
      <w:tblGrid>
        <w:gridCol w:w="1713"/>
        <w:gridCol w:w="7729"/>
      </w:tblGrid>
      <w:tr w:rsidR="008068D6" w:rsidRPr="00BB1CCE" w14:paraId="2AA8FD3B" w14:textId="77777777" w:rsidTr="000E33F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hideMark/>
          </w:tcPr>
          <w:p w14:paraId="39BB65A9" w14:textId="77777777" w:rsidR="008068D6" w:rsidRPr="00BB1CCE" w:rsidRDefault="008068D6" w:rsidP="00205600">
            <w:pPr>
              <w:rPr>
                <w:rFonts w:eastAsia="Times New Roman" w:cs="Times New Roman"/>
                <w:lang w:eastAsia="en-AU"/>
              </w:rPr>
            </w:pPr>
            <w:r w:rsidRPr="00181E17">
              <w:rPr>
                <w:rFonts w:eastAsia="Times New Roman" w:cs="Times New Roman"/>
                <w:lang w:eastAsia="en-AU"/>
              </w:rPr>
              <w:t xml:space="preserve">Code </w:t>
            </w:r>
          </w:p>
        </w:tc>
        <w:tc>
          <w:tcPr>
            <w:tcW w:w="7729" w:type="dxa"/>
            <w:noWrap/>
            <w:hideMark/>
          </w:tcPr>
          <w:p w14:paraId="6537D9BC" w14:textId="77777777" w:rsidR="008068D6" w:rsidRPr="00BB1CCE" w:rsidRDefault="008068D6" w:rsidP="00205600">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181E17">
              <w:rPr>
                <w:rFonts w:eastAsia="Times New Roman" w:cs="Times New Roman"/>
                <w:lang w:eastAsia="en-AU"/>
              </w:rPr>
              <w:t>Title</w:t>
            </w:r>
          </w:p>
        </w:tc>
      </w:tr>
      <w:tr w:rsidR="00786405" w:rsidRPr="00BB1CCE" w14:paraId="2B74A69C"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442" w:type="dxa"/>
            <w:gridSpan w:val="2"/>
            <w:noWrap/>
          </w:tcPr>
          <w:p w14:paraId="3007848B" w14:textId="77777777" w:rsidR="00786405" w:rsidRPr="00181E17" w:rsidRDefault="00786405" w:rsidP="00205600">
            <w:pPr>
              <w:rPr>
                <w:rFonts w:eastAsia="Times New Roman" w:cs="Times New Roman"/>
                <w:lang w:eastAsia="en-AU"/>
              </w:rPr>
            </w:pPr>
            <w:r>
              <w:rPr>
                <w:rFonts w:eastAsia="Times New Roman" w:cs="Times New Roman"/>
                <w:lang w:eastAsia="en-AU"/>
              </w:rPr>
              <w:t>CORE UNITS</w:t>
            </w:r>
          </w:p>
        </w:tc>
      </w:tr>
      <w:tr w:rsidR="0032535F" w:rsidRPr="00BB1CCE" w14:paraId="5F2772D6"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3528678B" w14:textId="3E39B344" w:rsidR="0032535F" w:rsidRPr="00DF1E12" w:rsidRDefault="000E33F4" w:rsidP="0032535F">
            <w:pPr>
              <w:rPr>
                <w:b w:val="0"/>
              </w:rPr>
            </w:pPr>
            <w:r>
              <w:rPr>
                <w:rFonts w:cs="Calibri"/>
                <w:b w:val="0"/>
              </w:rPr>
              <w:t>²</w:t>
            </w:r>
            <w:r>
              <w:rPr>
                <w:b w:val="0"/>
              </w:rPr>
              <w:t xml:space="preserve"> </w:t>
            </w:r>
            <w:r w:rsidR="0032535F" w:rsidRPr="00DF1E12">
              <w:rPr>
                <w:b w:val="0"/>
              </w:rPr>
              <w:t xml:space="preserve">CPCCCM1012A </w:t>
            </w:r>
          </w:p>
        </w:tc>
        <w:tc>
          <w:tcPr>
            <w:tcW w:w="7729" w:type="dxa"/>
            <w:noWrap/>
          </w:tcPr>
          <w:p w14:paraId="6A19142A" w14:textId="77777777" w:rsidR="0032535F" w:rsidRPr="00256830" w:rsidRDefault="0032535F" w:rsidP="0032535F">
            <w:pPr>
              <w:cnfStyle w:val="000000000000" w:firstRow="0" w:lastRow="0" w:firstColumn="0" w:lastColumn="0" w:oddVBand="0" w:evenVBand="0" w:oddHBand="0" w:evenHBand="0" w:firstRowFirstColumn="0" w:firstRowLastColumn="0" w:lastRowFirstColumn="0" w:lastRowLastColumn="0"/>
            </w:pPr>
            <w:r w:rsidRPr="00256830">
              <w:t>Work effectively and sustainably in the construction industry</w:t>
            </w:r>
          </w:p>
        </w:tc>
      </w:tr>
      <w:tr w:rsidR="0032535F" w:rsidRPr="00BB1CCE" w14:paraId="74698B72"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076D64F2" w14:textId="20A9F3D5" w:rsidR="0032535F" w:rsidRPr="00DF1E12" w:rsidRDefault="000E33F4" w:rsidP="0032535F">
            <w:pPr>
              <w:rPr>
                <w:b w:val="0"/>
              </w:rPr>
            </w:pPr>
            <w:r>
              <w:rPr>
                <w:rFonts w:cs="Calibri"/>
                <w:b w:val="0"/>
              </w:rPr>
              <w:t xml:space="preserve">² </w:t>
            </w:r>
            <w:r w:rsidR="0032535F" w:rsidRPr="00DF1E12">
              <w:rPr>
                <w:b w:val="0"/>
              </w:rPr>
              <w:t xml:space="preserve">CPCCCM1013A </w:t>
            </w:r>
          </w:p>
        </w:tc>
        <w:tc>
          <w:tcPr>
            <w:tcW w:w="7729" w:type="dxa"/>
            <w:noWrap/>
          </w:tcPr>
          <w:p w14:paraId="0AC64C4B" w14:textId="77777777" w:rsidR="0032535F" w:rsidRPr="00256830" w:rsidRDefault="0032535F" w:rsidP="0032535F">
            <w:pPr>
              <w:cnfStyle w:val="000000100000" w:firstRow="0" w:lastRow="0" w:firstColumn="0" w:lastColumn="0" w:oddVBand="0" w:evenVBand="0" w:oddHBand="1" w:evenHBand="0" w:firstRowFirstColumn="0" w:firstRowLastColumn="0" w:lastRowFirstColumn="0" w:lastRowLastColumn="0"/>
            </w:pPr>
            <w:r w:rsidRPr="00256830">
              <w:t xml:space="preserve">Plan and </w:t>
            </w:r>
            <w:proofErr w:type="spellStart"/>
            <w:r w:rsidRPr="00256830">
              <w:t>organise</w:t>
            </w:r>
            <w:proofErr w:type="spellEnd"/>
            <w:r w:rsidRPr="00256830">
              <w:t xml:space="preserve"> work</w:t>
            </w:r>
          </w:p>
        </w:tc>
      </w:tr>
      <w:tr w:rsidR="0032535F" w:rsidRPr="00BB1CCE" w14:paraId="029A0FA4"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10178915" w14:textId="609116DA" w:rsidR="0032535F" w:rsidRPr="00DF1E12" w:rsidRDefault="000E33F4" w:rsidP="0032535F">
            <w:pPr>
              <w:rPr>
                <w:b w:val="0"/>
              </w:rPr>
            </w:pPr>
            <w:r>
              <w:rPr>
                <w:rFonts w:cs="Calibri"/>
                <w:b w:val="0"/>
              </w:rPr>
              <w:t xml:space="preserve">² </w:t>
            </w:r>
            <w:r w:rsidR="0032535F" w:rsidRPr="00DF1E12">
              <w:rPr>
                <w:b w:val="0"/>
              </w:rPr>
              <w:t xml:space="preserve">CPCCCM1014A </w:t>
            </w:r>
          </w:p>
        </w:tc>
        <w:tc>
          <w:tcPr>
            <w:tcW w:w="7729" w:type="dxa"/>
            <w:noWrap/>
          </w:tcPr>
          <w:p w14:paraId="71F2970F" w14:textId="77777777" w:rsidR="0032535F" w:rsidRPr="00256830" w:rsidRDefault="0032535F" w:rsidP="0032535F">
            <w:pPr>
              <w:cnfStyle w:val="000000000000" w:firstRow="0" w:lastRow="0" w:firstColumn="0" w:lastColumn="0" w:oddVBand="0" w:evenVBand="0" w:oddHBand="0" w:evenHBand="0" w:firstRowFirstColumn="0" w:firstRowLastColumn="0" w:lastRowFirstColumn="0" w:lastRowLastColumn="0"/>
            </w:pPr>
            <w:r w:rsidRPr="00256830">
              <w:t>Conduct workplace communication</w:t>
            </w:r>
          </w:p>
        </w:tc>
      </w:tr>
      <w:tr w:rsidR="0032535F" w:rsidRPr="00BB1CCE" w14:paraId="2ED54222"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6B56BD59" w14:textId="007001E7" w:rsidR="0032535F" w:rsidRPr="00DF1E12" w:rsidRDefault="000E33F4" w:rsidP="0032535F">
            <w:pPr>
              <w:rPr>
                <w:b w:val="0"/>
              </w:rPr>
            </w:pPr>
            <w:r>
              <w:rPr>
                <w:rFonts w:cs="Calibri"/>
                <w:b w:val="0"/>
              </w:rPr>
              <w:t xml:space="preserve">² </w:t>
            </w:r>
            <w:r w:rsidR="0032535F" w:rsidRPr="00DF1E12">
              <w:rPr>
                <w:b w:val="0"/>
              </w:rPr>
              <w:t xml:space="preserve">CPCCCM1015A </w:t>
            </w:r>
          </w:p>
        </w:tc>
        <w:tc>
          <w:tcPr>
            <w:tcW w:w="7729" w:type="dxa"/>
            <w:noWrap/>
          </w:tcPr>
          <w:p w14:paraId="79AAF711" w14:textId="77777777" w:rsidR="0032535F" w:rsidRPr="00256830" w:rsidRDefault="0032535F" w:rsidP="0032535F">
            <w:pPr>
              <w:cnfStyle w:val="000000100000" w:firstRow="0" w:lastRow="0" w:firstColumn="0" w:lastColumn="0" w:oddVBand="0" w:evenVBand="0" w:oddHBand="1" w:evenHBand="0" w:firstRowFirstColumn="0" w:firstRowLastColumn="0" w:lastRowFirstColumn="0" w:lastRowLastColumn="0"/>
            </w:pPr>
            <w:r w:rsidRPr="00256830">
              <w:t>Carry out measurements and calculations</w:t>
            </w:r>
          </w:p>
        </w:tc>
      </w:tr>
      <w:tr w:rsidR="0032535F" w:rsidRPr="00BB1CCE" w14:paraId="4876E431"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4656EF0A" w14:textId="0568DBA8" w:rsidR="0032535F" w:rsidRPr="00DF1E12" w:rsidRDefault="000E33F4" w:rsidP="0032535F">
            <w:pPr>
              <w:rPr>
                <w:b w:val="0"/>
              </w:rPr>
            </w:pPr>
            <w:r>
              <w:rPr>
                <w:rFonts w:cs="Calibri"/>
                <w:b w:val="0"/>
              </w:rPr>
              <w:t xml:space="preserve">² </w:t>
            </w:r>
            <w:r w:rsidR="0032535F" w:rsidRPr="00DF1E12">
              <w:rPr>
                <w:b w:val="0"/>
              </w:rPr>
              <w:t xml:space="preserve">CPCCCM2001A </w:t>
            </w:r>
          </w:p>
        </w:tc>
        <w:tc>
          <w:tcPr>
            <w:tcW w:w="7729" w:type="dxa"/>
            <w:noWrap/>
          </w:tcPr>
          <w:p w14:paraId="101D2090" w14:textId="77777777" w:rsidR="0032535F" w:rsidRPr="00256830" w:rsidRDefault="0032535F" w:rsidP="0032535F">
            <w:pPr>
              <w:cnfStyle w:val="000000000000" w:firstRow="0" w:lastRow="0" w:firstColumn="0" w:lastColumn="0" w:oddVBand="0" w:evenVBand="0" w:oddHBand="0" w:evenHBand="0" w:firstRowFirstColumn="0" w:firstRowLastColumn="0" w:lastRowFirstColumn="0" w:lastRowLastColumn="0"/>
            </w:pPr>
            <w:r w:rsidRPr="00256830">
              <w:t>Read and interpret plans and specifications</w:t>
            </w:r>
          </w:p>
        </w:tc>
      </w:tr>
      <w:tr w:rsidR="0032535F" w:rsidRPr="00BB1CCE" w14:paraId="0AC488D1"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141D0844" w14:textId="180A9B42" w:rsidR="0032535F" w:rsidRPr="00DF1E12" w:rsidRDefault="000E33F4" w:rsidP="0032535F">
            <w:pPr>
              <w:rPr>
                <w:b w:val="0"/>
              </w:rPr>
            </w:pPr>
            <w:r>
              <w:rPr>
                <w:rFonts w:cs="Calibri"/>
                <w:b w:val="0"/>
              </w:rPr>
              <w:t xml:space="preserve">² </w:t>
            </w:r>
            <w:r w:rsidR="0032535F" w:rsidRPr="00DF1E12">
              <w:rPr>
                <w:b w:val="0"/>
              </w:rPr>
              <w:t xml:space="preserve">CPCCCM2003B </w:t>
            </w:r>
          </w:p>
        </w:tc>
        <w:tc>
          <w:tcPr>
            <w:tcW w:w="7729" w:type="dxa"/>
            <w:noWrap/>
          </w:tcPr>
          <w:p w14:paraId="38D2D1B9" w14:textId="77777777" w:rsidR="0032535F" w:rsidRPr="00256830" w:rsidRDefault="0032535F" w:rsidP="0032535F">
            <w:pPr>
              <w:cnfStyle w:val="000000100000" w:firstRow="0" w:lastRow="0" w:firstColumn="0" w:lastColumn="0" w:oddVBand="0" w:evenVBand="0" w:oddHBand="1" w:evenHBand="0" w:firstRowFirstColumn="0" w:firstRowLastColumn="0" w:lastRowFirstColumn="0" w:lastRowLastColumn="0"/>
            </w:pPr>
            <w:r w:rsidRPr="00256830">
              <w:t>Calculate and cost construction work</w:t>
            </w:r>
          </w:p>
        </w:tc>
      </w:tr>
      <w:tr w:rsidR="0032535F" w:rsidRPr="00BB1CCE" w14:paraId="2BD1C38F"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30C16EE7" w14:textId="12E0BA77" w:rsidR="0032535F" w:rsidRPr="00DF1E12" w:rsidRDefault="000E33F4" w:rsidP="0032535F">
            <w:pPr>
              <w:rPr>
                <w:b w:val="0"/>
              </w:rPr>
            </w:pPr>
            <w:r>
              <w:rPr>
                <w:rFonts w:cs="Calibri"/>
                <w:b w:val="0"/>
              </w:rPr>
              <w:t xml:space="preserve">² </w:t>
            </w:r>
            <w:r w:rsidR="0032535F" w:rsidRPr="00DF1E12">
              <w:rPr>
                <w:b w:val="0"/>
              </w:rPr>
              <w:t xml:space="preserve">CPCCCM2010B </w:t>
            </w:r>
          </w:p>
        </w:tc>
        <w:tc>
          <w:tcPr>
            <w:tcW w:w="7729" w:type="dxa"/>
            <w:noWrap/>
          </w:tcPr>
          <w:p w14:paraId="07C85782" w14:textId="77777777" w:rsidR="0032535F" w:rsidRPr="00256830" w:rsidRDefault="0032535F" w:rsidP="0032535F">
            <w:pPr>
              <w:cnfStyle w:val="000000000000" w:firstRow="0" w:lastRow="0" w:firstColumn="0" w:lastColumn="0" w:oddVBand="0" w:evenVBand="0" w:oddHBand="0" w:evenHBand="0" w:firstRowFirstColumn="0" w:firstRowLastColumn="0" w:lastRowFirstColumn="0" w:lastRowLastColumn="0"/>
            </w:pPr>
            <w:r w:rsidRPr="00256830">
              <w:t>Work safely at heights</w:t>
            </w:r>
          </w:p>
        </w:tc>
      </w:tr>
      <w:tr w:rsidR="0032535F" w:rsidRPr="00BB1CCE" w14:paraId="37C51B7D"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29481AAB" w14:textId="0A8AEC3B" w:rsidR="0032535F" w:rsidRPr="00DF1E12" w:rsidRDefault="0032535F" w:rsidP="0032535F">
            <w:pPr>
              <w:rPr>
                <w:b w:val="0"/>
              </w:rPr>
            </w:pPr>
            <w:r w:rsidRPr="00DF1E12">
              <w:rPr>
                <w:b w:val="0"/>
              </w:rPr>
              <w:t xml:space="preserve">CPCCOHS2001A </w:t>
            </w:r>
          </w:p>
        </w:tc>
        <w:tc>
          <w:tcPr>
            <w:tcW w:w="7729" w:type="dxa"/>
            <w:noWrap/>
          </w:tcPr>
          <w:p w14:paraId="4E33E42B" w14:textId="77777777" w:rsidR="0032535F" w:rsidRPr="00256830" w:rsidRDefault="0032535F" w:rsidP="0032535F">
            <w:pPr>
              <w:cnfStyle w:val="000000100000" w:firstRow="0" w:lastRow="0" w:firstColumn="0" w:lastColumn="0" w:oddVBand="0" w:evenVBand="0" w:oddHBand="1" w:evenHBand="0" w:firstRowFirstColumn="0" w:firstRowLastColumn="0" w:lastRowFirstColumn="0" w:lastRowLastColumn="0"/>
            </w:pPr>
            <w:r w:rsidRPr="00256830">
              <w:t xml:space="preserve">Apply OHS requirements, </w:t>
            </w:r>
            <w:proofErr w:type="gramStart"/>
            <w:r w:rsidRPr="00256830">
              <w:t>policies</w:t>
            </w:r>
            <w:proofErr w:type="gramEnd"/>
            <w:r w:rsidRPr="00256830">
              <w:t xml:space="preserve"> and procedures in the construction industry</w:t>
            </w:r>
          </w:p>
        </w:tc>
      </w:tr>
      <w:tr w:rsidR="0032535F" w:rsidRPr="00BB1CCE" w14:paraId="35106E29"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1FBC6A65" w14:textId="2CCA9ADC" w:rsidR="0032535F" w:rsidRPr="00DF1E12" w:rsidRDefault="000E33F4" w:rsidP="0032535F">
            <w:pPr>
              <w:rPr>
                <w:b w:val="0"/>
              </w:rPr>
            </w:pPr>
            <w:r>
              <w:rPr>
                <w:rFonts w:cs="Calibri"/>
                <w:b w:val="0"/>
              </w:rPr>
              <w:t xml:space="preserve">² </w:t>
            </w:r>
            <w:r w:rsidR="00D34276" w:rsidRPr="00DF1E12">
              <w:rPr>
                <w:b w:val="0"/>
              </w:rPr>
              <w:t>CPCCCM3001C</w:t>
            </w:r>
          </w:p>
        </w:tc>
        <w:tc>
          <w:tcPr>
            <w:tcW w:w="7729" w:type="dxa"/>
            <w:noWrap/>
          </w:tcPr>
          <w:p w14:paraId="1A4A7252" w14:textId="77777777" w:rsidR="0032535F" w:rsidRPr="00256830" w:rsidRDefault="0032535F" w:rsidP="0032535F">
            <w:pPr>
              <w:cnfStyle w:val="000000000000" w:firstRow="0" w:lastRow="0" w:firstColumn="0" w:lastColumn="0" w:oddVBand="0" w:evenVBand="0" w:oddHBand="0" w:evenHBand="0" w:firstRowFirstColumn="0" w:firstRowLastColumn="0" w:lastRowFirstColumn="0" w:lastRowLastColumn="0"/>
            </w:pPr>
            <w:r w:rsidRPr="00256830">
              <w:t>Operate elevated work platforms</w:t>
            </w:r>
          </w:p>
        </w:tc>
      </w:tr>
      <w:tr w:rsidR="0032535F" w:rsidRPr="00BB1CCE" w14:paraId="2CA53296"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525EE17A" w14:textId="673EA7CE" w:rsidR="0032535F" w:rsidRPr="00DF1E12" w:rsidRDefault="000E33F4" w:rsidP="0032535F">
            <w:pPr>
              <w:rPr>
                <w:b w:val="0"/>
              </w:rPr>
            </w:pPr>
            <w:r>
              <w:rPr>
                <w:rFonts w:cs="Calibri"/>
                <w:b w:val="0"/>
              </w:rPr>
              <w:t xml:space="preserve">² </w:t>
            </w:r>
            <w:r w:rsidR="0032535F" w:rsidRPr="00DF1E12">
              <w:rPr>
                <w:b w:val="0"/>
              </w:rPr>
              <w:t xml:space="preserve">CPCCPB3026B </w:t>
            </w:r>
          </w:p>
        </w:tc>
        <w:tc>
          <w:tcPr>
            <w:tcW w:w="7729" w:type="dxa"/>
            <w:noWrap/>
          </w:tcPr>
          <w:p w14:paraId="1CFCE335" w14:textId="77777777" w:rsidR="0032535F" w:rsidRPr="00256830" w:rsidRDefault="0032535F" w:rsidP="0032535F">
            <w:pPr>
              <w:cnfStyle w:val="000000100000" w:firstRow="0" w:lastRow="0" w:firstColumn="0" w:lastColumn="0" w:oddVBand="0" w:evenVBand="0" w:oddHBand="1" w:evenHBand="0" w:firstRowFirstColumn="0" w:firstRowLastColumn="0" w:lastRowFirstColumn="0" w:lastRowLastColumn="0"/>
            </w:pPr>
            <w:r w:rsidRPr="00256830">
              <w:t>Erect and maintain trestle and plank systems</w:t>
            </w:r>
          </w:p>
        </w:tc>
      </w:tr>
      <w:tr w:rsidR="0032535F" w:rsidRPr="00BB1CCE" w14:paraId="401D6C19"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58925F29" w14:textId="77777777" w:rsidR="0032535F" w:rsidRPr="00DF1E12" w:rsidRDefault="0032535F" w:rsidP="0032535F">
            <w:pPr>
              <w:rPr>
                <w:b w:val="0"/>
              </w:rPr>
            </w:pPr>
            <w:r w:rsidRPr="00DF1E12">
              <w:rPr>
                <w:b w:val="0"/>
              </w:rPr>
              <w:t xml:space="preserve">CPCCPD2011A </w:t>
            </w:r>
          </w:p>
        </w:tc>
        <w:tc>
          <w:tcPr>
            <w:tcW w:w="7729" w:type="dxa"/>
            <w:noWrap/>
          </w:tcPr>
          <w:p w14:paraId="02598A5B" w14:textId="77777777" w:rsidR="0032535F" w:rsidRPr="00256830" w:rsidRDefault="0032535F" w:rsidP="0032535F">
            <w:pPr>
              <w:cnfStyle w:val="000000000000" w:firstRow="0" w:lastRow="0" w:firstColumn="0" w:lastColumn="0" w:oddVBand="0" w:evenVBand="0" w:oddHBand="0" w:evenHBand="0" w:firstRowFirstColumn="0" w:firstRowLastColumn="0" w:lastRowFirstColumn="0" w:lastRowLastColumn="0"/>
            </w:pPr>
            <w:r w:rsidRPr="00256830">
              <w:t>Handle painting and decorating materials</w:t>
            </w:r>
          </w:p>
        </w:tc>
      </w:tr>
      <w:tr w:rsidR="0032535F" w:rsidRPr="00BB1CCE" w14:paraId="41CD14EA"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43C8C6E9" w14:textId="77777777" w:rsidR="0032535F" w:rsidRPr="00DF1E12" w:rsidRDefault="0032535F" w:rsidP="0032535F">
            <w:pPr>
              <w:rPr>
                <w:b w:val="0"/>
              </w:rPr>
            </w:pPr>
            <w:r w:rsidRPr="00DF1E12">
              <w:rPr>
                <w:b w:val="0"/>
              </w:rPr>
              <w:t xml:space="preserve">CPCCPD2012A </w:t>
            </w:r>
          </w:p>
        </w:tc>
        <w:tc>
          <w:tcPr>
            <w:tcW w:w="7729" w:type="dxa"/>
            <w:noWrap/>
          </w:tcPr>
          <w:p w14:paraId="0883C299" w14:textId="77777777" w:rsidR="0032535F" w:rsidRPr="00256830" w:rsidRDefault="0032535F" w:rsidP="0032535F">
            <w:pPr>
              <w:cnfStyle w:val="000000100000" w:firstRow="0" w:lastRow="0" w:firstColumn="0" w:lastColumn="0" w:oddVBand="0" w:evenVBand="0" w:oddHBand="1" w:evenHBand="0" w:firstRowFirstColumn="0" w:firstRowLastColumn="0" w:lastRowFirstColumn="0" w:lastRowLastColumn="0"/>
            </w:pPr>
            <w:r w:rsidRPr="00256830">
              <w:t>Use painting and decorating tools and equipment</w:t>
            </w:r>
          </w:p>
        </w:tc>
      </w:tr>
      <w:tr w:rsidR="0032535F" w:rsidRPr="00BB1CCE" w14:paraId="4F3DCA57"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73A82AB9" w14:textId="77777777" w:rsidR="0032535F" w:rsidRPr="00DF1E12" w:rsidRDefault="0032535F" w:rsidP="0032535F">
            <w:pPr>
              <w:rPr>
                <w:b w:val="0"/>
              </w:rPr>
            </w:pPr>
            <w:r w:rsidRPr="00DF1E12">
              <w:rPr>
                <w:b w:val="0"/>
              </w:rPr>
              <w:t xml:space="preserve">CPCCPD2013A </w:t>
            </w:r>
          </w:p>
        </w:tc>
        <w:tc>
          <w:tcPr>
            <w:tcW w:w="7729" w:type="dxa"/>
            <w:noWrap/>
          </w:tcPr>
          <w:p w14:paraId="157BF39F" w14:textId="77777777" w:rsidR="0032535F" w:rsidRPr="00256830" w:rsidRDefault="0032535F" w:rsidP="0032535F">
            <w:pPr>
              <w:cnfStyle w:val="000000000000" w:firstRow="0" w:lastRow="0" w:firstColumn="0" w:lastColumn="0" w:oddVBand="0" w:evenVBand="0" w:oddHBand="0" w:evenHBand="0" w:firstRowFirstColumn="0" w:firstRowLastColumn="0" w:lastRowFirstColumn="0" w:lastRowLastColumn="0"/>
            </w:pPr>
            <w:r w:rsidRPr="00256830">
              <w:t>Remove and replace doors and door and window components</w:t>
            </w:r>
          </w:p>
        </w:tc>
      </w:tr>
      <w:tr w:rsidR="0032535F" w:rsidRPr="00BB1CCE" w14:paraId="5848A03F"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1088528F" w14:textId="77777777" w:rsidR="0032535F" w:rsidRPr="00DF1E12" w:rsidRDefault="00D34276" w:rsidP="0032535F">
            <w:pPr>
              <w:rPr>
                <w:b w:val="0"/>
              </w:rPr>
            </w:pPr>
            <w:r w:rsidRPr="00DF1E12">
              <w:rPr>
                <w:b w:val="0"/>
              </w:rPr>
              <w:t>CPCCPD3021A</w:t>
            </w:r>
          </w:p>
        </w:tc>
        <w:tc>
          <w:tcPr>
            <w:tcW w:w="7729" w:type="dxa"/>
            <w:noWrap/>
          </w:tcPr>
          <w:p w14:paraId="58D40174" w14:textId="77777777" w:rsidR="0032535F" w:rsidRPr="00256830" w:rsidRDefault="0032535F" w:rsidP="0032535F">
            <w:pPr>
              <w:cnfStyle w:val="000000100000" w:firstRow="0" w:lastRow="0" w:firstColumn="0" w:lastColumn="0" w:oddVBand="0" w:evenVBand="0" w:oddHBand="1" w:evenHBand="0" w:firstRowFirstColumn="0" w:firstRowLastColumn="0" w:lastRowFirstColumn="0" w:lastRowLastColumn="0"/>
            </w:pPr>
            <w:r w:rsidRPr="00256830">
              <w:t>Prepare surfaces for painting</w:t>
            </w:r>
          </w:p>
        </w:tc>
      </w:tr>
      <w:tr w:rsidR="0032535F" w:rsidRPr="00BB1CCE" w14:paraId="61E7B452"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75387A4F" w14:textId="1008F7F2" w:rsidR="0032535F" w:rsidRPr="00DF1E12" w:rsidRDefault="000E33F4" w:rsidP="0032535F">
            <w:pPr>
              <w:rPr>
                <w:b w:val="0"/>
              </w:rPr>
            </w:pPr>
            <w:r>
              <w:rPr>
                <w:rFonts w:cs="Calibri"/>
                <w:b w:val="0"/>
              </w:rPr>
              <w:t xml:space="preserve">² </w:t>
            </w:r>
            <w:r w:rsidR="0032535F" w:rsidRPr="00DF1E12">
              <w:rPr>
                <w:b w:val="0"/>
              </w:rPr>
              <w:t xml:space="preserve">CPCCCM2008B </w:t>
            </w:r>
          </w:p>
        </w:tc>
        <w:tc>
          <w:tcPr>
            <w:tcW w:w="7729" w:type="dxa"/>
            <w:noWrap/>
          </w:tcPr>
          <w:p w14:paraId="12B91858" w14:textId="77777777" w:rsidR="0032535F" w:rsidRPr="00256830" w:rsidRDefault="0032535F" w:rsidP="0032535F">
            <w:pPr>
              <w:cnfStyle w:val="000000000000" w:firstRow="0" w:lastRow="0" w:firstColumn="0" w:lastColumn="0" w:oddVBand="0" w:evenVBand="0" w:oddHBand="0" w:evenHBand="0" w:firstRowFirstColumn="0" w:firstRowLastColumn="0" w:lastRowFirstColumn="0" w:lastRowLastColumn="0"/>
            </w:pPr>
            <w:r w:rsidRPr="00256830">
              <w:t>Erect and dismantle restricted height scaffolding</w:t>
            </w:r>
          </w:p>
        </w:tc>
      </w:tr>
      <w:tr w:rsidR="0032535F" w:rsidRPr="00BB1CCE" w14:paraId="6F125825"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10FD8B27" w14:textId="77777777" w:rsidR="0032535F" w:rsidRPr="00DF1E12" w:rsidRDefault="0032535F" w:rsidP="0032535F">
            <w:pPr>
              <w:rPr>
                <w:b w:val="0"/>
              </w:rPr>
            </w:pPr>
            <w:r w:rsidRPr="00DF1E12">
              <w:rPr>
                <w:b w:val="0"/>
              </w:rPr>
              <w:t xml:space="preserve">CPCCPD3022A </w:t>
            </w:r>
          </w:p>
        </w:tc>
        <w:tc>
          <w:tcPr>
            <w:tcW w:w="7729" w:type="dxa"/>
            <w:noWrap/>
          </w:tcPr>
          <w:p w14:paraId="69D01714" w14:textId="77777777" w:rsidR="0032535F" w:rsidRPr="00256830" w:rsidRDefault="0032535F" w:rsidP="0032535F">
            <w:pPr>
              <w:cnfStyle w:val="000000100000" w:firstRow="0" w:lastRow="0" w:firstColumn="0" w:lastColumn="0" w:oddVBand="0" w:evenVBand="0" w:oddHBand="1" w:evenHBand="0" w:firstRowFirstColumn="0" w:firstRowLastColumn="0" w:lastRowFirstColumn="0" w:lastRowLastColumn="0"/>
            </w:pPr>
            <w:r w:rsidRPr="00256830">
              <w:t>Apply paint by brush and roller</w:t>
            </w:r>
          </w:p>
        </w:tc>
      </w:tr>
      <w:tr w:rsidR="0032535F" w:rsidRPr="00BB1CCE" w14:paraId="22E3E988"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2DCC6347" w14:textId="77777777" w:rsidR="0032535F" w:rsidRPr="00DF1E12" w:rsidRDefault="0032535F" w:rsidP="0032535F">
            <w:pPr>
              <w:rPr>
                <w:b w:val="0"/>
              </w:rPr>
            </w:pPr>
            <w:r w:rsidRPr="00DF1E12">
              <w:rPr>
                <w:b w:val="0"/>
              </w:rPr>
              <w:t xml:space="preserve">CPCCPD3023A </w:t>
            </w:r>
          </w:p>
        </w:tc>
        <w:tc>
          <w:tcPr>
            <w:tcW w:w="7729" w:type="dxa"/>
            <w:noWrap/>
          </w:tcPr>
          <w:p w14:paraId="15095A8F" w14:textId="77777777" w:rsidR="0032535F" w:rsidRPr="00256830" w:rsidRDefault="0032535F" w:rsidP="0032535F">
            <w:pPr>
              <w:cnfStyle w:val="000000000000" w:firstRow="0" w:lastRow="0" w:firstColumn="0" w:lastColumn="0" w:oddVBand="0" w:evenVBand="0" w:oddHBand="0" w:evenHBand="0" w:firstRowFirstColumn="0" w:firstRowLastColumn="0" w:lastRowFirstColumn="0" w:lastRowLastColumn="0"/>
            </w:pPr>
            <w:r w:rsidRPr="00256830">
              <w:t xml:space="preserve">Apply texture coat paint finishes by brush, </w:t>
            </w:r>
            <w:proofErr w:type="gramStart"/>
            <w:r w:rsidRPr="00256830">
              <w:t>roller</w:t>
            </w:r>
            <w:proofErr w:type="gramEnd"/>
            <w:r w:rsidRPr="00256830">
              <w:t xml:space="preserve"> and spray</w:t>
            </w:r>
          </w:p>
        </w:tc>
      </w:tr>
      <w:tr w:rsidR="0032535F" w:rsidRPr="00BB1CCE" w14:paraId="2D94F08C"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1C82C81F" w14:textId="77777777" w:rsidR="0032535F" w:rsidRPr="00DF1E12" w:rsidRDefault="0032535F" w:rsidP="0032535F">
            <w:pPr>
              <w:rPr>
                <w:b w:val="0"/>
              </w:rPr>
            </w:pPr>
            <w:r w:rsidRPr="00DF1E12">
              <w:rPr>
                <w:b w:val="0"/>
              </w:rPr>
              <w:t xml:space="preserve">CPCCPD3024A </w:t>
            </w:r>
          </w:p>
        </w:tc>
        <w:tc>
          <w:tcPr>
            <w:tcW w:w="7729" w:type="dxa"/>
            <w:noWrap/>
          </w:tcPr>
          <w:p w14:paraId="60440C33" w14:textId="77777777" w:rsidR="0032535F" w:rsidRPr="00256830" w:rsidRDefault="0032535F" w:rsidP="0032535F">
            <w:pPr>
              <w:cnfStyle w:val="000000100000" w:firstRow="0" w:lastRow="0" w:firstColumn="0" w:lastColumn="0" w:oddVBand="0" w:evenVBand="0" w:oddHBand="1" w:evenHBand="0" w:firstRowFirstColumn="0" w:firstRowLastColumn="0" w:lastRowFirstColumn="0" w:lastRowLastColumn="0"/>
            </w:pPr>
            <w:r w:rsidRPr="00256830">
              <w:t>Apply paint by spray</w:t>
            </w:r>
          </w:p>
        </w:tc>
      </w:tr>
      <w:tr w:rsidR="0032535F" w:rsidRPr="00BB1CCE" w14:paraId="3865AB75"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45DCF38A" w14:textId="77777777" w:rsidR="0032535F" w:rsidRPr="00DF1E12" w:rsidRDefault="0032535F" w:rsidP="0032535F">
            <w:pPr>
              <w:rPr>
                <w:b w:val="0"/>
              </w:rPr>
            </w:pPr>
            <w:r w:rsidRPr="00DF1E12">
              <w:rPr>
                <w:b w:val="0"/>
              </w:rPr>
              <w:t xml:space="preserve">CPCCPD3025A </w:t>
            </w:r>
          </w:p>
        </w:tc>
        <w:tc>
          <w:tcPr>
            <w:tcW w:w="7729" w:type="dxa"/>
            <w:noWrap/>
          </w:tcPr>
          <w:p w14:paraId="4877D651" w14:textId="77777777" w:rsidR="0032535F" w:rsidRPr="00256830" w:rsidRDefault="0032535F" w:rsidP="0032535F">
            <w:pPr>
              <w:cnfStyle w:val="000000000000" w:firstRow="0" w:lastRow="0" w:firstColumn="0" w:lastColumn="0" w:oddVBand="0" w:evenVBand="0" w:oddHBand="0" w:evenHBand="0" w:firstRowFirstColumn="0" w:firstRowLastColumn="0" w:lastRowFirstColumn="0" w:lastRowLastColumn="0"/>
            </w:pPr>
            <w:r w:rsidRPr="00256830">
              <w:t xml:space="preserve">Match specified paint </w:t>
            </w:r>
            <w:proofErr w:type="spellStart"/>
            <w:r w:rsidRPr="00256830">
              <w:t>colour</w:t>
            </w:r>
            <w:proofErr w:type="spellEnd"/>
          </w:p>
        </w:tc>
      </w:tr>
      <w:tr w:rsidR="0032535F" w:rsidRPr="00BB1CCE" w14:paraId="3B9CE925"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2F6F6CAA" w14:textId="77777777" w:rsidR="0032535F" w:rsidRPr="00DF1E12" w:rsidRDefault="0032535F" w:rsidP="0032535F">
            <w:pPr>
              <w:rPr>
                <w:b w:val="0"/>
              </w:rPr>
            </w:pPr>
            <w:r w:rsidRPr="00DF1E12">
              <w:rPr>
                <w:b w:val="0"/>
              </w:rPr>
              <w:t xml:space="preserve">CPCCPD3026A </w:t>
            </w:r>
          </w:p>
        </w:tc>
        <w:tc>
          <w:tcPr>
            <w:tcW w:w="7729" w:type="dxa"/>
            <w:noWrap/>
          </w:tcPr>
          <w:p w14:paraId="60A88255" w14:textId="77777777" w:rsidR="0032535F" w:rsidRPr="00256830" w:rsidRDefault="0032535F" w:rsidP="0032535F">
            <w:pPr>
              <w:cnfStyle w:val="000000100000" w:firstRow="0" w:lastRow="0" w:firstColumn="0" w:lastColumn="0" w:oddVBand="0" w:evenVBand="0" w:oddHBand="1" w:evenHBand="0" w:firstRowFirstColumn="0" w:firstRowLastColumn="0" w:lastRowFirstColumn="0" w:lastRowLastColumn="0"/>
            </w:pPr>
            <w:r w:rsidRPr="00256830">
              <w:t>Apply stains and clear timber finishes</w:t>
            </w:r>
          </w:p>
        </w:tc>
      </w:tr>
      <w:tr w:rsidR="0032535F" w:rsidRPr="00BB1CCE" w14:paraId="5E23314B"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0DA90A5C" w14:textId="77777777" w:rsidR="0032535F" w:rsidRPr="00DF1E12" w:rsidRDefault="0032535F" w:rsidP="0032535F">
            <w:pPr>
              <w:rPr>
                <w:b w:val="0"/>
              </w:rPr>
            </w:pPr>
            <w:r w:rsidRPr="00DF1E12">
              <w:rPr>
                <w:b w:val="0"/>
              </w:rPr>
              <w:t xml:space="preserve">CPCCPD3027A </w:t>
            </w:r>
          </w:p>
        </w:tc>
        <w:tc>
          <w:tcPr>
            <w:tcW w:w="7729" w:type="dxa"/>
            <w:noWrap/>
          </w:tcPr>
          <w:p w14:paraId="28FF1DB3" w14:textId="77777777" w:rsidR="0032535F" w:rsidRPr="00256830" w:rsidRDefault="0032535F" w:rsidP="0032535F">
            <w:pPr>
              <w:cnfStyle w:val="000000000000" w:firstRow="0" w:lastRow="0" w:firstColumn="0" w:lastColumn="0" w:oddVBand="0" w:evenVBand="0" w:oddHBand="0" w:evenHBand="0" w:firstRowFirstColumn="0" w:firstRowLastColumn="0" w:lastRowFirstColumn="0" w:lastRowLastColumn="0"/>
            </w:pPr>
            <w:r w:rsidRPr="00256830">
              <w:t>Apply wallpaper</w:t>
            </w:r>
          </w:p>
        </w:tc>
      </w:tr>
      <w:tr w:rsidR="0032535F" w:rsidRPr="00BB1CCE" w14:paraId="33BD9C92"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0726FF37" w14:textId="77777777" w:rsidR="0032535F" w:rsidRPr="00DF1E12" w:rsidRDefault="0032535F" w:rsidP="0032535F">
            <w:pPr>
              <w:rPr>
                <w:b w:val="0"/>
              </w:rPr>
            </w:pPr>
            <w:r w:rsidRPr="00DF1E12">
              <w:rPr>
                <w:b w:val="0"/>
              </w:rPr>
              <w:t xml:space="preserve">CPCCPD3028A </w:t>
            </w:r>
          </w:p>
        </w:tc>
        <w:tc>
          <w:tcPr>
            <w:tcW w:w="7729" w:type="dxa"/>
            <w:noWrap/>
          </w:tcPr>
          <w:p w14:paraId="7E1982D8" w14:textId="77777777" w:rsidR="0032535F" w:rsidRPr="00256830" w:rsidRDefault="0032535F" w:rsidP="0032535F">
            <w:pPr>
              <w:cnfStyle w:val="000000100000" w:firstRow="0" w:lastRow="0" w:firstColumn="0" w:lastColumn="0" w:oddVBand="0" w:evenVBand="0" w:oddHBand="1" w:evenHBand="0" w:firstRowFirstColumn="0" w:firstRowLastColumn="0" w:lastRowFirstColumn="0" w:lastRowLastColumn="0"/>
            </w:pPr>
            <w:r w:rsidRPr="00256830">
              <w:t>Apply decorative paint finishes</w:t>
            </w:r>
          </w:p>
        </w:tc>
      </w:tr>
      <w:tr w:rsidR="0032535F" w:rsidRPr="00BB1CCE" w14:paraId="77B24B64"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0C2C4982" w14:textId="77777777" w:rsidR="0032535F" w:rsidRPr="00DF1E12" w:rsidRDefault="0032535F" w:rsidP="0032535F">
            <w:pPr>
              <w:rPr>
                <w:b w:val="0"/>
              </w:rPr>
            </w:pPr>
            <w:r w:rsidRPr="00DF1E12">
              <w:rPr>
                <w:b w:val="0"/>
              </w:rPr>
              <w:t xml:space="preserve">CPCCPD3031A </w:t>
            </w:r>
          </w:p>
        </w:tc>
        <w:tc>
          <w:tcPr>
            <w:tcW w:w="7729" w:type="dxa"/>
            <w:noWrap/>
          </w:tcPr>
          <w:p w14:paraId="1A0CCA1C" w14:textId="77777777" w:rsidR="0032535F" w:rsidRDefault="0032535F" w:rsidP="0032535F">
            <w:pPr>
              <w:cnfStyle w:val="000000000000" w:firstRow="0" w:lastRow="0" w:firstColumn="0" w:lastColumn="0" w:oddVBand="0" w:evenVBand="0" w:oddHBand="0" w:evenHBand="0" w:firstRowFirstColumn="0" w:firstRowLastColumn="0" w:lastRowFirstColumn="0" w:lastRowLastColumn="0"/>
            </w:pPr>
            <w:r w:rsidRPr="00256830">
              <w:t>Implement safe lead paint and asbestos work practices in the painting industry</w:t>
            </w:r>
          </w:p>
        </w:tc>
      </w:tr>
      <w:tr w:rsidR="00786405" w:rsidRPr="00BB1CCE" w14:paraId="2C4F0ABF"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442" w:type="dxa"/>
            <w:gridSpan w:val="2"/>
            <w:noWrap/>
          </w:tcPr>
          <w:p w14:paraId="0E033683" w14:textId="77777777" w:rsidR="00786405" w:rsidRPr="00DF1E12" w:rsidRDefault="00786405" w:rsidP="0032535F">
            <w:r w:rsidRPr="00DF1E12">
              <w:t>ELECTIVE UNITS</w:t>
            </w:r>
          </w:p>
        </w:tc>
      </w:tr>
      <w:tr w:rsidR="00786405" w:rsidRPr="00BB1CCE" w14:paraId="16D34316"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6F5BFBFA" w14:textId="77777777" w:rsidR="00786405" w:rsidRPr="00DF1E12" w:rsidRDefault="00786405" w:rsidP="00786405">
            <w:pPr>
              <w:rPr>
                <w:b w:val="0"/>
              </w:rPr>
            </w:pPr>
            <w:r w:rsidRPr="00DF1E12">
              <w:rPr>
                <w:b w:val="0"/>
              </w:rPr>
              <w:t xml:space="preserve">CPCCPD3029A </w:t>
            </w:r>
          </w:p>
        </w:tc>
        <w:tc>
          <w:tcPr>
            <w:tcW w:w="7729" w:type="dxa"/>
            <w:noWrap/>
          </w:tcPr>
          <w:p w14:paraId="36DEA7AC" w14:textId="77777777" w:rsidR="00786405" w:rsidRPr="003122C8" w:rsidRDefault="00786405" w:rsidP="00786405">
            <w:pPr>
              <w:cnfStyle w:val="000000000000" w:firstRow="0" w:lastRow="0" w:firstColumn="0" w:lastColumn="0" w:oddVBand="0" w:evenVBand="0" w:oddHBand="0" w:evenHBand="0" w:firstRowFirstColumn="0" w:firstRowLastColumn="0" w:lastRowFirstColumn="0" w:lastRowLastColumn="0"/>
            </w:pPr>
            <w:r w:rsidRPr="003122C8">
              <w:t>Remove graffiti and apply protective coatings</w:t>
            </w:r>
          </w:p>
        </w:tc>
      </w:tr>
      <w:tr w:rsidR="00786405" w:rsidRPr="00BB1CCE" w14:paraId="69C515EA"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41C14F0D" w14:textId="77777777" w:rsidR="00786405" w:rsidRPr="00DF1E12" w:rsidRDefault="00786405" w:rsidP="00786405">
            <w:pPr>
              <w:rPr>
                <w:b w:val="0"/>
              </w:rPr>
            </w:pPr>
            <w:r w:rsidRPr="00DF1E12">
              <w:rPr>
                <w:b w:val="0"/>
              </w:rPr>
              <w:t xml:space="preserve">CPCCPD3030B </w:t>
            </w:r>
          </w:p>
        </w:tc>
        <w:tc>
          <w:tcPr>
            <w:tcW w:w="7729" w:type="dxa"/>
            <w:noWrap/>
          </w:tcPr>
          <w:p w14:paraId="30027812" w14:textId="77777777" w:rsidR="00786405" w:rsidRPr="003122C8" w:rsidRDefault="00786405" w:rsidP="00786405">
            <w:pPr>
              <w:cnfStyle w:val="000000100000" w:firstRow="0" w:lastRow="0" w:firstColumn="0" w:lastColumn="0" w:oddVBand="0" w:evenVBand="0" w:oddHBand="1" w:evenHBand="0" w:firstRowFirstColumn="0" w:firstRowLastColumn="0" w:lastRowFirstColumn="0" w:lastRowLastColumn="0"/>
            </w:pPr>
            <w:r w:rsidRPr="003122C8">
              <w:t>Apply protective paint coating systems</w:t>
            </w:r>
          </w:p>
        </w:tc>
      </w:tr>
      <w:tr w:rsidR="00786405" w:rsidRPr="00BB1CCE" w14:paraId="76DD425C"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48E6A7DF" w14:textId="77777777" w:rsidR="00786405" w:rsidRPr="00DF1E12" w:rsidRDefault="00786405" w:rsidP="00786405">
            <w:pPr>
              <w:rPr>
                <w:b w:val="0"/>
              </w:rPr>
            </w:pPr>
            <w:r w:rsidRPr="00DF1E12">
              <w:rPr>
                <w:b w:val="0"/>
              </w:rPr>
              <w:t xml:space="preserve">CPCCPD3032A </w:t>
            </w:r>
          </w:p>
        </w:tc>
        <w:tc>
          <w:tcPr>
            <w:tcW w:w="7729" w:type="dxa"/>
            <w:noWrap/>
          </w:tcPr>
          <w:p w14:paraId="53C2E523" w14:textId="77777777" w:rsidR="00786405" w:rsidRPr="003122C8" w:rsidRDefault="00786405" w:rsidP="00786405">
            <w:pPr>
              <w:cnfStyle w:val="000000000000" w:firstRow="0" w:lastRow="0" w:firstColumn="0" w:lastColumn="0" w:oddVBand="0" w:evenVBand="0" w:oddHBand="0" w:evenHBand="0" w:firstRowFirstColumn="0" w:firstRowLastColumn="0" w:lastRowFirstColumn="0" w:lastRowLastColumn="0"/>
            </w:pPr>
            <w:r w:rsidRPr="003122C8">
              <w:t>Apply advanced wallpaper techniques</w:t>
            </w:r>
          </w:p>
        </w:tc>
      </w:tr>
      <w:tr w:rsidR="00786405" w:rsidRPr="00BB1CCE" w14:paraId="156847A7"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2147AAAD" w14:textId="77777777" w:rsidR="00786405" w:rsidRPr="00DF1E12" w:rsidRDefault="00786405" w:rsidP="00786405">
            <w:pPr>
              <w:rPr>
                <w:b w:val="0"/>
              </w:rPr>
            </w:pPr>
            <w:r w:rsidRPr="00DF1E12">
              <w:rPr>
                <w:b w:val="0"/>
              </w:rPr>
              <w:lastRenderedPageBreak/>
              <w:t xml:space="preserve">CPCCPD3033A </w:t>
            </w:r>
          </w:p>
        </w:tc>
        <w:tc>
          <w:tcPr>
            <w:tcW w:w="7729" w:type="dxa"/>
            <w:noWrap/>
          </w:tcPr>
          <w:p w14:paraId="556B6E03" w14:textId="77777777" w:rsidR="00786405" w:rsidRPr="003122C8" w:rsidRDefault="00786405" w:rsidP="00786405">
            <w:pPr>
              <w:cnfStyle w:val="000000100000" w:firstRow="0" w:lastRow="0" w:firstColumn="0" w:lastColumn="0" w:oddVBand="0" w:evenVBand="0" w:oddHBand="1" w:evenHBand="0" w:firstRowFirstColumn="0" w:firstRowLastColumn="0" w:lastRowFirstColumn="0" w:lastRowLastColumn="0"/>
            </w:pPr>
            <w:r w:rsidRPr="003122C8">
              <w:t>Apply intumescent coatings</w:t>
            </w:r>
          </w:p>
        </w:tc>
      </w:tr>
      <w:tr w:rsidR="00786405" w:rsidRPr="00BB1CCE" w14:paraId="57723706"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5C918DFC" w14:textId="77777777" w:rsidR="00786405" w:rsidRPr="00DF1E12" w:rsidRDefault="00786405" w:rsidP="00786405">
            <w:pPr>
              <w:rPr>
                <w:b w:val="0"/>
              </w:rPr>
            </w:pPr>
            <w:r w:rsidRPr="00DF1E12">
              <w:rPr>
                <w:b w:val="0"/>
              </w:rPr>
              <w:t xml:space="preserve">CPCCPD3034A </w:t>
            </w:r>
          </w:p>
        </w:tc>
        <w:tc>
          <w:tcPr>
            <w:tcW w:w="7729" w:type="dxa"/>
            <w:noWrap/>
          </w:tcPr>
          <w:p w14:paraId="5700DEDA" w14:textId="77777777" w:rsidR="00786405" w:rsidRPr="003122C8" w:rsidRDefault="00786405" w:rsidP="00786405">
            <w:pPr>
              <w:cnfStyle w:val="000000000000" w:firstRow="0" w:lastRow="0" w:firstColumn="0" w:lastColumn="0" w:oddVBand="0" w:evenVBand="0" w:oddHBand="0" w:evenHBand="0" w:firstRowFirstColumn="0" w:firstRowLastColumn="0" w:lastRowFirstColumn="0" w:lastRowLastColumn="0"/>
            </w:pPr>
            <w:r w:rsidRPr="003122C8">
              <w:t>Apply advanced decorative paint finishes</w:t>
            </w:r>
          </w:p>
        </w:tc>
      </w:tr>
      <w:tr w:rsidR="00786405" w:rsidRPr="00BB1CCE" w14:paraId="31243B38"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53B5B540" w14:textId="16305206" w:rsidR="00786405" w:rsidRPr="00DF1E12" w:rsidRDefault="00AB030E" w:rsidP="00786405">
            <w:pPr>
              <w:rPr>
                <w:b w:val="0"/>
              </w:rPr>
            </w:pPr>
            <w:r>
              <w:rPr>
                <w:rFonts w:cs="Calibri"/>
                <w:b w:val="0"/>
              </w:rPr>
              <w:t>³</w:t>
            </w:r>
            <w:r w:rsidR="00786405" w:rsidRPr="00DF1E12">
              <w:rPr>
                <w:b w:val="0"/>
              </w:rPr>
              <w:t xml:space="preserve">CPCCSP3003A </w:t>
            </w:r>
          </w:p>
        </w:tc>
        <w:tc>
          <w:tcPr>
            <w:tcW w:w="7729" w:type="dxa"/>
            <w:noWrap/>
          </w:tcPr>
          <w:p w14:paraId="7CF72A71" w14:textId="77777777" w:rsidR="00786405" w:rsidRPr="003122C8" w:rsidRDefault="00786405" w:rsidP="00786405">
            <w:pPr>
              <w:cnfStyle w:val="000000100000" w:firstRow="0" w:lastRow="0" w:firstColumn="0" w:lastColumn="0" w:oddVBand="0" w:evenVBand="0" w:oddHBand="1" w:evenHBand="0" w:firstRowFirstColumn="0" w:firstRowLastColumn="0" w:lastRowFirstColumn="0" w:lastRowLastColumn="0"/>
            </w:pPr>
            <w:r w:rsidRPr="003122C8">
              <w:t xml:space="preserve">Apply </w:t>
            </w:r>
            <w:proofErr w:type="spellStart"/>
            <w:r w:rsidRPr="003122C8">
              <w:t>trowelled</w:t>
            </w:r>
            <w:proofErr w:type="spellEnd"/>
            <w:r w:rsidRPr="003122C8">
              <w:t xml:space="preserve"> texture coat finishes</w:t>
            </w:r>
          </w:p>
        </w:tc>
      </w:tr>
      <w:tr w:rsidR="00786405" w:rsidRPr="00BB1CCE" w14:paraId="6D95A4D6"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5600AB15" w14:textId="64B3F1BF" w:rsidR="00786405" w:rsidRPr="00DF1E12" w:rsidRDefault="000E33F4" w:rsidP="00786405">
            <w:pPr>
              <w:rPr>
                <w:b w:val="0"/>
              </w:rPr>
            </w:pPr>
            <w:r>
              <w:rPr>
                <w:rFonts w:cs="Calibri"/>
                <w:b w:val="0"/>
              </w:rPr>
              <w:t>¹</w:t>
            </w:r>
            <w:r w:rsidR="00786405" w:rsidRPr="00DF1E12">
              <w:rPr>
                <w:b w:val="0"/>
              </w:rPr>
              <w:t xml:space="preserve">BSBSMB301 </w:t>
            </w:r>
          </w:p>
        </w:tc>
        <w:tc>
          <w:tcPr>
            <w:tcW w:w="7729" w:type="dxa"/>
            <w:noWrap/>
          </w:tcPr>
          <w:p w14:paraId="72B0395D" w14:textId="77777777" w:rsidR="00786405" w:rsidRPr="003122C8" w:rsidRDefault="00786405" w:rsidP="00786405">
            <w:pPr>
              <w:cnfStyle w:val="000000000000" w:firstRow="0" w:lastRow="0" w:firstColumn="0" w:lastColumn="0" w:oddVBand="0" w:evenVBand="0" w:oddHBand="0" w:evenHBand="0" w:firstRowFirstColumn="0" w:firstRowLastColumn="0" w:lastRowFirstColumn="0" w:lastRowLastColumn="0"/>
            </w:pPr>
            <w:r w:rsidRPr="003122C8">
              <w:t>Investigate micro business opportunities</w:t>
            </w:r>
          </w:p>
        </w:tc>
      </w:tr>
      <w:tr w:rsidR="00786405" w:rsidRPr="00BB1CCE" w14:paraId="2336C5E6" w14:textId="77777777" w:rsidTr="000E33F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20E18FEB" w14:textId="391B58F2" w:rsidR="00786405" w:rsidRPr="00DF1E12" w:rsidRDefault="000E33F4" w:rsidP="00786405">
            <w:pPr>
              <w:rPr>
                <w:b w:val="0"/>
              </w:rPr>
            </w:pPr>
            <w:r>
              <w:rPr>
                <w:rFonts w:cs="Calibri"/>
                <w:b w:val="0"/>
              </w:rPr>
              <w:t>¹</w:t>
            </w:r>
            <w:r w:rsidR="00786405" w:rsidRPr="00DF1E12">
              <w:rPr>
                <w:b w:val="0"/>
              </w:rPr>
              <w:t xml:space="preserve">BSBSMB406 </w:t>
            </w:r>
          </w:p>
        </w:tc>
        <w:tc>
          <w:tcPr>
            <w:tcW w:w="7729" w:type="dxa"/>
            <w:noWrap/>
          </w:tcPr>
          <w:p w14:paraId="085AECB0" w14:textId="77777777" w:rsidR="00786405" w:rsidRPr="003122C8" w:rsidRDefault="00786405" w:rsidP="00786405">
            <w:pPr>
              <w:cnfStyle w:val="000000100000" w:firstRow="0" w:lastRow="0" w:firstColumn="0" w:lastColumn="0" w:oddVBand="0" w:evenVBand="0" w:oddHBand="1" w:evenHBand="0" w:firstRowFirstColumn="0" w:firstRowLastColumn="0" w:lastRowFirstColumn="0" w:lastRowLastColumn="0"/>
            </w:pPr>
            <w:r w:rsidRPr="003122C8">
              <w:t>Manage small business finances</w:t>
            </w:r>
          </w:p>
        </w:tc>
      </w:tr>
      <w:tr w:rsidR="00786405" w:rsidRPr="00BB1CCE" w14:paraId="21CC4EEC" w14:textId="77777777" w:rsidTr="000E33F4">
        <w:trPr>
          <w:trHeight w:val="285"/>
        </w:trPr>
        <w:tc>
          <w:tcPr>
            <w:cnfStyle w:val="001000000000" w:firstRow="0" w:lastRow="0" w:firstColumn="1" w:lastColumn="0" w:oddVBand="0" w:evenVBand="0" w:oddHBand="0" w:evenHBand="0" w:firstRowFirstColumn="0" w:firstRowLastColumn="0" w:lastRowFirstColumn="0" w:lastRowLastColumn="0"/>
            <w:tcW w:w="1713" w:type="dxa"/>
            <w:noWrap/>
          </w:tcPr>
          <w:p w14:paraId="0752D79C" w14:textId="558B59E7" w:rsidR="00786405" w:rsidRPr="00DF1E12" w:rsidRDefault="000E33F4" w:rsidP="00786405">
            <w:pPr>
              <w:rPr>
                <w:b w:val="0"/>
              </w:rPr>
            </w:pPr>
            <w:r>
              <w:rPr>
                <w:rFonts w:cs="Calibri"/>
                <w:b w:val="0"/>
              </w:rPr>
              <w:t>¹</w:t>
            </w:r>
            <w:r w:rsidR="00786405" w:rsidRPr="00DF1E12">
              <w:rPr>
                <w:b w:val="0"/>
              </w:rPr>
              <w:t xml:space="preserve">LMFGG2008B </w:t>
            </w:r>
          </w:p>
        </w:tc>
        <w:tc>
          <w:tcPr>
            <w:tcW w:w="7729" w:type="dxa"/>
            <w:noWrap/>
          </w:tcPr>
          <w:p w14:paraId="102620FD" w14:textId="77777777" w:rsidR="00786405" w:rsidRDefault="00786405" w:rsidP="00786405">
            <w:pPr>
              <w:cnfStyle w:val="000000000000" w:firstRow="0" w:lastRow="0" w:firstColumn="0" w:lastColumn="0" w:oddVBand="0" w:evenVBand="0" w:oddHBand="0" w:evenHBand="0" w:firstRowFirstColumn="0" w:firstRowLastColumn="0" w:lastRowFirstColumn="0" w:lastRowLastColumn="0"/>
            </w:pPr>
            <w:r w:rsidRPr="003122C8">
              <w:t>Glaze/re-glaze residential windows and doors</w:t>
            </w:r>
          </w:p>
        </w:tc>
      </w:tr>
    </w:tbl>
    <w:p w14:paraId="35FC7260" w14:textId="2058FA5D" w:rsidR="008068D6" w:rsidRPr="00C45D2B" w:rsidRDefault="00AB030E" w:rsidP="00C45D2B">
      <w:pPr>
        <w:pStyle w:val="NoSpacing"/>
        <w:rPr>
          <w:i/>
        </w:rPr>
      </w:pPr>
      <w:r w:rsidRPr="00C45D2B">
        <w:rPr>
          <w:rFonts w:cs="Calibri"/>
          <w:i/>
        </w:rPr>
        <w:t>¹</w:t>
      </w:r>
      <w:r w:rsidR="00837C06" w:rsidRPr="00C45D2B">
        <w:rPr>
          <w:i/>
        </w:rPr>
        <w:t xml:space="preserve">Imported units </w:t>
      </w:r>
      <w:r w:rsidRPr="00C45D2B">
        <w:rPr>
          <w:i/>
        </w:rPr>
        <w:t xml:space="preserve">from other training packages </w:t>
      </w:r>
      <w:r w:rsidR="00837C06" w:rsidRPr="00C45D2B">
        <w:rPr>
          <w:i/>
        </w:rPr>
        <w:t xml:space="preserve">that have been superseded will be mapped to the </w:t>
      </w:r>
      <w:r w:rsidR="001A4D24" w:rsidRPr="00C45D2B">
        <w:rPr>
          <w:i/>
        </w:rPr>
        <w:t xml:space="preserve">latest </w:t>
      </w:r>
      <w:r w:rsidR="00837C06" w:rsidRPr="00C45D2B">
        <w:rPr>
          <w:i/>
        </w:rPr>
        <w:t>current version of that unit where it is deemed equivalent</w:t>
      </w:r>
    </w:p>
    <w:p w14:paraId="10A40D08" w14:textId="3812B6C1" w:rsidR="00AB030E" w:rsidRPr="00C45D2B" w:rsidRDefault="00AB030E" w:rsidP="00C45D2B">
      <w:pPr>
        <w:pStyle w:val="NoSpacing"/>
        <w:rPr>
          <w:rFonts w:cs="Calibri"/>
          <w:i/>
        </w:rPr>
      </w:pPr>
      <w:r w:rsidRPr="00C45D2B">
        <w:rPr>
          <w:rFonts w:cs="Calibri"/>
          <w:i/>
        </w:rPr>
        <w:t>² CPC Construction Common units (CCM)</w:t>
      </w:r>
    </w:p>
    <w:p w14:paraId="4455E4A2" w14:textId="4EC8D4EA" w:rsidR="00AB030E" w:rsidRPr="00C45D2B" w:rsidRDefault="00AB030E" w:rsidP="00C45D2B">
      <w:pPr>
        <w:pStyle w:val="NoSpacing"/>
        <w:rPr>
          <w:i/>
        </w:rPr>
      </w:pPr>
      <w:r w:rsidRPr="00C45D2B">
        <w:rPr>
          <w:rFonts w:cs="Calibri"/>
          <w:i/>
        </w:rPr>
        <w:t>³</w:t>
      </w:r>
      <w:r w:rsidRPr="00C45D2B">
        <w:rPr>
          <w:i/>
        </w:rPr>
        <w:t xml:space="preserve"> CPC Construction Solid Plastering Units (CSP)</w:t>
      </w:r>
    </w:p>
    <w:p w14:paraId="19E513B8" w14:textId="77777777" w:rsidR="005C36B2" w:rsidRDefault="005C36B2" w:rsidP="004D3D3D">
      <w:pPr>
        <w:pStyle w:val="Heading2"/>
      </w:pPr>
      <w:bookmarkStart w:id="34" w:name="_Toc490221587"/>
    </w:p>
    <w:p w14:paraId="30BCA105" w14:textId="70918696" w:rsidR="004D3D3D" w:rsidRDefault="004D3D3D" w:rsidP="004D3D3D">
      <w:pPr>
        <w:pStyle w:val="Heading2"/>
      </w:pPr>
      <w:bookmarkStart w:id="35" w:name="_Toc496460785"/>
      <w:r>
        <w:t>Occupational Outcomes</w:t>
      </w:r>
      <w:bookmarkEnd w:id="35"/>
    </w:p>
    <w:p w14:paraId="4F7A15FB" w14:textId="77777777" w:rsidR="004D3D3D" w:rsidRDefault="004D3D3D" w:rsidP="004D3D3D">
      <w:pPr>
        <w:pStyle w:val="ListParagraph"/>
        <w:numPr>
          <w:ilvl w:val="0"/>
          <w:numId w:val="3"/>
        </w:numPr>
      </w:pPr>
      <w:r>
        <w:t>Painter and Decorator</w:t>
      </w:r>
    </w:p>
    <w:p w14:paraId="19AA1DDF" w14:textId="77777777" w:rsidR="004D3D3D" w:rsidRDefault="004D3D3D" w:rsidP="004D3D3D">
      <w:pPr>
        <w:pStyle w:val="ListParagraph"/>
        <w:numPr>
          <w:ilvl w:val="0"/>
          <w:numId w:val="3"/>
        </w:numPr>
      </w:pPr>
      <w:r>
        <w:t xml:space="preserve">Painting Trades Worker </w:t>
      </w:r>
    </w:p>
    <w:p w14:paraId="2E48A5C4" w14:textId="77777777" w:rsidR="00157DED" w:rsidRDefault="00157DED" w:rsidP="00157DED">
      <w:r>
        <w:t xml:space="preserve">Painters can work in </w:t>
      </w:r>
      <w:proofErr w:type="gramStart"/>
      <w:r>
        <w:t>all of</w:t>
      </w:r>
      <w:proofErr w:type="gramEnd"/>
      <w:r>
        <w:t xml:space="preserve"> the following areas:</w:t>
      </w:r>
    </w:p>
    <w:p w14:paraId="340C1B0F" w14:textId="77777777" w:rsidR="00157DED" w:rsidRDefault="00157DED" w:rsidP="0086386F">
      <w:pPr>
        <w:pStyle w:val="ListParagraph"/>
        <w:numPr>
          <w:ilvl w:val="0"/>
          <w:numId w:val="10"/>
        </w:numPr>
        <w:ind w:left="709" w:hanging="284"/>
      </w:pPr>
      <w:r>
        <w:t>Commercial</w:t>
      </w:r>
    </w:p>
    <w:p w14:paraId="4F76D388" w14:textId="77777777" w:rsidR="00157DED" w:rsidRDefault="00157DED" w:rsidP="0086386F">
      <w:pPr>
        <w:pStyle w:val="ListParagraph"/>
        <w:numPr>
          <w:ilvl w:val="0"/>
          <w:numId w:val="10"/>
        </w:numPr>
        <w:ind w:left="709" w:hanging="284"/>
      </w:pPr>
      <w:r>
        <w:t xml:space="preserve">Residential </w:t>
      </w:r>
    </w:p>
    <w:p w14:paraId="1C9DF461" w14:textId="05191423" w:rsidR="00157DED" w:rsidRDefault="00157DED" w:rsidP="0086386F">
      <w:pPr>
        <w:pStyle w:val="ListParagraph"/>
        <w:numPr>
          <w:ilvl w:val="0"/>
          <w:numId w:val="10"/>
        </w:numPr>
        <w:ind w:left="709" w:hanging="284"/>
      </w:pPr>
      <w:r>
        <w:t xml:space="preserve">Maintenance </w:t>
      </w:r>
    </w:p>
    <w:p w14:paraId="26C38F28" w14:textId="77777777" w:rsidR="007E318A" w:rsidRDefault="007E318A" w:rsidP="007E318A">
      <w:r>
        <w:t>The Primary activities of this industry are:</w:t>
      </w:r>
    </w:p>
    <w:p w14:paraId="7805DE43" w14:textId="77777777" w:rsidR="007E318A" w:rsidRDefault="007E318A" w:rsidP="007E318A">
      <w:pPr>
        <w:pStyle w:val="NoSpacing"/>
        <w:numPr>
          <w:ilvl w:val="0"/>
          <w:numId w:val="42"/>
        </w:numPr>
      </w:pPr>
      <w:r>
        <w:t>Painting houses</w:t>
      </w:r>
      <w:r>
        <w:tab/>
        <w:t xml:space="preserve"> </w:t>
      </w:r>
      <w:r>
        <w:tab/>
      </w:r>
    </w:p>
    <w:p w14:paraId="3AA99525" w14:textId="56FB0BF0" w:rsidR="007E318A" w:rsidRDefault="007E318A" w:rsidP="007E318A">
      <w:pPr>
        <w:pStyle w:val="NoSpacing"/>
        <w:numPr>
          <w:ilvl w:val="0"/>
          <w:numId w:val="42"/>
        </w:numPr>
      </w:pPr>
      <w:r>
        <w:t>Wallpapering</w:t>
      </w:r>
    </w:p>
    <w:p w14:paraId="0D75A499" w14:textId="77777777" w:rsidR="007E318A" w:rsidRDefault="007E318A" w:rsidP="007E318A">
      <w:pPr>
        <w:pStyle w:val="NoSpacing"/>
        <w:numPr>
          <w:ilvl w:val="0"/>
          <w:numId w:val="42"/>
        </w:numPr>
      </w:pPr>
      <w:r>
        <w:t>Painting buildings or other structures</w:t>
      </w:r>
      <w:r>
        <w:tab/>
        <w:t xml:space="preserve"> </w:t>
      </w:r>
      <w:r>
        <w:tab/>
      </w:r>
    </w:p>
    <w:p w14:paraId="16CB8D40" w14:textId="142C95A5" w:rsidR="007E318A" w:rsidRDefault="007E318A" w:rsidP="007E318A">
      <w:pPr>
        <w:pStyle w:val="NoSpacing"/>
        <w:numPr>
          <w:ilvl w:val="0"/>
          <w:numId w:val="42"/>
        </w:numPr>
      </w:pPr>
      <w:r>
        <w:t>Applying industrial coatings</w:t>
      </w:r>
    </w:p>
    <w:p w14:paraId="0B85CD86" w14:textId="77777777" w:rsidR="007E318A" w:rsidRDefault="007E318A" w:rsidP="007E318A">
      <w:pPr>
        <w:pStyle w:val="NoSpacing"/>
        <w:numPr>
          <w:ilvl w:val="0"/>
          <w:numId w:val="42"/>
        </w:numPr>
      </w:pPr>
      <w:r>
        <w:t>Spray painting buildings or other structures</w:t>
      </w:r>
      <w:r>
        <w:tab/>
        <w:t xml:space="preserve"> </w:t>
      </w:r>
      <w:r>
        <w:tab/>
      </w:r>
    </w:p>
    <w:p w14:paraId="0CB1818E" w14:textId="7316A0FC" w:rsidR="007E318A" w:rsidRDefault="007E318A" w:rsidP="007E318A">
      <w:pPr>
        <w:pStyle w:val="NoSpacing"/>
        <w:numPr>
          <w:ilvl w:val="0"/>
          <w:numId w:val="42"/>
        </w:numPr>
      </w:pPr>
      <w:r>
        <w:t>Removing and preventing graffiti</w:t>
      </w:r>
    </w:p>
    <w:p w14:paraId="6FF8DFE0" w14:textId="77777777" w:rsidR="000E735F" w:rsidRDefault="000E735F" w:rsidP="000E735F">
      <w:pPr>
        <w:pStyle w:val="NoSpacing"/>
      </w:pPr>
    </w:p>
    <w:p w14:paraId="5FD32DC2" w14:textId="0B91B5D2" w:rsidR="000E735F" w:rsidRDefault="000E735F" w:rsidP="000E735F">
      <w:pPr>
        <w:pStyle w:val="NoSpacing"/>
      </w:pPr>
      <w:r>
        <w:t>The major products and services in this industry are:</w:t>
      </w:r>
    </w:p>
    <w:p w14:paraId="438F59D9" w14:textId="77777777" w:rsidR="000E735F" w:rsidRDefault="000E735F" w:rsidP="000E735F">
      <w:pPr>
        <w:pStyle w:val="NoSpacing"/>
      </w:pPr>
    </w:p>
    <w:p w14:paraId="6D76A2A9" w14:textId="1D4ED84C" w:rsidR="000E735F" w:rsidRDefault="000E735F" w:rsidP="000E735F">
      <w:pPr>
        <w:pStyle w:val="NoSpacing"/>
        <w:numPr>
          <w:ilvl w:val="0"/>
          <w:numId w:val="43"/>
        </w:numPr>
      </w:pPr>
      <w:r>
        <w:t>General internal painting services</w:t>
      </w:r>
      <w:r>
        <w:tab/>
        <w:t xml:space="preserve"> </w:t>
      </w:r>
      <w:r>
        <w:tab/>
      </w:r>
    </w:p>
    <w:p w14:paraId="67CAC2F4" w14:textId="77777777" w:rsidR="000E735F" w:rsidRDefault="000E735F" w:rsidP="000E735F">
      <w:pPr>
        <w:pStyle w:val="NoSpacing"/>
        <w:numPr>
          <w:ilvl w:val="0"/>
          <w:numId w:val="43"/>
        </w:numPr>
      </w:pPr>
      <w:r>
        <w:t>General external painting services</w:t>
      </w:r>
    </w:p>
    <w:p w14:paraId="6069ECCF" w14:textId="77777777" w:rsidR="000E735F" w:rsidRDefault="000E735F" w:rsidP="000E735F">
      <w:pPr>
        <w:pStyle w:val="NoSpacing"/>
        <w:numPr>
          <w:ilvl w:val="0"/>
          <w:numId w:val="43"/>
        </w:numPr>
      </w:pPr>
      <w:r>
        <w:t>Specialist decorating services</w:t>
      </w:r>
    </w:p>
    <w:p w14:paraId="462AE8FE" w14:textId="5AAEB782" w:rsidR="007E318A" w:rsidRDefault="000E735F" w:rsidP="000E735F">
      <w:pPr>
        <w:pStyle w:val="NoSpacing"/>
        <w:numPr>
          <w:ilvl w:val="0"/>
          <w:numId w:val="43"/>
        </w:numPr>
      </w:pPr>
      <w:r>
        <w:t>Other coating services</w:t>
      </w:r>
    </w:p>
    <w:p w14:paraId="7BC2EF28" w14:textId="77777777" w:rsidR="000E735F" w:rsidRDefault="000E735F" w:rsidP="000E735F">
      <w:pPr>
        <w:pStyle w:val="NoSpacing"/>
      </w:pPr>
    </w:p>
    <w:p w14:paraId="72B4FD42" w14:textId="77777777" w:rsidR="00157DED" w:rsidRDefault="00157DED" w:rsidP="00157DED">
      <w:r>
        <w:t>The qualification needs to better reflect the holistic work undertaken by painters</w:t>
      </w:r>
      <w:r w:rsidR="00205600">
        <w:t>.</w:t>
      </w:r>
    </w:p>
    <w:p w14:paraId="2464CCE2" w14:textId="77777777" w:rsidR="004D3D3D" w:rsidRDefault="004D3D3D" w:rsidP="004D3D3D">
      <w:pPr>
        <w:pStyle w:val="Heading2"/>
      </w:pPr>
      <w:bookmarkStart w:id="36" w:name="_Toc496460786"/>
      <w:r>
        <w:t>Pathways</w:t>
      </w:r>
      <w:bookmarkEnd w:id="36"/>
    </w:p>
    <w:p w14:paraId="4A14AFFA" w14:textId="77777777" w:rsidR="004D3D3D" w:rsidRDefault="004D3D3D" w:rsidP="004D3D3D">
      <w:r w:rsidRPr="004D3D3D">
        <w:t>Upon completion of this qualification, students can continue their studies with</w:t>
      </w:r>
      <w:r>
        <w:t>:</w:t>
      </w:r>
    </w:p>
    <w:p w14:paraId="16AFD44D" w14:textId="77777777" w:rsidR="004D3D3D" w:rsidRDefault="004D3D3D" w:rsidP="004D3D3D">
      <w:pPr>
        <w:pStyle w:val="ListParagraph"/>
        <w:numPr>
          <w:ilvl w:val="0"/>
          <w:numId w:val="4"/>
        </w:numPr>
      </w:pPr>
      <w:r>
        <w:t>CPC40611 Certificate IV in Building and Construction (Specialist Trades)</w:t>
      </w:r>
    </w:p>
    <w:p w14:paraId="72705693" w14:textId="77777777" w:rsidR="004D3D3D" w:rsidRDefault="004D3D3D" w:rsidP="004D3D3D">
      <w:pPr>
        <w:pStyle w:val="ListParagraph"/>
        <w:numPr>
          <w:ilvl w:val="0"/>
          <w:numId w:val="4"/>
        </w:numPr>
      </w:pPr>
      <w:r>
        <w:t>CPC40408 Certificate IV in Building and Construction (Sales)</w:t>
      </w:r>
    </w:p>
    <w:p w14:paraId="5AB645FA" w14:textId="77777777" w:rsidR="004D3D3D" w:rsidRDefault="004D3D3D" w:rsidP="004D3D3D">
      <w:pPr>
        <w:pStyle w:val="ListParagraph"/>
        <w:numPr>
          <w:ilvl w:val="0"/>
          <w:numId w:val="4"/>
        </w:numPr>
      </w:pPr>
      <w:r>
        <w:t>CPC40708 Certificate IV in Building and Construction</w:t>
      </w:r>
    </w:p>
    <w:p w14:paraId="1DA77C56" w14:textId="77777777" w:rsidR="004D3D3D" w:rsidRDefault="004D3D3D" w:rsidP="004D3D3D">
      <w:pPr>
        <w:pStyle w:val="ListParagraph"/>
        <w:numPr>
          <w:ilvl w:val="0"/>
          <w:numId w:val="4"/>
        </w:numPr>
      </w:pPr>
      <w:r w:rsidRPr="004D3D3D">
        <w:t xml:space="preserve">CPC50308 Diploma of Building and Construction (Management) or </w:t>
      </w:r>
    </w:p>
    <w:p w14:paraId="3D59B407" w14:textId="77777777" w:rsidR="004D3D3D" w:rsidRDefault="004D3D3D" w:rsidP="004D3D3D">
      <w:pPr>
        <w:pStyle w:val="ListParagraph"/>
        <w:numPr>
          <w:ilvl w:val="0"/>
          <w:numId w:val="4"/>
        </w:numPr>
      </w:pPr>
      <w:r w:rsidRPr="004D3D3D">
        <w:t>pursue a qualification in another related field.</w:t>
      </w:r>
    </w:p>
    <w:p w14:paraId="355C40A4" w14:textId="77777777" w:rsidR="008D0F24" w:rsidRDefault="008D0F24" w:rsidP="008068D6">
      <w:pPr>
        <w:pStyle w:val="Heading2"/>
        <w:sectPr w:rsidR="008D0F24" w:rsidSect="00E71F80">
          <w:pgSz w:w="11906" w:h="16838"/>
          <w:pgMar w:top="1440" w:right="1440" w:bottom="1440" w:left="1440" w:header="708" w:footer="708" w:gutter="0"/>
          <w:cols w:space="708"/>
          <w:docGrid w:linePitch="360"/>
        </w:sectPr>
      </w:pPr>
    </w:p>
    <w:p w14:paraId="2F28B416" w14:textId="3532C290" w:rsidR="008068D6" w:rsidRDefault="008068D6" w:rsidP="008068D6">
      <w:pPr>
        <w:pStyle w:val="Heading2"/>
      </w:pPr>
      <w:bookmarkStart w:id="37" w:name="_Toc496460787"/>
      <w:r>
        <w:lastRenderedPageBreak/>
        <w:t>Procedural Information</w:t>
      </w:r>
      <w:bookmarkEnd w:id="34"/>
      <w:bookmarkEnd w:id="37"/>
      <w:r>
        <w:t xml:space="preserve"> </w:t>
      </w:r>
    </w:p>
    <w:p w14:paraId="47918808" w14:textId="77777777" w:rsidR="008068D6" w:rsidRDefault="00D71C8C" w:rsidP="008068D6">
      <w:pPr>
        <w:pStyle w:val="Heading4"/>
        <w:rPr>
          <w:shd w:val="clear" w:color="auto" w:fill="FFFFFF"/>
        </w:rPr>
      </w:pPr>
      <w:bookmarkStart w:id="38" w:name="_Toc490221588"/>
      <w:bookmarkStart w:id="39" w:name="_Toc475972834"/>
      <w:bookmarkStart w:id="40" w:name="_Toc475972930"/>
      <w:r>
        <w:rPr>
          <w:shd w:val="clear" w:color="auto" w:fill="FFFFFF"/>
        </w:rPr>
        <w:t xml:space="preserve">Original </w:t>
      </w:r>
      <w:r w:rsidR="008068D6">
        <w:rPr>
          <w:shd w:val="clear" w:color="auto" w:fill="FFFFFF"/>
        </w:rPr>
        <w:t>Activity Order</w:t>
      </w:r>
      <w:bookmarkEnd w:id="38"/>
    </w:p>
    <w:tbl>
      <w:tblPr>
        <w:tblStyle w:val="GridTable4-Accent31"/>
        <w:tblW w:w="4925" w:type="pct"/>
        <w:tblLook w:val="04A0" w:firstRow="1" w:lastRow="0" w:firstColumn="1" w:lastColumn="0" w:noHBand="0" w:noVBand="1"/>
      </w:tblPr>
      <w:tblGrid>
        <w:gridCol w:w="2547"/>
        <w:gridCol w:w="1135"/>
        <w:gridCol w:w="2194"/>
        <w:gridCol w:w="1366"/>
        <w:gridCol w:w="1639"/>
      </w:tblGrid>
      <w:tr w:rsidR="008068D6" w:rsidRPr="00C240F3" w14:paraId="36BD8A57" w14:textId="77777777" w:rsidTr="008D0F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4" w:type="pct"/>
            <w:vAlign w:val="center"/>
          </w:tcPr>
          <w:p w14:paraId="351C8528" w14:textId="77777777" w:rsidR="008068D6" w:rsidRPr="00C240F3" w:rsidRDefault="008068D6" w:rsidP="00205600">
            <w:pPr>
              <w:keepNext/>
              <w:jc w:val="center"/>
              <w:rPr>
                <w:sz w:val="20"/>
              </w:rPr>
            </w:pPr>
            <w:r w:rsidRPr="00C240F3">
              <w:rPr>
                <w:sz w:val="20"/>
              </w:rPr>
              <w:t>Activity Order No.</w:t>
            </w:r>
          </w:p>
        </w:tc>
        <w:tc>
          <w:tcPr>
            <w:tcW w:w="639" w:type="pct"/>
            <w:vAlign w:val="center"/>
          </w:tcPr>
          <w:p w14:paraId="222D18BD" w14:textId="77777777" w:rsidR="008068D6" w:rsidRPr="00C240F3" w:rsidRDefault="008068D6" w:rsidP="00205600">
            <w:pPr>
              <w:keepNext/>
              <w:jc w:val="center"/>
              <w:cnfStyle w:val="100000000000" w:firstRow="1" w:lastRow="0" w:firstColumn="0" w:lastColumn="0" w:oddVBand="0" w:evenVBand="0" w:oddHBand="0" w:evenHBand="0" w:firstRowFirstColumn="0" w:firstRowLastColumn="0" w:lastRowFirstColumn="0" w:lastRowLastColumn="0"/>
              <w:rPr>
                <w:sz w:val="20"/>
              </w:rPr>
            </w:pPr>
            <w:r w:rsidRPr="00C240F3">
              <w:rPr>
                <w:sz w:val="20"/>
              </w:rPr>
              <w:t>Training Package</w:t>
            </w:r>
          </w:p>
        </w:tc>
        <w:tc>
          <w:tcPr>
            <w:tcW w:w="1235" w:type="pct"/>
            <w:vAlign w:val="center"/>
          </w:tcPr>
          <w:p w14:paraId="371ACFE5" w14:textId="77777777" w:rsidR="008068D6" w:rsidRPr="00C240F3" w:rsidRDefault="008068D6" w:rsidP="00205600">
            <w:pPr>
              <w:keepNext/>
              <w:jc w:val="center"/>
              <w:cnfStyle w:val="100000000000" w:firstRow="1" w:lastRow="0" w:firstColumn="0" w:lastColumn="0" w:oddVBand="0" w:evenVBand="0" w:oddHBand="0" w:evenHBand="0" w:firstRowFirstColumn="0" w:firstRowLastColumn="0" w:lastRowFirstColumn="0" w:lastRowLastColumn="0"/>
              <w:rPr>
                <w:sz w:val="20"/>
              </w:rPr>
            </w:pPr>
            <w:r w:rsidRPr="00C240F3">
              <w:rPr>
                <w:sz w:val="20"/>
              </w:rPr>
              <w:t>Description</w:t>
            </w:r>
          </w:p>
        </w:tc>
        <w:tc>
          <w:tcPr>
            <w:tcW w:w="769" w:type="pct"/>
            <w:vAlign w:val="center"/>
          </w:tcPr>
          <w:p w14:paraId="1AA657BD" w14:textId="77777777" w:rsidR="008068D6" w:rsidRPr="00C240F3" w:rsidRDefault="008068D6" w:rsidP="00205600">
            <w:pPr>
              <w:keepNext/>
              <w:jc w:val="center"/>
              <w:cnfStyle w:val="100000000000" w:firstRow="1" w:lastRow="0" w:firstColumn="0" w:lastColumn="0" w:oddVBand="0" w:evenVBand="0" w:oddHBand="0" w:evenHBand="0" w:firstRowFirstColumn="0" w:firstRowLastColumn="0" w:lastRowFirstColumn="0" w:lastRowLastColumn="0"/>
              <w:rPr>
                <w:sz w:val="20"/>
              </w:rPr>
            </w:pPr>
            <w:r w:rsidRPr="00C240F3">
              <w:rPr>
                <w:sz w:val="20"/>
              </w:rPr>
              <w:t>No. Of Units</w:t>
            </w:r>
          </w:p>
        </w:tc>
        <w:tc>
          <w:tcPr>
            <w:tcW w:w="923" w:type="pct"/>
            <w:vAlign w:val="center"/>
          </w:tcPr>
          <w:p w14:paraId="7A80B570" w14:textId="77777777" w:rsidR="008068D6" w:rsidRPr="00C240F3" w:rsidRDefault="008068D6" w:rsidP="00205600">
            <w:pPr>
              <w:keepNext/>
              <w:jc w:val="center"/>
              <w:cnfStyle w:val="100000000000" w:firstRow="1" w:lastRow="0" w:firstColumn="0" w:lastColumn="0" w:oddVBand="0" w:evenVBand="0" w:oddHBand="0" w:evenHBand="0" w:firstRowFirstColumn="0" w:firstRowLastColumn="0" w:lastRowFirstColumn="0" w:lastRowLastColumn="0"/>
              <w:rPr>
                <w:sz w:val="20"/>
              </w:rPr>
            </w:pPr>
            <w:r w:rsidRPr="00C240F3">
              <w:rPr>
                <w:sz w:val="20"/>
              </w:rPr>
              <w:t>No. Of Qualifications</w:t>
            </w:r>
          </w:p>
        </w:tc>
      </w:tr>
      <w:tr w:rsidR="008D0F24" w:rsidRPr="00C240F3" w14:paraId="02B58359" w14:textId="77777777" w:rsidTr="008D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pct"/>
            <w:shd w:val="clear" w:color="auto" w:fill="D9D9D9" w:themeFill="background1" w:themeFillShade="D9"/>
            <w:vAlign w:val="center"/>
          </w:tcPr>
          <w:p w14:paraId="207100CD" w14:textId="77777777" w:rsidR="008068D6" w:rsidRPr="00FD24CA" w:rsidRDefault="00FD24CA" w:rsidP="00FD24CA">
            <w:pPr>
              <w:rPr>
                <w:b w:val="0"/>
                <w:sz w:val="20"/>
              </w:rPr>
            </w:pPr>
            <w:r w:rsidRPr="00FD24CA">
              <w:rPr>
                <w:b w:val="0"/>
                <w:sz w:val="20"/>
              </w:rPr>
              <w:t>CPC AA/2015-2016-002</w:t>
            </w:r>
          </w:p>
        </w:tc>
        <w:tc>
          <w:tcPr>
            <w:tcW w:w="639" w:type="pct"/>
            <w:shd w:val="clear" w:color="auto" w:fill="D9D9D9" w:themeFill="background1" w:themeFillShade="D9"/>
            <w:vAlign w:val="center"/>
          </w:tcPr>
          <w:p w14:paraId="2A38801B" w14:textId="77777777" w:rsidR="008068D6" w:rsidRPr="00FD24CA" w:rsidRDefault="008068D6" w:rsidP="00205600">
            <w:pPr>
              <w:keepNext/>
              <w:jc w:val="center"/>
              <w:cnfStyle w:val="000000100000" w:firstRow="0" w:lastRow="0" w:firstColumn="0" w:lastColumn="0" w:oddVBand="0" w:evenVBand="0" w:oddHBand="1" w:evenHBand="0" w:firstRowFirstColumn="0" w:firstRowLastColumn="0" w:lastRowFirstColumn="0" w:lastRowLastColumn="0"/>
              <w:rPr>
                <w:sz w:val="20"/>
              </w:rPr>
            </w:pPr>
            <w:r w:rsidRPr="00FD24CA">
              <w:rPr>
                <w:sz w:val="20"/>
              </w:rPr>
              <w:t>CPC08</w:t>
            </w:r>
          </w:p>
        </w:tc>
        <w:tc>
          <w:tcPr>
            <w:tcW w:w="1235" w:type="pct"/>
            <w:shd w:val="clear" w:color="auto" w:fill="D9D9D9" w:themeFill="background1" w:themeFillShade="D9"/>
            <w:vAlign w:val="center"/>
          </w:tcPr>
          <w:p w14:paraId="54975829" w14:textId="1E627E0B" w:rsidR="008068D6" w:rsidRPr="00FD24CA" w:rsidRDefault="00E11007" w:rsidP="00205600">
            <w:pPr>
              <w:keepNext/>
              <w:cnfStyle w:val="000000100000" w:firstRow="0" w:lastRow="0" w:firstColumn="0" w:lastColumn="0" w:oddVBand="0" w:evenVBand="0" w:oddHBand="1" w:evenHBand="0" w:firstRowFirstColumn="0" w:firstRowLastColumn="0" w:lastRowFirstColumn="0" w:lastRowLastColumn="0"/>
              <w:rPr>
                <w:sz w:val="20"/>
              </w:rPr>
            </w:pPr>
            <w:r>
              <w:rPr>
                <w:sz w:val="20"/>
              </w:rPr>
              <w:t xml:space="preserve">Transition </w:t>
            </w:r>
            <w:r w:rsidR="008068D6" w:rsidRPr="00FD24CA">
              <w:rPr>
                <w:sz w:val="20"/>
              </w:rPr>
              <w:t xml:space="preserve">CPC08 units of competency to the </w:t>
            </w:r>
            <w:r w:rsidR="008068D6" w:rsidRPr="00FD24CA">
              <w:rPr>
                <w:i/>
                <w:sz w:val="20"/>
              </w:rPr>
              <w:t>2012 Standards for Training Package.</w:t>
            </w:r>
          </w:p>
        </w:tc>
        <w:tc>
          <w:tcPr>
            <w:tcW w:w="769" w:type="pct"/>
            <w:shd w:val="clear" w:color="auto" w:fill="D9D9D9" w:themeFill="background1" w:themeFillShade="D9"/>
            <w:vAlign w:val="center"/>
          </w:tcPr>
          <w:p w14:paraId="4D1DFA41" w14:textId="77777777" w:rsidR="008068D6" w:rsidRPr="00FD24CA" w:rsidRDefault="00013D78" w:rsidP="00205600">
            <w:pPr>
              <w:keepNext/>
              <w:jc w:val="center"/>
              <w:cnfStyle w:val="000000100000" w:firstRow="0" w:lastRow="0" w:firstColumn="0" w:lastColumn="0" w:oddVBand="0" w:evenVBand="0" w:oddHBand="1" w:evenHBand="0" w:firstRowFirstColumn="0" w:firstRowLastColumn="0" w:lastRowFirstColumn="0" w:lastRowLastColumn="0"/>
              <w:rPr>
                <w:sz w:val="20"/>
              </w:rPr>
            </w:pPr>
            <w:r>
              <w:rPr>
                <w:sz w:val="20"/>
              </w:rPr>
              <w:t>17</w:t>
            </w:r>
          </w:p>
        </w:tc>
        <w:tc>
          <w:tcPr>
            <w:tcW w:w="923" w:type="pct"/>
            <w:shd w:val="clear" w:color="auto" w:fill="D9D9D9" w:themeFill="background1" w:themeFillShade="D9"/>
            <w:vAlign w:val="center"/>
          </w:tcPr>
          <w:p w14:paraId="121675E5" w14:textId="77777777" w:rsidR="008068D6" w:rsidRPr="00C240F3" w:rsidRDefault="008068D6" w:rsidP="00205600">
            <w:pPr>
              <w:keepNext/>
              <w:jc w:val="center"/>
              <w:cnfStyle w:val="000000100000" w:firstRow="0" w:lastRow="0" w:firstColumn="0" w:lastColumn="0" w:oddVBand="0" w:evenVBand="0" w:oddHBand="1" w:evenHBand="0" w:firstRowFirstColumn="0" w:firstRowLastColumn="0" w:lastRowFirstColumn="0" w:lastRowLastColumn="0"/>
              <w:rPr>
                <w:sz w:val="20"/>
              </w:rPr>
            </w:pPr>
            <w:proofErr w:type="gramStart"/>
            <w:r w:rsidRPr="00FD24CA">
              <w:rPr>
                <w:sz w:val="20"/>
              </w:rPr>
              <w:t>Nil</w:t>
            </w:r>
            <w:proofErr w:type="gramEnd"/>
          </w:p>
        </w:tc>
      </w:tr>
    </w:tbl>
    <w:p w14:paraId="087CA6CE" w14:textId="77777777" w:rsidR="008068D6" w:rsidRDefault="008068D6" w:rsidP="008068D6"/>
    <w:tbl>
      <w:tblPr>
        <w:tblStyle w:val="GridTable4-Accent31"/>
        <w:tblW w:w="9216" w:type="dxa"/>
        <w:tblLook w:val="04A0" w:firstRow="1" w:lastRow="0" w:firstColumn="1" w:lastColumn="0" w:noHBand="0" w:noVBand="1"/>
      </w:tblPr>
      <w:tblGrid>
        <w:gridCol w:w="1455"/>
        <w:gridCol w:w="7761"/>
      </w:tblGrid>
      <w:tr w:rsidR="00E71F80" w:rsidRPr="00BB1CCE" w14:paraId="28264430" w14:textId="77777777" w:rsidTr="0037794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hideMark/>
          </w:tcPr>
          <w:p w14:paraId="3117EC87" w14:textId="77777777" w:rsidR="00E71F80" w:rsidRPr="00BB1CCE" w:rsidRDefault="00E71F80" w:rsidP="00205600">
            <w:pPr>
              <w:rPr>
                <w:rFonts w:eastAsia="Times New Roman" w:cs="Times New Roman"/>
                <w:lang w:eastAsia="en-AU"/>
              </w:rPr>
            </w:pPr>
            <w:r w:rsidRPr="00181E17">
              <w:rPr>
                <w:rFonts w:eastAsia="Times New Roman" w:cs="Times New Roman"/>
                <w:lang w:eastAsia="en-AU"/>
              </w:rPr>
              <w:t xml:space="preserve">Code </w:t>
            </w:r>
          </w:p>
        </w:tc>
        <w:tc>
          <w:tcPr>
            <w:tcW w:w="7761" w:type="dxa"/>
            <w:noWrap/>
            <w:hideMark/>
          </w:tcPr>
          <w:p w14:paraId="7DD9D0A5" w14:textId="77777777" w:rsidR="00E71F80" w:rsidRPr="00BB1CCE" w:rsidRDefault="00E71F80" w:rsidP="00205600">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sidRPr="00181E17">
              <w:rPr>
                <w:rFonts w:eastAsia="Times New Roman" w:cs="Times New Roman"/>
                <w:lang w:eastAsia="en-AU"/>
              </w:rPr>
              <w:t>Title</w:t>
            </w:r>
          </w:p>
        </w:tc>
      </w:tr>
      <w:tr w:rsidR="00B25778" w:rsidRPr="00BB1CCE" w14:paraId="5248E326" w14:textId="77777777" w:rsidTr="0037794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5F12B96E" w14:textId="77777777" w:rsidR="00B25778" w:rsidRPr="0060514C" w:rsidRDefault="00B25778" w:rsidP="00B25778">
            <w:pPr>
              <w:rPr>
                <w:rFonts w:eastAsia="Times New Roman" w:cs="Times New Roman"/>
                <w:b w:val="0"/>
                <w:bCs w:val="0"/>
                <w:color w:val="000000"/>
                <w:lang w:eastAsia="en-AU"/>
              </w:rPr>
            </w:pPr>
            <w:r w:rsidRPr="0060514C">
              <w:rPr>
                <w:rFonts w:eastAsia="Times New Roman" w:cs="Times New Roman"/>
                <w:color w:val="000000"/>
                <w:lang w:eastAsia="en-AU"/>
              </w:rPr>
              <w:t>Code</w:t>
            </w:r>
          </w:p>
        </w:tc>
        <w:tc>
          <w:tcPr>
            <w:tcW w:w="7761" w:type="dxa"/>
            <w:noWrap/>
            <w:vAlign w:val="bottom"/>
          </w:tcPr>
          <w:p w14:paraId="6C60A28D" w14:textId="77777777" w:rsidR="00B25778" w:rsidRPr="0060514C" w:rsidRDefault="00B25778" w:rsidP="00B25778">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eastAsia="en-AU"/>
              </w:rPr>
            </w:pPr>
            <w:r w:rsidRPr="0060514C">
              <w:rPr>
                <w:rFonts w:eastAsia="Times New Roman" w:cs="Times New Roman"/>
                <w:b/>
                <w:bCs/>
                <w:color w:val="000000"/>
                <w:lang w:eastAsia="en-AU"/>
              </w:rPr>
              <w:t>Title</w:t>
            </w:r>
          </w:p>
        </w:tc>
      </w:tr>
      <w:tr w:rsidR="00B25778" w:rsidRPr="00BB1CCE" w14:paraId="0E8F34ED" w14:textId="77777777" w:rsidTr="0037794A">
        <w:trPr>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513F003F"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CPCCPD2011</w:t>
            </w:r>
          </w:p>
        </w:tc>
        <w:tc>
          <w:tcPr>
            <w:tcW w:w="7761" w:type="dxa"/>
            <w:noWrap/>
            <w:vAlign w:val="bottom"/>
          </w:tcPr>
          <w:p w14:paraId="78F949C0" w14:textId="77777777" w:rsidR="00B25778" w:rsidRPr="0060514C" w:rsidRDefault="00B25778" w:rsidP="00B257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Handle painting and decorating materials</w:t>
            </w:r>
          </w:p>
        </w:tc>
      </w:tr>
      <w:tr w:rsidR="00B25778" w:rsidRPr="00BB1CCE" w14:paraId="6D46A0A4" w14:textId="77777777" w:rsidTr="0037794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26EE2A69"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CPCCPD2012</w:t>
            </w:r>
          </w:p>
        </w:tc>
        <w:tc>
          <w:tcPr>
            <w:tcW w:w="7761" w:type="dxa"/>
            <w:noWrap/>
            <w:vAlign w:val="bottom"/>
          </w:tcPr>
          <w:p w14:paraId="19DDCE78" w14:textId="77777777" w:rsidR="00B25778" w:rsidRPr="0060514C" w:rsidRDefault="00B25778" w:rsidP="00B257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Use painting and decorating tools and equipment</w:t>
            </w:r>
          </w:p>
        </w:tc>
      </w:tr>
      <w:tr w:rsidR="00B25778" w:rsidRPr="00BB1CCE" w14:paraId="5412EF4F" w14:textId="77777777" w:rsidTr="0037794A">
        <w:trPr>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498DA59E"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CPCCPD2013</w:t>
            </w:r>
          </w:p>
        </w:tc>
        <w:tc>
          <w:tcPr>
            <w:tcW w:w="7761" w:type="dxa"/>
            <w:noWrap/>
            <w:vAlign w:val="bottom"/>
          </w:tcPr>
          <w:p w14:paraId="5A1789EB" w14:textId="77777777" w:rsidR="00B25778" w:rsidRPr="0060514C" w:rsidRDefault="00B25778" w:rsidP="00B257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Remove and replace doors and door and window components</w:t>
            </w:r>
          </w:p>
        </w:tc>
      </w:tr>
      <w:tr w:rsidR="00B25778" w:rsidRPr="00BB1CCE" w14:paraId="19448E96" w14:textId="77777777" w:rsidTr="0037794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75739BF6"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CPCCPD3021</w:t>
            </w:r>
          </w:p>
        </w:tc>
        <w:tc>
          <w:tcPr>
            <w:tcW w:w="7761" w:type="dxa"/>
            <w:noWrap/>
            <w:vAlign w:val="bottom"/>
          </w:tcPr>
          <w:p w14:paraId="6F332CA4" w14:textId="77777777" w:rsidR="00B25778" w:rsidRPr="0060514C" w:rsidRDefault="00B25778" w:rsidP="00B257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Prepare surfaces for painting</w:t>
            </w:r>
          </w:p>
        </w:tc>
      </w:tr>
      <w:tr w:rsidR="00B25778" w:rsidRPr="00BB1CCE" w14:paraId="0031B14F" w14:textId="77777777" w:rsidTr="0037794A">
        <w:trPr>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761EBF78"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CPCCPD3022</w:t>
            </w:r>
          </w:p>
        </w:tc>
        <w:tc>
          <w:tcPr>
            <w:tcW w:w="7761" w:type="dxa"/>
            <w:noWrap/>
            <w:vAlign w:val="bottom"/>
          </w:tcPr>
          <w:p w14:paraId="14A45A87" w14:textId="77777777" w:rsidR="00B25778" w:rsidRPr="0060514C" w:rsidRDefault="00B25778" w:rsidP="00B257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Apply paint by brush and roller</w:t>
            </w:r>
          </w:p>
        </w:tc>
      </w:tr>
      <w:tr w:rsidR="00B25778" w:rsidRPr="00BB1CCE" w14:paraId="08F281FD" w14:textId="77777777" w:rsidTr="0037794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0D6BC306"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CPCCPD3023</w:t>
            </w:r>
          </w:p>
        </w:tc>
        <w:tc>
          <w:tcPr>
            <w:tcW w:w="7761" w:type="dxa"/>
            <w:noWrap/>
            <w:vAlign w:val="bottom"/>
          </w:tcPr>
          <w:p w14:paraId="7A256DCE" w14:textId="77777777" w:rsidR="00B25778" w:rsidRPr="0060514C" w:rsidRDefault="00B25778" w:rsidP="00B257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 xml:space="preserve">Apply texture coat paint finishes by brush, </w:t>
            </w:r>
            <w:proofErr w:type="gramStart"/>
            <w:r w:rsidRPr="0060514C">
              <w:rPr>
                <w:rFonts w:eastAsia="Times New Roman" w:cs="Times New Roman"/>
                <w:color w:val="000000"/>
                <w:lang w:eastAsia="en-AU"/>
              </w:rPr>
              <w:t>roller</w:t>
            </w:r>
            <w:proofErr w:type="gramEnd"/>
            <w:r w:rsidRPr="0060514C">
              <w:rPr>
                <w:rFonts w:eastAsia="Times New Roman" w:cs="Times New Roman"/>
                <w:color w:val="000000"/>
                <w:lang w:eastAsia="en-AU"/>
              </w:rPr>
              <w:t xml:space="preserve"> and spray</w:t>
            </w:r>
          </w:p>
        </w:tc>
      </w:tr>
      <w:tr w:rsidR="00B25778" w:rsidRPr="00BB1CCE" w14:paraId="7899FF13" w14:textId="77777777" w:rsidTr="0037794A">
        <w:trPr>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5A71803B"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CPCCPD3024</w:t>
            </w:r>
          </w:p>
        </w:tc>
        <w:tc>
          <w:tcPr>
            <w:tcW w:w="7761" w:type="dxa"/>
            <w:noWrap/>
            <w:vAlign w:val="bottom"/>
          </w:tcPr>
          <w:p w14:paraId="4F512F8C" w14:textId="77777777" w:rsidR="00B25778" w:rsidRPr="0060514C" w:rsidRDefault="00B25778" w:rsidP="00B257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Apply paint by spray</w:t>
            </w:r>
          </w:p>
        </w:tc>
      </w:tr>
      <w:tr w:rsidR="00B25778" w:rsidRPr="00BB1CCE" w14:paraId="4FC3191A" w14:textId="77777777" w:rsidTr="0037794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46DB6759"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CPCCPD3025</w:t>
            </w:r>
          </w:p>
        </w:tc>
        <w:tc>
          <w:tcPr>
            <w:tcW w:w="7761" w:type="dxa"/>
            <w:noWrap/>
            <w:vAlign w:val="bottom"/>
          </w:tcPr>
          <w:p w14:paraId="6A18AD74" w14:textId="77777777" w:rsidR="00B25778" w:rsidRPr="0060514C" w:rsidRDefault="00B25778" w:rsidP="00B257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 xml:space="preserve">Match specified paint </w:t>
            </w:r>
            <w:proofErr w:type="spellStart"/>
            <w:r w:rsidRPr="0060514C">
              <w:rPr>
                <w:rFonts w:eastAsia="Times New Roman" w:cs="Times New Roman"/>
                <w:color w:val="000000"/>
                <w:lang w:eastAsia="en-AU"/>
              </w:rPr>
              <w:t>colour</w:t>
            </w:r>
            <w:proofErr w:type="spellEnd"/>
          </w:p>
        </w:tc>
      </w:tr>
      <w:tr w:rsidR="00B25778" w:rsidRPr="00BB1CCE" w14:paraId="11A6F7A8" w14:textId="77777777" w:rsidTr="0037794A">
        <w:trPr>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0AA6CBBF"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CPCCPD3026</w:t>
            </w:r>
          </w:p>
        </w:tc>
        <w:tc>
          <w:tcPr>
            <w:tcW w:w="7761" w:type="dxa"/>
            <w:noWrap/>
            <w:vAlign w:val="bottom"/>
          </w:tcPr>
          <w:p w14:paraId="3BE314EF" w14:textId="77777777" w:rsidR="00B25778" w:rsidRPr="0060514C" w:rsidRDefault="00B25778" w:rsidP="00B257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Apply stains and clear timber finishes</w:t>
            </w:r>
          </w:p>
        </w:tc>
      </w:tr>
      <w:tr w:rsidR="00B25778" w:rsidRPr="00BB1CCE" w14:paraId="52C84D40" w14:textId="77777777" w:rsidTr="0037794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4D77B1E9"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CPCCPD3027</w:t>
            </w:r>
          </w:p>
        </w:tc>
        <w:tc>
          <w:tcPr>
            <w:tcW w:w="7761" w:type="dxa"/>
            <w:noWrap/>
            <w:vAlign w:val="bottom"/>
          </w:tcPr>
          <w:p w14:paraId="03F1153C" w14:textId="77777777" w:rsidR="00B25778" w:rsidRPr="0060514C" w:rsidRDefault="00B25778" w:rsidP="00B257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Apply wallpaper</w:t>
            </w:r>
          </w:p>
        </w:tc>
      </w:tr>
      <w:tr w:rsidR="00B25778" w:rsidRPr="00BB1CCE" w14:paraId="2F168962" w14:textId="77777777" w:rsidTr="0037794A">
        <w:trPr>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694881C4"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CPCCPD3028</w:t>
            </w:r>
          </w:p>
        </w:tc>
        <w:tc>
          <w:tcPr>
            <w:tcW w:w="7761" w:type="dxa"/>
            <w:noWrap/>
            <w:vAlign w:val="bottom"/>
          </w:tcPr>
          <w:p w14:paraId="1DA71D2A" w14:textId="77777777" w:rsidR="00B25778" w:rsidRPr="0060514C" w:rsidRDefault="00B25778" w:rsidP="00B257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Apply decorative paint finishes</w:t>
            </w:r>
          </w:p>
        </w:tc>
      </w:tr>
      <w:tr w:rsidR="00B25778" w:rsidRPr="00BB1CCE" w14:paraId="542BA6BB" w14:textId="77777777" w:rsidTr="0037794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0EA14620"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CPCCPD3029</w:t>
            </w:r>
          </w:p>
        </w:tc>
        <w:tc>
          <w:tcPr>
            <w:tcW w:w="7761" w:type="dxa"/>
            <w:noWrap/>
            <w:vAlign w:val="bottom"/>
          </w:tcPr>
          <w:p w14:paraId="5C0C0514" w14:textId="77777777" w:rsidR="00B25778" w:rsidRPr="0060514C" w:rsidRDefault="00B25778" w:rsidP="00B257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Remove graffiti and apply protective coatings</w:t>
            </w:r>
          </w:p>
        </w:tc>
      </w:tr>
      <w:tr w:rsidR="00B25778" w:rsidRPr="00BB1CCE" w14:paraId="7BC38D00" w14:textId="77777777" w:rsidTr="0037794A">
        <w:trPr>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29A8454D"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CPCCPD3030</w:t>
            </w:r>
          </w:p>
        </w:tc>
        <w:tc>
          <w:tcPr>
            <w:tcW w:w="7761" w:type="dxa"/>
            <w:noWrap/>
            <w:vAlign w:val="bottom"/>
          </w:tcPr>
          <w:p w14:paraId="37776DFE" w14:textId="77777777" w:rsidR="00B25778" w:rsidRPr="0060514C" w:rsidRDefault="00B25778" w:rsidP="00B257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Apply protective paint coating systems</w:t>
            </w:r>
          </w:p>
        </w:tc>
      </w:tr>
      <w:tr w:rsidR="00B25778" w:rsidRPr="00BB1CCE" w14:paraId="1FB38DAD" w14:textId="77777777" w:rsidTr="0037794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18053024"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CPCCPD3031</w:t>
            </w:r>
          </w:p>
        </w:tc>
        <w:tc>
          <w:tcPr>
            <w:tcW w:w="7761" w:type="dxa"/>
            <w:noWrap/>
            <w:vAlign w:val="bottom"/>
          </w:tcPr>
          <w:p w14:paraId="1A14815D" w14:textId="77777777" w:rsidR="00B25778" w:rsidRPr="0060514C" w:rsidRDefault="00B25778" w:rsidP="00B257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Implement safe lead paint and asbestos work practices in the painting industry</w:t>
            </w:r>
          </w:p>
        </w:tc>
      </w:tr>
      <w:tr w:rsidR="00B25778" w:rsidRPr="00BB1CCE" w14:paraId="5A782934" w14:textId="77777777" w:rsidTr="0037794A">
        <w:trPr>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464EE4DD"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CPCCPD3032</w:t>
            </w:r>
          </w:p>
        </w:tc>
        <w:tc>
          <w:tcPr>
            <w:tcW w:w="7761" w:type="dxa"/>
            <w:noWrap/>
            <w:vAlign w:val="bottom"/>
          </w:tcPr>
          <w:p w14:paraId="5BAEC2E8" w14:textId="77777777" w:rsidR="00B25778" w:rsidRPr="0060514C" w:rsidRDefault="00B25778" w:rsidP="00B2577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Apply advanced wallpaper techniques</w:t>
            </w:r>
          </w:p>
        </w:tc>
      </w:tr>
      <w:tr w:rsidR="00B25778" w:rsidRPr="00BB1CCE" w14:paraId="32E25A70" w14:textId="77777777" w:rsidTr="0037794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5" w:type="dxa"/>
            <w:noWrap/>
            <w:vAlign w:val="bottom"/>
          </w:tcPr>
          <w:p w14:paraId="4ED19172" w14:textId="77777777" w:rsidR="00B25778" w:rsidRPr="00B25778" w:rsidRDefault="00B25778" w:rsidP="00B25778">
            <w:pPr>
              <w:rPr>
                <w:rFonts w:eastAsia="Times New Roman" w:cs="Times New Roman"/>
                <w:b w:val="0"/>
                <w:color w:val="000000"/>
                <w:lang w:eastAsia="en-AU"/>
              </w:rPr>
            </w:pPr>
            <w:r w:rsidRPr="00B25778">
              <w:rPr>
                <w:rFonts w:eastAsia="Times New Roman" w:cs="Times New Roman"/>
                <w:b w:val="0"/>
                <w:color w:val="000000"/>
                <w:lang w:eastAsia="en-AU"/>
              </w:rPr>
              <w:t>CPCCPD3033</w:t>
            </w:r>
          </w:p>
        </w:tc>
        <w:tc>
          <w:tcPr>
            <w:tcW w:w="7761" w:type="dxa"/>
            <w:noWrap/>
            <w:vAlign w:val="bottom"/>
          </w:tcPr>
          <w:p w14:paraId="58C5AF49" w14:textId="77777777" w:rsidR="00B25778" w:rsidRPr="0060514C" w:rsidRDefault="00B25778" w:rsidP="00B2577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60514C">
              <w:rPr>
                <w:rFonts w:eastAsia="Times New Roman" w:cs="Times New Roman"/>
                <w:color w:val="000000"/>
                <w:lang w:eastAsia="en-AU"/>
              </w:rPr>
              <w:t>Apply intumescent coatings</w:t>
            </w:r>
          </w:p>
        </w:tc>
      </w:tr>
      <w:tr w:rsidR="00C8224F" w:rsidRPr="00BB1CCE" w14:paraId="3D529EFA" w14:textId="77777777" w:rsidTr="0037794A">
        <w:trPr>
          <w:trHeight w:val="391"/>
        </w:trPr>
        <w:tc>
          <w:tcPr>
            <w:cnfStyle w:val="001000000000" w:firstRow="0" w:lastRow="0" w:firstColumn="1" w:lastColumn="0" w:oddVBand="0" w:evenVBand="0" w:oddHBand="0" w:evenHBand="0" w:firstRowFirstColumn="0" w:firstRowLastColumn="0" w:lastRowFirstColumn="0" w:lastRowLastColumn="0"/>
            <w:tcW w:w="1455" w:type="dxa"/>
            <w:noWrap/>
          </w:tcPr>
          <w:p w14:paraId="7C965FFC" w14:textId="53684018" w:rsidR="00C8224F" w:rsidRPr="00C8224F" w:rsidRDefault="00C8224F" w:rsidP="00C8224F">
            <w:pPr>
              <w:rPr>
                <w:rFonts w:eastAsia="Times New Roman" w:cs="Times New Roman"/>
                <w:b w:val="0"/>
                <w:color w:val="000000"/>
                <w:lang w:eastAsia="en-AU"/>
              </w:rPr>
            </w:pPr>
            <w:r w:rsidRPr="00C8224F">
              <w:rPr>
                <w:b w:val="0"/>
              </w:rPr>
              <w:t>CPCCPD3034</w:t>
            </w:r>
          </w:p>
        </w:tc>
        <w:tc>
          <w:tcPr>
            <w:tcW w:w="7761" w:type="dxa"/>
            <w:noWrap/>
          </w:tcPr>
          <w:p w14:paraId="2FED4A92" w14:textId="1B9B0AF6" w:rsidR="00C8224F" w:rsidRPr="0060514C" w:rsidRDefault="00C8224F" w:rsidP="00C8224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124580">
              <w:t>Apply advanced decorative paint finishes</w:t>
            </w:r>
          </w:p>
        </w:tc>
      </w:tr>
    </w:tbl>
    <w:p w14:paraId="30B44924" w14:textId="77777777" w:rsidR="00E71F80" w:rsidRPr="001F34B0" w:rsidRDefault="00E71F80" w:rsidP="008068D6"/>
    <w:bookmarkEnd w:id="39"/>
    <w:bookmarkEnd w:id="40"/>
    <w:p w14:paraId="0F66A460" w14:textId="77777777" w:rsidR="00E71F80" w:rsidRDefault="00E71F80" w:rsidP="00922301">
      <w:pPr>
        <w:pStyle w:val="Heading2"/>
      </w:pPr>
    </w:p>
    <w:p w14:paraId="6FBCB67D" w14:textId="77777777" w:rsidR="00C4242F" w:rsidRDefault="00C4242F" w:rsidP="00C4242F">
      <w:pPr>
        <w:pStyle w:val="Heading2"/>
        <w:sectPr w:rsidR="00C4242F" w:rsidSect="00E71F80">
          <w:pgSz w:w="11906" w:h="16838"/>
          <w:pgMar w:top="1440" w:right="1440" w:bottom="1440" w:left="1440" w:header="708" w:footer="708" w:gutter="0"/>
          <w:cols w:space="708"/>
          <w:docGrid w:linePitch="360"/>
        </w:sectPr>
      </w:pPr>
      <w:bookmarkStart w:id="41" w:name="_Toc482092912"/>
      <w:bookmarkStart w:id="42" w:name="_Toc485818128"/>
      <w:bookmarkStart w:id="43" w:name="_Toc490221597"/>
    </w:p>
    <w:p w14:paraId="0A716A37" w14:textId="02CA3A4C" w:rsidR="001F419D" w:rsidRDefault="001F419D" w:rsidP="001F419D">
      <w:pPr>
        <w:pStyle w:val="Heading1"/>
        <w:spacing w:before="0"/>
      </w:pPr>
      <w:bookmarkStart w:id="44" w:name="_Toc494717764"/>
      <w:bookmarkStart w:id="45" w:name="_Toc496460788"/>
      <w:bookmarkEnd w:id="41"/>
      <w:bookmarkEnd w:id="42"/>
      <w:bookmarkEnd w:id="43"/>
      <w:r>
        <w:lastRenderedPageBreak/>
        <w:t>The Case for Change</w:t>
      </w:r>
      <w:bookmarkEnd w:id="44"/>
      <w:bookmarkEnd w:id="45"/>
    </w:p>
    <w:p w14:paraId="3C04879D" w14:textId="77777777" w:rsidR="001F419D" w:rsidRPr="009E3EE9" w:rsidRDefault="001F419D" w:rsidP="001F419D">
      <w:pPr>
        <w:spacing w:after="0"/>
        <w:rPr>
          <w:lang w:val="en-GB"/>
        </w:rPr>
      </w:pPr>
    </w:p>
    <w:p w14:paraId="1CF791D6" w14:textId="77777777" w:rsidR="009C7BFF" w:rsidRDefault="001F419D" w:rsidP="009C7BFF">
      <w:pPr>
        <w:spacing w:after="0"/>
      </w:pPr>
      <w:r>
        <w:t>This case for change has capitalised on the previous activities and consultation with industry, which highlighted the fact that further work should be undertaken in relation to the above components and identified issues.</w:t>
      </w:r>
    </w:p>
    <w:p w14:paraId="7AC2F102" w14:textId="46E3671D" w:rsidR="00C4242F" w:rsidRDefault="00C4242F" w:rsidP="009C7BFF">
      <w:pPr>
        <w:spacing w:after="0"/>
      </w:pPr>
      <w:r>
        <w:t xml:space="preserve"> </w:t>
      </w:r>
    </w:p>
    <w:p w14:paraId="23A4DD74" w14:textId="3AA7ABCF" w:rsidR="008068D6" w:rsidRPr="0011325F" w:rsidRDefault="00616332" w:rsidP="00922301">
      <w:pPr>
        <w:pStyle w:val="Heading2"/>
      </w:pPr>
      <w:bookmarkStart w:id="46" w:name="_Toc496460789"/>
      <w:r>
        <w:t>Evidence for full review</w:t>
      </w:r>
      <w:bookmarkEnd w:id="46"/>
    </w:p>
    <w:p w14:paraId="06D06B35" w14:textId="57A2F519" w:rsidR="00645E78" w:rsidRDefault="00616332" w:rsidP="008068D6">
      <w:pPr>
        <w:spacing w:before="120" w:after="120" w:line="240" w:lineRule="auto"/>
      </w:pPr>
      <w:r>
        <w:t xml:space="preserve">The scope </w:t>
      </w:r>
      <w:r w:rsidR="00C4242F">
        <w:t>of</w:t>
      </w:r>
      <w:r>
        <w:t xml:space="preserve"> the original activity order </w:t>
      </w:r>
      <w:r w:rsidR="00EB4921">
        <w:t>is</w:t>
      </w:r>
      <w:r w:rsidR="00836F47">
        <w:t xml:space="preserve"> to transition 17</w:t>
      </w:r>
      <w:r>
        <w:t xml:space="preserve"> units of competency associated with </w:t>
      </w:r>
      <w:r w:rsidR="00926EDF">
        <w:t xml:space="preserve">the </w:t>
      </w:r>
      <w:r w:rsidR="00205600">
        <w:t>C</w:t>
      </w:r>
      <w:r w:rsidR="00926EDF">
        <w:t xml:space="preserve">ertificate III in </w:t>
      </w:r>
      <w:r w:rsidR="00205600">
        <w:t>P</w:t>
      </w:r>
      <w:r>
        <w:t xml:space="preserve">ainting and </w:t>
      </w:r>
      <w:r w:rsidR="00205600">
        <w:t>D</w:t>
      </w:r>
      <w:r>
        <w:t>ecorating</w:t>
      </w:r>
      <w:r w:rsidR="00926EDF">
        <w:t xml:space="preserve">.  </w:t>
      </w:r>
      <w:r w:rsidR="00085149">
        <w:t>Consultation with Industry, trainers, STAs, and Quality T</w:t>
      </w:r>
      <w:r w:rsidR="000A2D9F">
        <w:t xml:space="preserve">raining Package </w:t>
      </w:r>
      <w:r w:rsidR="00085149">
        <w:t>D</w:t>
      </w:r>
      <w:r w:rsidR="000A2D9F">
        <w:t>evelopment</w:t>
      </w:r>
      <w:r w:rsidR="00836F47">
        <w:t xml:space="preserve"> Panel</w:t>
      </w:r>
      <w:r w:rsidR="000A2D9F">
        <w:t xml:space="preserve"> </w:t>
      </w:r>
      <w:r w:rsidR="00085149">
        <w:t>members, as well as a</w:t>
      </w:r>
      <w:r w:rsidR="00AC2DEA">
        <w:t xml:space="preserve"> face to face meeting o</w:t>
      </w:r>
      <w:r w:rsidR="00085149" w:rsidRPr="00085149">
        <w:t>n 1</w:t>
      </w:r>
      <w:r w:rsidR="00AC2DEA">
        <w:t>st</w:t>
      </w:r>
      <w:r w:rsidR="00085149" w:rsidRPr="00085149">
        <w:t xml:space="preserve"> September 2017 with key stakeholders from across</w:t>
      </w:r>
      <w:r w:rsidR="00EB4921">
        <w:t xml:space="preserve"> </w:t>
      </w:r>
      <w:r w:rsidR="00085149">
        <w:t>Australia’s painting and decorating peak association network</w:t>
      </w:r>
      <w:r w:rsidR="00AC2DEA">
        <w:t>,</w:t>
      </w:r>
      <w:r w:rsidR="00085149">
        <w:t xml:space="preserve"> </w:t>
      </w:r>
      <w:r w:rsidR="00926EDF">
        <w:t>has identified the following critical issues that support the requirement for a full review of the qualification and associated units of competency:</w:t>
      </w:r>
    </w:p>
    <w:p w14:paraId="04AD8F59" w14:textId="77777777" w:rsidR="000A2D9F" w:rsidRDefault="000A2D9F" w:rsidP="00645E78">
      <w:pPr>
        <w:spacing w:before="120" w:after="120" w:line="240" w:lineRule="auto"/>
      </w:pPr>
    </w:p>
    <w:p w14:paraId="1160FA90" w14:textId="4A2EE0BC" w:rsidR="00645E78" w:rsidRPr="00084F56" w:rsidRDefault="00645E78" w:rsidP="00645E78">
      <w:pPr>
        <w:spacing w:before="120" w:after="120" w:line="240" w:lineRule="auto"/>
      </w:pPr>
      <w:r w:rsidRPr="00084F56">
        <w:t>Feedback from STA and Quality Panel members has highlig</w:t>
      </w:r>
      <w:r w:rsidR="00AC2DEA">
        <w:t>hted the following issues with progressing a case for endorsement for transitioning 17 units</w:t>
      </w:r>
      <w:r w:rsidRPr="00084F56">
        <w:t>:</w:t>
      </w:r>
    </w:p>
    <w:p w14:paraId="507926C0" w14:textId="77777777" w:rsidR="00645E78" w:rsidRDefault="000A2D9F" w:rsidP="00645E78">
      <w:pPr>
        <w:pStyle w:val="ListParagraph"/>
        <w:numPr>
          <w:ilvl w:val="0"/>
          <w:numId w:val="1"/>
        </w:numPr>
        <w:spacing w:before="120" w:after="120" w:line="240" w:lineRule="auto"/>
      </w:pPr>
      <w:r>
        <w:t>t</w:t>
      </w:r>
      <w:r w:rsidR="00645E78">
        <w:t>he units will be orphaned into the new training package on publication and therefore not usable by RTOs</w:t>
      </w:r>
    </w:p>
    <w:p w14:paraId="52D075AE" w14:textId="77777777" w:rsidR="00645E78" w:rsidRDefault="000A2D9F" w:rsidP="00645E78">
      <w:pPr>
        <w:pStyle w:val="ListParagraph"/>
        <w:numPr>
          <w:ilvl w:val="0"/>
          <w:numId w:val="1"/>
        </w:numPr>
        <w:spacing w:before="120" w:after="120" w:line="240" w:lineRule="auto"/>
      </w:pPr>
      <w:r>
        <w:t>t</w:t>
      </w:r>
      <w:r w:rsidR="00645E78">
        <w:t>he model of publishing transitioned units in isolation of the qualification is not supported by STAs</w:t>
      </w:r>
    </w:p>
    <w:p w14:paraId="223F7D90" w14:textId="77777777" w:rsidR="00645E78" w:rsidRDefault="000A2D9F" w:rsidP="00645E78">
      <w:pPr>
        <w:pStyle w:val="ListParagraph"/>
        <w:numPr>
          <w:ilvl w:val="0"/>
          <w:numId w:val="1"/>
        </w:numPr>
        <w:spacing w:before="120" w:after="120" w:line="240" w:lineRule="auto"/>
      </w:pPr>
      <w:r>
        <w:t>t</w:t>
      </w:r>
      <w:r w:rsidR="00645E78">
        <w:t>he units have been developed in isolation of the qualification and its packaging rules, therefore have missed valuable holistic analysis and consultation on utility, qua</w:t>
      </w:r>
      <w:r>
        <w:t>lity, and equity considerations</w:t>
      </w:r>
    </w:p>
    <w:p w14:paraId="78C0BF9F" w14:textId="77777777" w:rsidR="00645E78" w:rsidRDefault="000A2D9F" w:rsidP="00645E78">
      <w:pPr>
        <w:pStyle w:val="ListParagraph"/>
        <w:numPr>
          <w:ilvl w:val="0"/>
          <w:numId w:val="1"/>
        </w:numPr>
        <w:spacing w:before="120" w:after="120" w:line="240" w:lineRule="auto"/>
      </w:pPr>
      <w:r>
        <w:t>t</w:t>
      </w:r>
      <w:r w:rsidR="00645E78">
        <w:t>he mode of consultation between units only vs full review of the qualification is very different, with</w:t>
      </w:r>
      <w:r>
        <w:t xml:space="preserve"> potentially different outcomes</w:t>
      </w:r>
    </w:p>
    <w:p w14:paraId="15842D73" w14:textId="77777777" w:rsidR="00645E78" w:rsidRDefault="000A2D9F" w:rsidP="00645E78">
      <w:pPr>
        <w:pStyle w:val="ListParagraph"/>
        <w:numPr>
          <w:ilvl w:val="0"/>
          <w:numId w:val="1"/>
        </w:numPr>
        <w:spacing w:before="120" w:after="120" w:line="240" w:lineRule="auto"/>
      </w:pPr>
      <w:r>
        <w:t>s</w:t>
      </w:r>
      <w:r w:rsidR="00645E78">
        <w:t>ome units may be redundant based on the above point</w:t>
      </w:r>
      <w:r>
        <w:t>; and</w:t>
      </w:r>
    </w:p>
    <w:p w14:paraId="0AD063D5" w14:textId="77777777" w:rsidR="00645E78" w:rsidRDefault="000A2D9F" w:rsidP="00645E78">
      <w:pPr>
        <w:pStyle w:val="ListParagraph"/>
        <w:numPr>
          <w:ilvl w:val="0"/>
          <w:numId w:val="1"/>
        </w:numPr>
        <w:spacing w:before="120" w:after="120" w:line="240" w:lineRule="auto"/>
      </w:pPr>
      <w:r>
        <w:t>p</w:t>
      </w:r>
      <w:r w:rsidR="00645E78">
        <w:t>re-requisite units have been referred to in isolation of packaging rules of the qualification</w:t>
      </w:r>
      <w:r>
        <w:t>.</w:t>
      </w:r>
    </w:p>
    <w:p w14:paraId="435687CA" w14:textId="77777777" w:rsidR="00AC2DEA" w:rsidRPr="00084F56" w:rsidRDefault="0055615F" w:rsidP="00AC2DEA">
      <w:pPr>
        <w:spacing w:before="120" w:after="120" w:line="240" w:lineRule="auto"/>
      </w:pPr>
      <w:r>
        <w:t>Summary f</w:t>
      </w:r>
      <w:r w:rsidR="00645E78" w:rsidRPr="00084F56">
        <w:t xml:space="preserve">eedback from Industry </w:t>
      </w:r>
      <w:r w:rsidR="00AC2DEA">
        <w:t>has identified the following issues with progressing a case for endorsement for transitioning 17 units</w:t>
      </w:r>
      <w:r w:rsidR="00AC2DEA" w:rsidRPr="00084F56">
        <w:t>:</w:t>
      </w:r>
    </w:p>
    <w:p w14:paraId="1BF7B791" w14:textId="5A5CFB66" w:rsidR="00926EDF" w:rsidRDefault="000A2D9F" w:rsidP="00B604A4">
      <w:pPr>
        <w:pStyle w:val="ListParagraph"/>
        <w:numPr>
          <w:ilvl w:val="0"/>
          <w:numId w:val="2"/>
        </w:numPr>
        <w:spacing w:before="120" w:after="120" w:line="240" w:lineRule="auto"/>
      </w:pPr>
      <w:r>
        <w:t>t</w:t>
      </w:r>
      <w:r w:rsidR="00084F56">
        <w:t>he content of the units is significantly out of date with industry standards and practice</w:t>
      </w:r>
      <w:r w:rsidR="00B604A4">
        <w:t xml:space="preserve"> (</w:t>
      </w:r>
      <w:r w:rsidR="00B604A4" w:rsidRPr="00B604A4">
        <w:t>Australian Standard AS/NZS 2311:2017 Guide to the painting of buildings</w:t>
      </w:r>
      <w:r w:rsidR="00B604A4">
        <w:t>)</w:t>
      </w:r>
    </w:p>
    <w:p w14:paraId="0949EA6E" w14:textId="77777777" w:rsidR="00084F56" w:rsidRDefault="000A2D9F" w:rsidP="00D039DF">
      <w:pPr>
        <w:pStyle w:val="ListParagraph"/>
        <w:numPr>
          <w:ilvl w:val="0"/>
          <w:numId w:val="2"/>
        </w:numPr>
        <w:spacing w:before="120" w:after="120" w:line="240" w:lineRule="auto"/>
      </w:pPr>
      <w:r>
        <w:t>a</w:t>
      </w:r>
      <w:r w:rsidR="00084F56">
        <w:t>cross the units, terminology and phrasing is incorrect in relation to working as a self-empl</w:t>
      </w:r>
      <w:r>
        <w:t>oyed or small business operator</w:t>
      </w:r>
    </w:p>
    <w:p w14:paraId="73B32CA3" w14:textId="77777777" w:rsidR="00084F56" w:rsidRDefault="000A2D9F" w:rsidP="00D039DF">
      <w:pPr>
        <w:pStyle w:val="ListParagraph"/>
        <w:numPr>
          <w:ilvl w:val="0"/>
          <w:numId w:val="2"/>
        </w:numPr>
        <w:spacing w:before="120" w:after="120" w:line="240" w:lineRule="auto"/>
      </w:pPr>
      <w:r>
        <w:t>c</w:t>
      </w:r>
      <w:r w:rsidR="00084F56">
        <w:t>urrent units are not in keeping with current trends in m</w:t>
      </w:r>
      <w:r>
        <w:t>aterials, tools, and techniques</w:t>
      </w:r>
    </w:p>
    <w:p w14:paraId="3BC46FA3" w14:textId="77777777" w:rsidR="00084F56" w:rsidRDefault="000A2D9F" w:rsidP="00D039DF">
      <w:pPr>
        <w:pStyle w:val="ListParagraph"/>
        <w:numPr>
          <w:ilvl w:val="0"/>
          <w:numId w:val="2"/>
        </w:numPr>
        <w:spacing w:before="120" w:after="120" w:line="240" w:lineRule="auto"/>
      </w:pPr>
      <w:r>
        <w:t>p</w:t>
      </w:r>
      <w:r w:rsidR="0056496D">
        <w:t xml:space="preserve">erformance evidence is often too general and simply a </w:t>
      </w:r>
      <w:r w:rsidR="006E4BB7">
        <w:t>repetition</w:t>
      </w:r>
      <w:r w:rsidR="0056496D">
        <w:t xml:space="preserve"> of the performance criteria</w:t>
      </w:r>
    </w:p>
    <w:p w14:paraId="79FB94F5" w14:textId="77777777" w:rsidR="00D039DF" w:rsidRDefault="00702C1B" w:rsidP="00D039DF">
      <w:pPr>
        <w:pStyle w:val="ListParagraph"/>
        <w:numPr>
          <w:ilvl w:val="0"/>
          <w:numId w:val="2"/>
        </w:numPr>
        <w:spacing w:before="120" w:after="120" w:line="240" w:lineRule="auto"/>
      </w:pPr>
      <w:r>
        <w:t>e</w:t>
      </w:r>
      <w:r w:rsidR="00D039DF">
        <w:t>normous range statements and small amount of range of conditions</w:t>
      </w:r>
    </w:p>
    <w:p w14:paraId="48DAB773" w14:textId="67526375" w:rsidR="00D039DF" w:rsidRDefault="00702C1B" w:rsidP="00F0199B">
      <w:pPr>
        <w:pStyle w:val="ListParagraph"/>
        <w:numPr>
          <w:ilvl w:val="0"/>
          <w:numId w:val="2"/>
        </w:numPr>
        <w:spacing w:before="120" w:after="120" w:line="240" w:lineRule="auto"/>
      </w:pPr>
      <w:r>
        <w:t>p</w:t>
      </w:r>
      <w:r w:rsidR="00D039DF">
        <w:t xml:space="preserve">erformance evidence </w:t>
      </w:r>
      <w:r w:rsidR="00F0199B" w:rsidRPr="00F0199B">
        <w:t>sometimes misses out key aspects of the competency</w:t>
      </w:r>
      <w:r w:rsidR="000C6D1B">
        <w:t xml:space="preserve"> and are too general</w:t>
      </w:r>
      <w:r w:rsidR="00F0199B" w:rsidRPr="00F0199B">
        <w:t>.</w:t>
      </w:r>
    </w:p>
    <w:p w14:paraId="4FBACF3D" w14:textId="104A771D" w:rsidR="00B01972" w:rsidRDefault="00B01972" w:rsidP="00B01972">
      <w:pPr>
        <w:pStyle w:val="ListParagraph"/>
        <w:numPr>
          <w:ilvl w:val="0"/>
          <w:numId w:val="2"/>
        </w:numPr>
        <w:spacing w:before="120" w:after="120" w:line="240" w:lineRule="auto"/>
      </w:pPr>
      <w:r>
        <w:t>With energy efficiency becoming an increasingly important requirement of buildings, heat-reflective coatings are increasingly being sp</w:t>
      </w:r>
      <w:r w:rsidR="00AC2DEA">
        <w:t>ecified. These products must be</w:t>
      </w:r>
      <w:r>
        <w:t xml:space="preserve"> applied to specification and may attract government grants and incentives. Therefore, they should be considered for inclusion in units such as CPCCPD3024 and CPCCPD3022.</w:t>
      </w:r>
    </w:p>
    <w:p w14:paraId="09BC9FD5" w14:textId="6D1E2F1B" w:rsidR="004A5AFF" w:rsidRDefault="004A5AFF" w:rsidP="006643A0">
      <w:pPr>
        <w:spacing w:before="120" w:after="120" w:line="240" w:lineRule="auto"/>
      </w:pPr>
      <w:r w:rsidRPr="004A5AFF">
        <w:t xml:space="preserve">Detailed feedback from industry has highlighted </w:t>
      </w:r>
      <w:proofErr w:type="gramStart"/>
      <w:r w:rsidRPr="004A5AFF">
        <w:t>a number of</w:t>
      </w:r>
      <w:proofErr w:type="gramEnd"/>
      <w:r w:rsidRPr="004A5AFF">
        <w:t xml:space="preserve"> critical areas </w:t>
      </w:r>
      <w:r w:rsidR="00AC2DEA">
        <w:t>that support the</w:t>
      </w:r>
      <w:r w:rsidRPr="004A5AFF">
        <w:t xml:space="preserve"> need </w:t>
      </w:r>
      <w:r>
        <w:t xml:space="preserve">for </w:t>
      </w:r>
      <w:r w:rsidRPr="004A5AFF">
        <w:t>a full review of the qualification, packaging rules and associated units:</w:t>
      </w:r>
    </w:p>
    <w:p w14:paraId="1BFF6694" w14:textId="77777777" w:rsidR="005C30C7" w:rsidRDefault="005C30C7" w:rsidP="00EE5FCB">
      <w:pPr>
        <w:spacing w:before="120" w:after="120" w:line="240" w:lineRule="auto"/>
      </w:pPr>
    </w:p>
    <w:p w14:paraId="244C54D2" w14:textId="7646FA5B" w:rsidR="00EE5FCB" w:rsidRDefault="00EE5FCB" w:rsidP="00EE5FCB">
      <w:pPr>
        <w:spacing w:before="120" w:after="120" w:line="240" w:lineRule="auto"/>
      </w:pPr>
      <w:r>
        <w:lastRenderedPageBreak/>
        <w:t>Safety Elements</w:t>
      </w:r>
    </w:p>
    <w:p w14:paraId="1F5EB6BC" w14:textId="77777777" w:rsidR="00C1673F" w:rsidRDefault="00C1673F" w:rsidP="00EE5FCB">
      <w:pPr>
        <w:pStyle w:val="ListParagraph"/>
        <w:numPr>
          <w:ilvl w:val="0"/>
          <w:numId w:val="12"/>
        </w:numPr>
        <w:spacing w:before="120" w:after="120" w:line="240" w:lineRule="auto"/>
      </w:pPr>
      <w:r>
        <w:t>Asbestos</w:t>
      </w:r>
      <w:r w:rsidR="00E362DD">
        <w:t xml:space="preserve"> was widely used in building and construction projects up to the late1980s. Many</w:t>
      </w:r>
      <w:r w:rsidR="009E1E29">
        <w:t xml:space="preserve"> </w:t>
      </w:r>
      <w:r w:rsidR="00E362DD">
        <w:t>materials remain in place and, as a result, risk to workers is most likely to arise during</w:t>
      </w:r>
      <w:r w:rsidR="009E1E29">
        <w:t xml:space="preserve"> </w:t>
      </w:r>
      <w:r w:rsidR="00E362DD">
        <w:t>asbestos removal or during renovation or maintenance work that disturbs asbestos</w:t>
      </w:r>
      <w:r w:rsidR="009E1E29">
        <w:t>. Painters and decorators may come into contact or work near asbestos.</w:t>
      </w:r>
    </w:p>
    <w:p w14:paraId="0F9517DA" w14:textId="718C27CD" w:rsidR="00EE5FCB" w:rsidRDefault="009E1E29" w:rsidP="00EE5FCB">
      <w:pPr>
        <w:pStyle w:val="ListParagraph"/>
        <w:numPr>
          <w:ilvl w:val="0"/>
          <w:numId w:val="12"/>
        </w:numPr>
        <w:spacing w:before="120" w:after="120" w:line="240" w:lineRule="auto"/>
      </w:pPr>
      <w:r>
        <w:t>Painters make use of a</w:t>
      </w:r>
      <w:r w:rsidR="00C1673F">
        <w:t>bseiling</w:t>
      </w:r>
      <w:r w:rsidR="00AC2DEA">
        <w:t xml:space="preserve"> skills and equipment</w:t>
      </w:r>
      <w:r>
        <w:t xml:space="preserve"> </w:t>
      </w:r>
      <w:proofErr w:type="gramStart"/>
      <w:r>
        <w:t>in order to</w:t>
      </w:r>
      <w:proofErr w:type="gramEnd"/>
      <w:r w:rsidRPr="009E1E29">
        <w:t xml:space="preserve"> work on challenging </w:t>
      </w:r>
      <w:r w:rsidR="00AC2DEA">
        <w:t xml:space="preserve">hard </w:t>
      </w:r>
      <w:r w:rsidRPr="009E1E29">
        <w:t xml:space="preserve">to get to places </w:t>
      </w:r>
      <w:r>
        <w:t xml:space="preserve">including </w:t>
      </w:r>
      <w:r w:rsidRPr="009E1E29">
        <w:t>office complexes, high rise apartment blocks, listed buildings with ornamental facades, industrial premises and manufacturing facilities.</w:t>
      </w:r>
      <w:r>
        <w:t xml:space="preserve"> This requires specialist skills, knowledge</w:t>
      </w:r>
      <w:r w:rsidR="00B96E30">
        <w:t>,</w:t>
      </w:r>
      <w:r>
        <w:t xml:space="preserve"> and equipment.</w:t>
      </w:r>
    </w:p>
    <w:p w14:paraId="65C0B998" w14:textId="44C7E5CE" w:rsidR="00D424C5" w:rsidRDefault="00D424C5" w:rsidP="00D424C5">
      <w:pPr>
        <w:pStyle w:val="ListParagraph"/>
        <w:numPr>
          <w:ilvl w:val="0"/>
          <w:numId w:val="12"/>
        </w:numPr>
        <w:spacing w:before="120" w:after="120" w:line="240" w:lineRule="auto"/>
      </w:pPr>
      <w:r>
        <w:t>Lead is a hazardous substance which if breathed in or swallowed can have serious health implications. Although lead is no longer used in today’s paints, it can be present in properties built before the 1960s. It is only an issue if the surface is flaking, chipping, or disturbed in any way. Feedback has identified that the units need further enhancements to around lead hazards and avoidance of harm from this substance.</w:t>
      </w:r>
    </w:p>
    <w:p w14:paraId="43C7F537" w14:textId="6A8A17E4" w:rsidR="00DF03BB" w:rsidRDefault="00F65A56" w:rsidP="00AC2DEA">
      <w:pPr>
        <w:pStyle w:val="ListParagraph"/>
        <w:numPr>
          <w:ilvl w:val="0"/>
          <w:numId w:val="12"/>
        </w:numPr>
        <w:spacing w:before="120" w:after="120" w:line="240" w:lineRule="auto"/>
      </w:pPr>
      <w:r>
        <w:t>U</w:t>
      </w:r>
      <w:r w:rsidR="00DF03BB">
        <w:t>se of spray equipment, particularly airless, is dangerous and beyond the capabilities of a new student (e</w:t>
      </w:r>
      <w:r>
        <w:t>.</w:t>
      </w:r>
      <w:r w:rsidR="00DF03BB">
        <w:t>g</w:t>
      </w:r>
      <w:r>
        <w:t>.</w:t>
      </w:r>
      <w:r w:rsidR="00AC2DEA">
        <w:t xml:space="preserve"> pre-a</w:t>
      </w:r>
      <w:r w:rsidR="00DF03BB">
        <w:t>pp</w:t>
      </w:r>
      <w:r w:rsidR="00AC2DEA">
        <w:t>rentice</w:t>
      </w:r>
      <w:r w:rsidR="00DF03BB">
        <w:t xml:space="preserve"> or 1st year apprentice).  There is a high risk of fluid injection when using these machines which can lead to some very serious injuries and spray equipment can also be very fra</w:t>
      </w:r>
      <w:r w:rsidR="00AC2DEA">
        <w:t>gile and expensive to replace. T</w:t>
      </w:r>
      <w:r w:rsidR="00DF03BB">
        <w:t xml:space="preserve">ime allocation for </w:t>
      </w:r>
      <w:r w:rsidR="00AC2DEA">
        <w:t>teaching</w:t>
      </w:r>
      <w:r w:rsidR="00DF03BB">
        <w:t xml:space="preserve"> a student to learn to operate, use &amp; maintain such equipment on top of the other requirements is unrealistic.</w:t>
      </w:r>
    </w:p>
    <w:p w14:paraId="2D9CED49" w14:textId="77777777" w:rsidR="006776F7" w:rsidRDefault="006776F7" w:rsidP="00EE5FCB">
      <w:pPr>
        <w:pStyle w:val="ListParagraph"/>
        <w:numPr>
          <w:ilvl w:val="0"/>
          <w:numId w:val="12"/>
        </w:numPr>
        <w:spacing w:before="120" w:after="120" w:line="240" w:lineRule="auto"/>
      </w:pPr>
      <w:r>
        <w:t xml:space="preserve">Other safety element </w:t>
      </w:r>
      <w:r w:rsidR="00216DA7">
        <w:t>issues for review</w:t>
      </w:r>
      <w:r w:rsidR="00472495">
        <w:t xml:space="preserve"> include, but not limited to</w:t>
      </w:r>
      <w:r>
        <w:t>:</w:t>
      </w:r>
    </w:p>
    <w:p w14:paraId="7847E707" w14:textId="77777777" w:rsidR="006776F7" w:rsidRDefault="006776F7" w:rsidP="00AC2DEA">
      <w:pPr>
        <w:pStyle w:val="ListParagraph"/>
        <w:numPr>
          <w:ilvl w:val="2"/>
          <w:numId w:val="12"/>
        </w:numPr>
        <w:spacing w:before="120" w:after="120" w:line="240" w:lineRule="auto"/>
      </w:pPr>
      <w:r>
        <w:t>Falls from height</w:t>
      </w:r>
    </w:p>
    <w:p w14:paraId="7976EBC1" w14:textId="77777777" w:rsidR="006776F7" w:rsidRDefault="00AC1185" w:rsidP="00AC2DEA">
      <w:pPr>
        <w:pStyle w:val="ListParagraph"/>
        <w:numPr>
          <w:ilvl w:val="2"/>
          <w:numId w:val="12"/>
        </w:numPr>
        <w:spacing w:before="120" w:after="120" w:line="240" w:lineRule="auto"/>
      </w:pPr>
      <w:r>
        <w:t>Exposure to electricity from o</w:t>
      </w:r>
      <w:r w:rsidR="006776F7">
        <w:t>verhead cables</w:t>
      </w:r>
    </w:p>
    <w:p w14:paraId="623F40D3" w14:textId="77777777" w:rsidR="006776F7" w:rsidRDefault="006776F7" w:rsidP="00AC2DEA">
      <w:pPr>
        <w:pStyle w:val="ListParagraph"/>
        <w:numPr>
          <w:ilvl w:val="2"/>
          <w:numId w:val="12"/>
        </w:numPr>
        <w:spacing w:before="120" w:after="120" w:line="240" w:lineRule="auto"/>
      </w:pPr>
      <w:r>
        <w:t>Proximity to flammable or combustible materials</w:t>
      </w:r>
    </w:p>
    <w:p w14:paraId="2FA6C648" w14:textId="77777777" w:rsidR="006643A0" w:rsidRDefault="006776F7" w:rsidP="00AC2DEA">
      <w:pPr>
        <w:pStyle w:val="ListParagraph"/>
        <w:numPr>
          <w:ilvl w:val="2"/>
          <w:numId w:val="12"/>
        </w:numPr>
        <w:spacing w:before="120" w:after="120" w:line="240" w:lineRule="auto"/>
      </w:pPr>
      <w:r>
        <w:t>Sun exposure</w:t>
      </w:r>
    </w:p>
    <w:p w14:paraId="2C1173A7" w14:textId="77777777" w:rsidR="009E1E29" w:rsidRDefault="00B5171D" w:rsidP="009E1E29">
      <w:pPr>
        <w:spacing w:before="120" w:after="120" w:line="240" w:lineRule="auto"/>
      </w:pPr>
      <w:r>
        <w:t>Sustainability</w:t>
      </w:r>
    </w:p>
    <w:p w14:paraId="348E89B0" w14:textId="77777777" w:rsidR="006643A0" w:rsidRDefault="006643A0" w:rsidP="00B5171D">
      <w:pPr>
        <w:pStyle w:val="ListParagraph"/>
        <w:numPr>
          <w:ilvl w:val="0"/>
          <w:numId w:val="13"/>
        </w:numPr>
        <w:spacing w:before="120" w:after="120" w:line="240" w:lineRule="auto"/>
        <w:ind w:left="1134" w:hanging="414"/>
      </w:pPr>
      <w:r>
        <w:t xml:space="preserve">there is </w:t>
      </w:r>
      <w:r w:rsidR="006F0262">
        <w:t>little content</w:t>
      </w:r>
      <w:r>
        <w:t xml:space="preserve"> about sustainability or disposal of dry waste especially that which may be contaminated by lead or asbe</w:t>
      </w:r>
      <w:r w:rsidR="006F0262">
        <w:t>stos containing material (ACMs)</w:t>
      </w:r>
    </w:p>
    <w:p w14:paraId="5B44EB5E" w14:textId="77777777" w:rsidR="00B5171D" w:rsidRDefault="000C3C05" w:rsidP="007C76CB">
      <w:pPr>
        <w:pStyle w:val="ListParagraph"/>
        <w:numPr>
          <w:ilvl w:val="0"/>
          <w:numId w:val="13"/>
        </w:numPr>
        <w:spacing w:before="120" w:after="120" w:line="240" w:lineRule="auto"/>
        <w:ind w:left="1134" w:hanging="414"/>
      </w:pPr>
      <w:r>
        <w:t xml:space="preserve">there is little content about environmental management concepts, </w:t>
      </w:r>
      <w:r w:rsidR="00702C1B">
        <w:t>l</w:t>
      </w:r>
      <w:r>
        <w:t xml:space="preserve">ow </w:t>
      </w:r>
      <w:r w:rsidR="000E565B">
        <w:t>or zero Volatile Organic Compounds (</w:t>
      </w:r>
      <w:r>
        <w:t>VOC</w:t>
      </w:r>
      <w:r w:rsidR="000E565B">
        <w:t>)</w:t>
      </w:r>
      <w:r>
        <w:t xml:space="preserve"> paints, recycling </w:t>
      </w:r>
      <w:r w:rsidR="007C76CB">
        <w:t xml:space="preserve">paint waste and </w:t>
      </w:r>
      <w:r w:rsidR="00BC4326">
        <w:t>painter’s</w:t>
      </w:r>
      <w:r w:rsidR="007C76CB">
        <w:t xml:space="preserve"> health regarding o</w:t>
      </w:r>
      <w:r w:rsidR="007C76CB" w:rsidRPr="007C76CB">
        <w:t>ther chemicals</w:t>
      </w:r>
      <w:r w:rsidR="007C76CB">
        <w:t xml:space="preserve"> in conventional paints including </w:t>
      </w:r>
      <w:r w:rsidR="007C76CB" w:rsidRPr="007C76CB">
        <w:t xml:space="preserve">glycols, </w:t>
      </w:r>
      <w:proofErr w:type="spellStart"/>
      <w:r w:rsidR="007C76CB" w:rsidRPr="007C76CB">
        <w:t>toulene</w:t>
      </w:r>
      <w:proofErr w:type="spellEnd"/>
      <w:r w:rsidR="007C76CB" w:rsidRPr="007C76CB">
        <w:t>, hydrocarbons, xylene, and ammonia. Mineral turpentine (used as a thinner and solvent) may contain up to 20% benzene, which is a confirmed carcinogen and mutagen in chronically exposed workers.</w:t>
      </w:r>
    </w:p>
    <w:p w14:paraId="7E066B75" w14:textId="77777777" w:rsidR="00B5171D" w:rsidRDefault="00FD11A6" w:rsidP="00B5171D">
      <w:pPr>
        <w:spacing w:before="120" w:after="120" w:line="240" w:lineRule="auto"/>
      </w:pPr>
      <w:r>
        <w:t>Equipment</w:t>
      </w:r>
    </w:p>
    <w:p w14:paraId="57556070" w14:textId="77777777" w:rsidR="00665471" w:rsidRDefault="00665471" w:rsidP="00665471">
      <w:pPr>
        <w:pStyle w:val="ListParagraph"/>
        <w:numPr>
          <w:ilvl w:val="0"/>
          <w:numId w:val="14"/>
        </w:numPr>
        <w:spacing w:before="120" w:after="120" w:line="240" w:lineRule="auto"/>
        <w:ind w:left="1134" w:hanging="414"/>
      </w:pPr>
      <w:r>
        <w:t>units</w:t>
      </w:r>
      <w:r w:rsidR="00E650E8">
        <w:t xml:space="preserve"> need reviewing and enhancing of content</w:t>
      </w:r>
      <w:r>
        <w:t xml:space="preserve"> on h</w:t>
      </w:r>
      <w:r w:rsidRPr="00665471">
        <w:t>ow to correctly use brushes, rollers, and sanders, hand tools, and electrical equipment when painting.</w:t>
      </w:r>
    </w:p>
    <w:p w14:paraId="01618920" w14:textId="5169DC35" w:rsidR="007E5C44" w:rsidRDefault="00472495" w:rsidP="000D4820">
      <w:pPr>
        <w:pStyle w:val="ListParagraph"/>
        <w:numPr>
          <w:ilvl w:val="0"/>
          <w:numId w:val="14"/>
        </w:numPr>
        <w:spacing w:before="120" w:after="120" w:line="240" w:lineRule="auto"/>
        <w:ind w:left="1134" w:hanging="414"/>
      </w:pPr>
      <w:r>
        <w:t>u</w:t>
      </w:r>
      <w:r w:rsidR="007E5C44">
        <w:t>nits need reviewing and enhancing of content on safe use of disc and belt sanders, portable air compressors and spray painting equipment</w:t>
      </w:r>
      <w:r w:rsidR="000D4820">
        <w:t xml:space="preserve">, and </w:t>
      </w:r>
      <w:r w:rsidR="00836F47">
        <w:t>high-pressure</w:t>
      </w:r>
      <w:r w:rsidR="007E5C44">
        <w:t xml:space="preserve"> water cleaners</w:t>
      </w:r>
      <w:r w:rsidR="00611D3B">
        <w:t>.</w:t>
      </w:r>
    </w:p>
    <w:p w14:paraId="15D63B56" w14:textId="0AAA9299" w:rsidR="00665471" w:rsidRDefault="00472495" w:rsidP="00665471">
      <w:pPr>
        <w:pStyle w:val="ListParagraph"/>
        <w:numPr>
          <w:ilvl w:val="0"/>
          <w:numId w:val="14"/>
        </w:numPr>
        <w:spacing w:before="120" w:after="120" w:line="240" w:lineRule="auto"/>
        <w:ind w:left="1134" w:hanging="414"/>
      </w:pPr>
      <w:r>
        <w:t>u</w:t>
      </w:r>
      <w:r w:rsidR="004F7A53">
        <w:t>nits need reviewing and enhancing around equipment for eye, skin</w:t>
      </w:r>
      <w:r w:rsidR="00A158EA">
        <w:t>,</w:t>
      </w:r>
      <w:r w:rsidR="004F7A53">
        <w:t xml:space="preserve"> and lung protection, handling solvents and erecting and climbing ladders.</w:t>
      </w:r>
    </w:p>
    <w:p w14:paraId="56AF1A40" w14:textId="77777777" w:rsidR="002F3A09" w:rsidRDefault="002F3A09" w:rsidP="002F3A09">
      <w:pPr>
        <w:spacing w:before="120" w:after="120" w:line="240" w:lineRule="auto"/>
      </w:pPr>
      <w:r>
        <w:t>Regulations</w:t>
      </w:r>
    </w:p>
    <w:p w14:paraId="168EDD96" w14:textId="0050D3E4" w:rsidR="00C73BD5" w:rsidRDefault="00472495" w:rsidP="00C73BD5">
      <w:pPr>
        <w:pStyle w:val="ListParagraph"/>
        <w:numPr>
          <w:ilvl w:val="0"/>
          <w:numId w:val="15"/>
        </w:numPr>
        <w:spacing w:before="120" w:after="120" w:line="240" w:lineRule="auto"/>
      </w:pPr>
      <w:r>
        <w:t>q</w:t>
      </w:r>
      <w:r w:rsidR="002F3A09" w:rsidRPr="002F3A09">
        <w:t xml:space="preserve">ualifications need to reflect </w:t>
      </w:r>
      <w:r w:rsidR="00A158EA">
        <w:t>the Australian S</w:t>
      </w:r>
      <w:r w:rsidR="00C73BD5" w:rsidRPr="00C73BD5">
        <w:t>tan</w:t>
      </w:r>
      <w:r w:rsidR="00A158EA">
        <w:t>dard AS/NZ 2311. 2017 Guide to Painting of B</w:t>
      </w:r>
      <w:r w:rsidR="00C73BD5" w:rsidRPr="00C73BD5">
        <w:t xml:space="preserve">uildings </w:t>
      </w:r>
      <w:r w:rsidR="00C73BD5">
        <w:t xml:space="preserve">which </w:t>
      </w:r>
      <w:r w:rsidR="00C73BD5" w:rsidRPr="00C73BD5">
        <w:t>was updated in March 2017. This standard provides a guide to products and procedures for the painting of buildings for general domestic, commercial</w:t>
      </w:r>
      <w:r w:rsidR="00836F47">
        <w:t>,</w:t>
      </w:r>
      <w:r w:rsidR="00C73BD5" w:rsidRPr="00C73BD5">
        <w:t xml:space="preserve"> and industrial use</w:t>
      </w:r>
      <w:r w:rsidR="00C73BD5">
        <w:t>.</w:t>
      </w:r>
    </w:p>
    <w:p w14:paraId="3C72259B" w14:textId="77777777" w:rsidR="009C7BFF" w:rsidRDefault="009C7BFF" w:rsidP="009F6363">
      <w:pPr>
        <w:spacing w:before="120" w:after="120" w:line="240" w:lineRule="auto"/>
      </w:pPr>
    </w:p>
    <w:p w14:paraId="419CFE09" w14:textId="37010038" w:rsidR="009F6363" w:rsidRDefault="009F6363" w:rsidP="009F6363">
      <w:pPr>
        <w:spacing w:before="120" w:after="120" w:line="240" w:lineRule="auto"/>
      </w:pPr>
      <w:r>
        <w:lastRenderedPageBreak/>
        <w:t>Technologies</w:t>
      </w:r>
    </w:p>
    <w:p w14:paraId="3ECA6734" w14:textId="77777777" w:rsidR="009F6363" w:rsidRDefault="00472495" w:rsidP="009E0930">
      <w:pPr>
        <w:pStyle w:val="ListParagraph"/>
        <w:numPr>
          <w:ilvl w:val="0"/>
          <w:numId w:val="15"/>
        </w:numPr>
        <w:spacing w:before="120" w:after="120" w:line="240" w:lineRule="auto"/>
      </w:pPr>
      <w:r>
        <w:t>u</w:t>
      </w:r>
      <w:r w:rsidR="009F6363">
        <w:t>nderstanding Building Information Modelling (BIM) in the industry is i</w:t>
      </w:r>
      <w:r>
        <w:t>mportant now and in the future – r</w:t>
      </w:r>
      <w:r w:rsidR="009F6363">
        <w:t>eference to this is not part of the current qualification and associated units.</w:t>
      </w:r>
    </w:p>
    <w:p w14:paraId="75E60EC1" w14:textId="77777777" w:rsidR="009E0930" w:rsidRDefault="00472495" w:rsidP="009E0930">
      <w:pPr>
        <w:pStyle w:val="ListParagraph"/>
        <w:numPr>
          <w:ilvl w:val="0"/>
          <w:numId w:val="15"/>
        </w:numPr>
        <w:spacing w:before="120" w:after="120" w:line="240" w:lineRule="auto"/>
      </w:pPr>
      <w:r>
        <w:t>t</w:t>
      </w:r>
      <w:r w:rsidR="009E0930" w:rsidRPr="009E0930">
        <w:t xml:space="preserve">he painting industry, like any other, has evolved exponentially over the years. From products, to techniques, to skills; current painters are dealing with a variety of industry advancements. Paints and coatings are some of the elements that have revolutionised the painting sector. The painting industry correlates to other sectors of the economy such as housing, </w:t>
      </w:r>
      <w:r w:rsidR="00BC4326" w:rsidRPr="009E0930">
        <w:t>transportation,</w:t>
      </w:r>
      <w:r w:rsidR="009E0930" w:rsidRPr="009E0930">
        <w:t xml:space="preserve"> and construction. As these industries grow, so does the painting sector.</w:t>
      </w:r>
    </w:p>
    <w:p w14:paraId="15D0EC4A" w14:textId="77777777" w:rsidR="009E0930" w:rsidRDefault="009E0930" w:rsidP="009E0930">
      <w:pPr>
        <w:pStyle w:val="ListParagraph"/>
        <w:numPr>
          <w:ilvl w:val="0"/>
          <w:numId w:val="15"/>
        </w:numPr>
        <w:spacing w:before="120" w:after="120" w:line="240" w:lineRule="auto"/>
      </w:pPr>
      <w:r w:rsidRPr="009E0930">
        <w:t xml:space="preserve">Nanotechnology is one of the areas that painting professionals are showing interest in. </w:t>
      </w:r>
      <w:r>
        <w:t>S</w:t>
      </w:r>
      <w:r w:rsidRPr="009E0930">
        <w:t xml:space="preserve">ome </w:t>
      </w:r>
      <w:proofErr w:type="spellStart"/>
      <w:r w:rsidRPr="009E0930">
        <w:t>nano</w:t>
      </w:r>
      <w:proofErr w:type="spellEnd"/>
      <w:r w:rsidRPr="009E0930">
        <w:t xml:space="preserve"> paints are already on the market. The concept </w:t>
      </w:r>
      <w:r>
        <w:t>involves</w:t>
      </w:r>
      <w:r w:rsidRPr="009E0930">
        <w:t xml:space="preserve"> the addition of metal or ceramic in paints and coatings. Integration can be in the form of particles, free powder or as granulate that inserts into the paint matrix. Nanotechnology alter certain properties to come up with products for specialised applications, for example, a surface that requires electrically conductive coating. One of the traits that nanotechnology exploits is UV protection. Nano paints are also highly resistant to wear, scratch, mar</w:t>
      </w:r>
      <w:r w:rsidR="00A87342">
        <w:t>king</w:t>
      </w:r>
      <w:r w:rsidRPr="009E0930">
        <w:t xml:space="preserve"> and corrosion.</w:t>
      </w:r>
    </w:p>
    <w:p w14:paraId="0B059533" w14:textId="0550BD21" w:rsidR="00082F9C" w:rsidRDefault="005C30C7" w:rsidP="00412ED9">
      <w:pPr>
        <w:pStyle w:val="Heading2"/>
      </w:pPr>
      <w:bookmarkStart w:id="47" w:name="_Toc496460790"/>
      <w:bookmarkStart w:id="48" w:name="_Toc475695368"/>
      <w:bookmarkStart w:id="49" w:name="_Toc475695476"/>
      <w:bookmarkStart w:id="50" w:name="_Toc475972861"/>
      <w:bookmarkStart w:id="51" w:name="_Toc475972957"/>
      <w:bookmarkStart w:id="52" w:name="_Toc482092932"/>
      <w:bookmarkStart w:id="53" w:name="_Toc485818147"/>
      <w:bookmarkStart w:id="54" w:name="_Toc490221615"/>
      <w:r>
        <w:t>Industry Outlook</w:t>
      </w:r>
      <w:bookmarkEnd w:id="47"/>
    </w:p>
    <w:p w14:paraId="05745968" w14:textId="7D9AD849" w:rsidR="005C30C7" w:rsidRDefault="005C30C7" w:rsidP="005C30C7">
      <w:r w:rsidRPr="005C30C7">
        <w:t>The Painting and Decorating Services industry is projected to grow moderately over the next five years. This modest growth includes a minor, short-term contraction stemming from a further anticipated decline in the construction of new residential buildings. For much of the next five-year period, the industry’s performance will be supported by more favourable trends in key building markets and ongoing work from repair and long-term maintenance contracts. Industry revenue is forecast to grow by an annualised 1.4% over the five years through 2021-22 to total $6.3 billion. This anticipated growth will largely come from building construction activity, which is forecast to grow at an annualised 1.9% over the same period, as well as stable demand for maintenance and repair services.</w:t>
      </w:r>
    </w:p>
    <w:p w14:paraId="7517C161" w14:textId="77777777" w:rsidR="005C30C7" w:rsidRDefault="005C30C7" w:rsidP="005C30C7">
      <w:pPr>
        <w:pStyle w:val="Heading4"/>
      </w:pPr>
      <w:r>
        <w:t>Demand from construction</w:t>
      </w:r>
    </w:p>
    <w:p w14:paraId="38685ED5" w14:textId="7EA9FC0F" w:rsidR="005C30C7" w:rsidRPr="005C30C7" w:rsidRDefault="005C30C7" w:rsidP="005C30C7">
      <w:r>
        <w:t>An upward trend in total construction activity is projected to increase demand for painting and decorating services. Demand from the residential building construction sector is projected to rebound from 2019-20 onwards. This will be driven by increased investment in large multi-unit apartment projects and greater construction of new single-unit housing. Large painting contractor firms are most likely to benefit from the construction of multi-unit apartment projects because most project developers and prime builders subcontract work to a single painting and decorating firm.</w:t>
      </w:r>
    </w:p>
    <w:p w14:paraId="5565617E" w14:textId="77777777" w:rsidR="005C30C7" w:rsidRDefault="005C30C7" w:rsidP="005C30C7">
      <w:pPr>
        <w:pStyle w:val="Heading4"/>
      </w:pPr>
      <w:r>
        <w:t>Profit and participation</w:t>
      </w:r>
    </w:p>
    <w:p w14:paraId="6FFC8CB2" w14:textId="77777777" w:rsidR="005C30C7" w:rsidRDefault="005C30C7" w:rsidP="005C30C7">
      <w:r>
        <w:t>The gradual improvement of demand conditions across key building construction markets is projected to expand industry profit margins over the next five years. Industry operating profit is projected to grow over the next five years, climbing to 19.7% of revenue in 2021-22. This improved profitability is expected to attract new entrants to the industry and encourage contractors to shift from the shrinking industrial coating segment into the wider construction market.</w:t>
      </w:r>
    </w:p>
    <w:p w14:paraId="456431E1" w14:textId="77042D33" w:rsidR="005C30C7" w:rsidRDefault="005C30C7" w:rsidP="005C30C7">
      <w:pPr>
        <w:pStyle w:val="Heading4"/>
      </w:pPr>
      <w:r>
        <w:t>Technological change</w:t>
      </w:r>
    </w:p>
    <w:p w14:paraId="3C6ED5AE" w14:textId="7762AD21" w:rsidR="009C7BFF" w:rsidRDefault="005C30C7" w:rsidP="005C30C7">
      <w:r>
        <w:t xml:space="preserve">Technological advancements in the industry are expected to stem from product manufacturers. These advancements will focus on product durability and ease of application. The introduction of </w:t>
      </w:r>
      <w:r>
        <w:lastRenderedPageBreak/>
        <w:t xml:space="preserve">products that last longer and require less maintenance will negatively affect the industry, as they can reduce demand for maintenance services. Paint products are likely to continue becoming more weather-resistant, have increased anti-bacterial </w:t>
      </w:r>
      <w:proofErr w:type="gramStart"/>
      <w:r>
        <w:t>properties</w:t>
      </w:r>
      <w:proofErr w:type="gramEnd"/>
      <w:r>
        <w:t xml:space="preserve"> and be marketed directly at consumers. Operators will need to become more price-competitive and show a proven quality of work to encourage homeowners to continue outsourcing industry-related tasks that they could do themselves.</w:t>
      </w:r>
    </w:p>
    <w:p w14:paraId="1F98B550" w14:textId="622916D0" w:rsidR="0056587A" w:rsidRDefault="00C854B9" w:rsidP="005C30C7">
      <w:r>
        <w:rPr>
          <w:noProof/>
        </w:rPr>
        <w:drawing>
          <wp:inline distT="0" distB="0" distL="0" distR="0" wp14:anchorId="26122F4B" wp14:editId="12553524">
            <wp:extent cx="3299460" cy="1577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411" t="16666" r="55602" b="62097"/>
                    <a:stretch/>
                  </pic:blipFill>
                  <pic:spPr bwMode="auto">
                    <a:xfrm>
                      <a:off x="0" y="0"/>
                      <a:ext cx="3312996" cy="1583811"/>
                    </a:xfrm>
                    <a:prstGeom prst="rect">
                      <a:avLst/>
                    </a:prstGeom>
                    <a:ln>
                      <a:noFill/>
                    </a:ln>
                    <a:extLst>
                      <a:ext uri="{53640926-AAD7-44D8-BBD7-CCE9431645EC}">
                        <a14:shadowObscured xmlns:a14="http://schemas.microsoft.com/office/drawing/2010/main"/>
                      </a:ext>
                    </a:extLst>
                  </pic:spPr>
                </pic:pic>
              </a:graphicData>
            </a:graphic>
          </wp:inline>
        </w:drawing>
      </w:r>
    </w:p>
    <w:p w14:paraId="5D5D0DF7" w14:textId="4605038F" w:rsidR="00B679D0" w:rsidRPr="00B679D0" w:rsidRDefault="00B679D0" w:rsidP="005C30C7">
      <w:pPr>
        <w:rPr>
          <w:i/>
          <w:sz w:val="18"/>
        </w:rPr>
      </w:pPr>
      <w:r w:rsidRPr="00B679D0">
        <w:rPr>
          <w:i/>
          <w:sz w:val="18"/>
        </w:rPr>
        <w:t>Source: IBISWORLD/INDUSTRY MARKET RESEARCH &gt; AUSTRALIA INDUSTRY REPORTS (ANZSIC) &gt; PAINTING AND DECORATING SERVICES</w:t>
      </w:r>
    </w:p>
    <w:p w14:paraId="0C2396E5" w14:textId="397013F4" w:rsidR="00346146" w:rsidRDefault="006C3BDA" w:rsidP="00346146">
      <w:pPr>
        <w:pStyle w:val="Heading1"/>
      </w:pPr>
      <w:bookmarkStart w:id="55" w:name="_Toc496460791"/>
      <w:bookmarkStart w:id="56" w:name="_Toc496378726"/>
      <w:bookmarkEnd w:id="48"/>
      <w:bookmarkEnd w:id="49"/>
      <w:bookmarkEnd w:id="50"/>
      <w:bookmarkEnd w:id="51"/>
      <w:bookmarkEnd w:id="52"/>
      <w:bookmarkEnd w:id="53"/>
      <w:bookmarkEnd w:id="54"/>
      <w:r>
        <w:t>Market, Demand</w:t>
      </w:r>
      <w:r w:rsidR="0049563C">
        <w:t>,</w:t>
      </w:r>
      <w:r>
        <w:t xml:space="preserve"> and </w:t>
      </w:r>
      <w:r w:rsidR="00346146">
        <w:t>Drivers</w:t>
      </w:r>
      <w:bookmarkEnd w:id="55"/>
    </w:p>
    <w:p w14:paraId="6C78784B" w14:textId="3C906FF3" w:rsidR="003E71FA" w:rsidRDefault="003E71FA" w:rsidP="003E71FA">
      <w:pPr>
        <w:pStyle w:val="Heading2"/>
      </w:pPr>
      <w:bookmarkStart w:id="57" w:name="_Toc496460792"/>
      <w:r>
        <w:t>Products and Markets</w:t>
      </w:r>
      <w:bookmarkEnd w:id="57"/>
    </w:p>
    <w:p w14:paraId="081A57D6" w14:textId="7435B18E" w:rsidR="004350CC" w:rsidRDefault="003E71FA" w:rsidP="0049563C">
      <w:pPr>
        <w:pStyle w:val="Heading3"/>
      </w:pPr>
      <w:bookmarkStart w:id="58" w:name="_Toc496460793"/>
      <w:r>
        <w:t>Supply Chain</w:t>
      </w:r>
      <w:bookmarkEnd w:id="58"/>
    </w:p>
    <w:p w14:paraId="364257D9" w14:textId="372A85AB" w:rsidR="003E71FA" w:rsidRDefault="003E71FA" w:rsidP="003E71FA">
      <w:pPr>
        <w:pStyle w:val="ListParagraph"/>
        <w:numPr>
          <w:ilvl w:val="0"/>
          <w:numId w:val="45"/>
        </w:numPr>
      </w:pPr>
      <w:r>
        <w:t>Construction Services</w:t>
      </w:r>
    </w:p>
    <w:p w14:paraId="24CDDBE2" w14:textId="3FAC3CBB" w:rsidR="003E71FA" w:rsidRDefault="003E71FA" w:rsidP="003E71FA">
      <w:pPr>
        <w:pStyle w:val="ListParagraph"/>
        <w:numPr>
          <w:ilvl w:val="0"/>
          <w:numId w:val="45"/>
        </w:numPr>
      </w:pPr>
      <w:r>
        <w:t xml:space="preserve">Residential Property </w:t>
      </w:r>
    </w:p>
    <w:p w14:paraId="6C86F1E9" w14:textId="682BE83D" w:rsidR="003E71FA" w:rsidRDefault="003E71FA" w:rsidP="003E71FA">
      <w:pPr>
        <w:pStyle w:val="ListParagraph"/>
        <w:numPr>
          <w:ilvl w:val="0"/>
          <w:numId w:val="45"/>
        </w:numPr>
      </w:pPr>
      <w:r>
        <w:t>Office Property</w:t>
      </w:r>
    </w:p>
    <w:p w14:paraId="7779556E" w14:textId="1AB47BF8" w:rsidR="003E71FA" w:rsidRDefault="003E71FA" w:rsidP="003E71FA">
      <w:pPr>
        <w:pStyle w:val="ListParagraph"/>
        <w:numPr>
          <w:ilvl w:val="0"/>
          <w:numId w:val="45"/>
        </w:numPr>
      </w:pPr>
      <w:r>
        <w:t>Retail Property</w:t>
      </w:r>
    </w:p>
    <w:p w14:paraId="19049DBB" w14:textId="02175684" w:rsidR="003E71FA" w:rsidRPr="003E71FA" w:rsidRDefault="003E71FA" w:rsidP="003E71FA">
      <w:pPr>
        <w:pStyle w:val="ListParagraph"/>
        <w:numPr>
          <w:ilvl w:val="0"/>
          <w:numId w:val="45"/>
        </w:numPr>
      </w:pPr>
      <w:r>
        <w:t>Industrial and Other Property</w:t>
      </w:r>
    </w:p>
    <w:p w14:paraId="174F4EB7" w14:textId="170BEC82" w:rsidR="003E71FA" w:rsidRDefault="003E71FA" w:rsidP="0049563C">
      <w:pPr>
        <w:pStyle w:val="Heading3"/>
      </w:pPr>
      <w:bookmarkStart w:id="59" w:name="_Toc496460794"/>
      <w:r>
        <w:t>Demand Determinants</w:t>
      </w:r>
      <w:bookmarkEnd w:id="59"/>
    </w:p>
    <w:p w14:paraId="0C4BBF01" w14:textId="4ABC92BC" w:rsidR="003E71FA" w:rsidRPr="003E71FA" w:rsidRDefault="003E71FA" w:rsidP="003E71FA">
      <w:pPr>
        <w:rPr>
          <w:lang w:val="en-US"/>
        </w:rPr>
      </w:pPr>
      <w:r w:rsidRPr="003E71FA">
        <w:rPr>
          <w:lang w:val="en-US"/>
        </w:rPr>
        <w:t xml:space="preserve">Trends in building and infrastructure investment are the principal demand drivers for painting and decorating services. </w:t>
      </w:r>
      <w:proofErr w:type="gramStart"/>
      <w:r w:rsidRPr="003E71FA">
        <w:rPr>
          <w:lang w:val="en-US"/>
        </w:rPr>
        <w:t>Demand is also influenced by the capacity of households</w:t>
      </w:r>
      <w:proofErr w:type="gramEnd"/>
      <w:r w:rsidRPr="003E71FA">
        <w:rPr>
          <w:lang w:val="en-US"/>
        </w:rPr>
        <w:t xml:space="preserve"> to spend on home renovations and by trends in the substitution of skilled </w:t>
      </w:r>
      <w:proofErr w:type="spellStart"/>
      <w:r w:rsidRPr="003E71FA">
        <w:rPr>
          <w:lang w:val="en-US"/>
        </w:rPr>
        <w:t>labour</w:t>
      </w:r>
      <w:proofErr w:type="spellEnd"/>
      <w:r w:rsidRPr="003E71FA">
        <w:rPr>
          <w:lang w:val="en-US"/>
        </w:rPr>
        <w:t xml:space="preserve"> for unskilled </w:t>
      </w:r>
      <w:proofErr w:type="spellStart"/>
      <w:r w:rsidRPr="003E71FA">
        <w:rPr>
          <w:lang w:val="en-US"/>
        </w:rPr>
        <w:t>labour</w:t>
      </w:r>
      <w:proofErr w:type="spellEnd"/>
      <w:r w:rsidRPr="003E71FA">
        <w:rPr>
          <w:lang w:val="en-US"/>
        </w:rPr>
        <w:t xml:space="preserve">. The industry is exposed to substitution by DIY homeowners undertaking less skilled, more </w:t>
      </w:r>
      <w:proofErr w:type="spellStart"/>
      <w:r w:rsidRPr="003E71FA">
        <w:rPr>
          <w:lang w:val="en-US"/>
        </w:rPr>
        <w:t>labour-intensive</w:t>
      </w:r>
      <w:proofErr w:type="spellEnd"/>
      <w:r w:rsidRPr="003E71FA">
        <w:rPr>
          <w:lang w:val="en-US"/>
        </w:rPr>
        <w:t xml:space="preserve"> construction activities.</w:t>
      </w:r>
    </w:p>
    <w:p w14:paraId="50EB3FFC" w14:textId="77777777" w:rsidR="003E71FA" w:rsidRPr="003E71FA" w:rsidRDefault="003E71FA" w:rsidP="003E71FA">
      <w:pPr>
        <w:rPr>
          <w:lang w:val="en-US"/>
        </w:rPr>
      </w:pPr>
      <w:r w:rsidRPr="003E71FA">
        <w:rPr>
          <w:lang w:val="en-US"/>
        </w:rPr>
        <w:t>Technological developments in paint products, painting equipment and prefabricated building products tend to reduce the skill component of the industry. Product improvements can lengthen the life of the paint, which reduces maintenance requirements, and enhance ease of application and quality of finish, reducing skill requirements.</w:t>
      </w:r>
    </w:p>
    <w:p w14:paraId="76078C63" w14:textId="3F560280" w:rsidR="003E71FA" w:rsidRPr="003E71FA" w:rsidRDefault="003E71FA" w:rsidP="003E71FA">
      <w:pPr>
        <w:pStyle w:val="Heading4"/>
        <w:rPr>
          <w:lang w:val="en-US"/>
        </w:rPr>
      </w:pPr>
      <w:r w:rsidRPr="003E71FA">
        <w:rPr>
          <w:lang w:val="en-US"/>
        </w:rPr>
        <w:t>Residential building markets</w:t>
      </w:r>
    </w:p>
    <w:p w14:paraId="1AA1B099" w14:textId="77777777" w:rsidR="003E71FA" w:rsidRPr="003E71FA" w:rsidRDefault="003E71FA" w:rsidP="003E71FA">
      <w:pPr>
        <w:rPr>
          <w:lang w:val="en-US"/>
        </w:rPr>
      </w:pPr>
      <w:r w:rsidRPr="003E71FA">
        <w:rPr>
          <w:lang w:val="en-US"/>
        </w:rPr>
        <w:t xml:space="preserve">Key factors influencing demand for painters in the residential construction market include short-term economic factors like housing affordability. Demand for industry services is also influenced by the demand for dwellings, based on demographic factors (household formation and population growth) and the age of housing stock. The widespread use of clay bricks on the outer walls of houses limits demand from this market. The shift towards increased apartment construction tends to </w:t>
      </w:r>
      <w:r w:rsidRPr="003E71FA">
        <w:rPr>
          <w:lang w:val="en-US"/>
        </w:rPr>
        <w:lastRenderedPageBreak/>
        <w:t>reduce the painting input per unit. However, the renovation of period homes generates opportunities for niche markets with high value added.</w:t>
      </w:r>
    </w:p>
    <w:p w14:paraId="6A524355" w14:textId="77777777" w:rsidR="003E71FA" w:rsidRDefault="003E71FA" w:rsidP="003E71FA">
      <w:pPr>
        <w:pStyle w:val="Heading4"/>
        <w:rPr>
          <w:lang w:val="en-US"/>
        </w:rPr>
      </w:pPr>
      <w:r w:rsidRPr="003E71FA">
        <w:rPr>
          <w:lang w:val="en-US"/>
        </w:rPr>
        <w:t>Non-residential building markets</w:t>
      </w:r>
    </w:p>
    <w:p w14:paraId="4B4D0676" w14:textId="15FEC82E" w:rsidR="003E71FA" w:rsidRPr="003E71FA" w:rsidRDefault="003E71FA" w:rsidP="003E71FA">
      <w:pPr>
        <w:rPr>
          <w:lang w:val="en-US"/>
        </w:rPr>
      </w:pPr>
      <w:r w:rsidRPr="003E71FA">
        <w:rPr>
          <w:lang w:val="en-US"/>
        </w:rPr>
        <w:t xml:space="preserve">The demand for painting and decorating work on non-residential building and infrastructure projects varies according to the type of structure. </w:t>
      </w:r>
      <w:proofErr w:type="gramStart"/>
      <w:r w:rsidRPr="003E71FA">
        <w:rPr>
          <w:lang w:val="en-US"/>
        </w:rPr>
        <w:t>It is also influenced by short-term investment factors</w:t>
      </w:r>
      <w:proofErr w:type="gramEnd"/>
      <w:r w:rsidRPr="003E71FA">
        <w:rPr>
          <w:lang w:val="en-US"/>
        </w:rPr>
        <w:t>, including prevailing interest rates, expected general economic growth, expected yield on investment and taxation treatment of the investment compared with other types of assets.</w:t>
      </w:r>
    </w:p>
    <w:p w14:paraId="358F60DC" w14:textId="5254E546" w:rsidR="003E71FA" w:rsidRPr="003E71FA" w:rsidRDefault="003E71FA" w:rsidP="003E71FA">
      <w:pPr>
        <w:pStyle w:val="Heading4"/>
        <w:rPr>
          <w:lang w:val="en-US"/>
        </w:rPr>
      </w:pPr>
      <w:r w:rsidRPr="003E71FA">
        <w:rPr>
          <w:lang w:val="en-US"/>
        </w:rPr>
        <w:t>Discretionary income and outsourcing</w:t>
      </w:r>
    </w:p>
    <w:p w14:paraId="65088BFB" w14:textId="04F96DE7" w:rsidR="003E71FA" w:rsidRDefault="003E71FA" w:rsidP="003E71FA">
      <w:pPr>
        <w:rPr>
          <w:lang w:val="en-US"/>
        </w:rPr>
      </w:pPr>
      <w:r w:rsidRPr="003E71FA">
        <w:rPr>
          <w:lang w:val="en-US"/>
        </w:rPr>
        <w:t>Higher levels of discretionary income tend to encourage households to spend on home renovations. This in turn leads to consumers outsourcing work to industry firms rather than performing it themselves. Conversely, low levels of household discretionary income are likely to result in cost cutting methods by prospective renovators, or delays in renovation projects.</w:t>
      </w:r>
    </w:p>
    <w:p w14:paraId="28D074F0" w14:textId="06FA11B9" w:rsidR="00346146" w:rsidRPr="00346146" w:rsidRDefault="00346146" w:rsidP="00346146">
      <w:pPr>
        <w:pStyle w:val="Heading2"/>
        <w:rPr>
          <w:lang w:val="en-US"/>
        </w:rPr>
      </w:pPr>
      <w:bookmarkStart w:id="60" w:name="_Toc496460795"/>
      <w:r w:rsidRPr="00346146">
        <w:rPr>
          <w:lang w:val="en-US"/>
        </w:rPr>
        <w:t>Key Success Factors</w:t>
      </w:r>
      <w:bookmarkEnd w:id="60"/>
    </w:p>
    <w:p w14:paraId="38301E71" w14:textId="10496393" w:rsidR="00346146" w:rsidRPr="00346146" w:rsidRDefault="00346146" w:rsidP="00346146">
      <w:pPr>
        <w:rPr>
          <w:lang w:val="en-US"/>
        </w:rPr>
      </w:pPr>
      <w:r w:rsidRPr="00346146">
        <w:rPr>
          <w:lang w:val="en-US"/>
        </w:rPr>
        <w:t xml:space="preserve">IBISWorld identifies </w:t>
      </w:r>
      <w:r>
        <w:rPr>
          <w:lang w:val="en-US"/>
        </w:rPr>
        <w:t xml:space="preserve">the following </w:t>
      </w:r>
      <w:r w:rsidRPr="00346146">
        <w:rPr>
          <w:lang w:val="en-US"/>
        </w:rPr>
        <w:t>Key Success Factors for a business. The most important for this industry are:</w:t>
      </w:r>
    </w:p>
    <w:p w14:paraId="62D85DF4" w14:textId="255286B5" w:rsidR="00346146" w:rsidRPr="00346146" w:rsidRDefault="00346146" w:rsidP="00346146">
      <w:pPr>
        <w:pStyle w:val="ListParagraph"/>
        <w:numPr>
          <w:ilvl w:val="0"/>
          <w:numId w:val="46"/>
        </w:numPr>
        <w:rPr>
          <w:lang w:val="en-US"/>
        </w:rPr>
      </w:pPr>
      <w:r w:rsidRPr="00346146">
        <w:rPr>
          <w:lang w:val="en-US"/>
        </w:rPr>
        <w:t>Ability to compete on tender: Much of the work generated in the industry is distributed on a tender basis. Successful contractors look to win tenders by offering competitive pricing and a reputation for quality.</w:t>
      </w:r>
    </w:p>
    <w:p w14:paraId="0DD181ED" w14:textId="6A0699CE" w:rsidR="00346146" w:rsidRPr="00346146" w:rsidRDefault="00346146" w:rsidP="00346146">
      <w:pPr>
        <w:pStyle w:val="ListParagraph"/>
        <w:numPr>
          <w:ilvl w:val="0"/>
          <w:numId w:val="46"/>
        </w:numPr>
        <w:rPr>
          <w:lang w:val="en-US"/>
        </w:rPr>
      </w:pPr>
      <w:r w:rsidRPr="00346146">
        <w:rPr>
          <w:lang w:val="en-US"/>
        </w:rPr>
        <w:t>Ability to change which market the firm operates in: Successful players are often able to operate across a range of markets (e.g. housing, commercial, industrial, maintenance and repair), and can shift focus between markets depending on demand conditions.</w:t>
      </w:r>
    </w:p>
    <w:p w14:paraId="6B497D84" w14:textId="1A475BB0" w:rsidR="00346146" w:rsidRPr="00346146" w:rsidRDefault="00346146" w:rsidP="00346146">
      <w:pPr>
        <w:pStyle w:val="ListParagraph"/>
        <w:numPr>
          <w:ilvl w:val="0"/>
          <w:numId w:val="46"/>
        </w:numPr>
        <w:rPr>
          <w:lang w:val="en-US"/>
        </w:rPr>
      </w:pPr>
      <w:r w:rsidRPr="00346146">
        <w:rPr>
          <w:lang w:val="en-US"/>
        </w:rPr>
        <w:t>Having a good reputation: Successful painting contractors generate referrals by establishing a reputation for high-quality workmanship, timeliness, cleanliness and completing jobs within budget.</w:t>
      </w:r>
    </w:p>
    <w:p w14:paraId="135FEC06" w14:textId="3E953F56" w:rsidR="00346146" w:rsidRPr="00346146" w:rsidRDefault="00346146" w:rsidP="00346146">
      <w:pPr>
        <w:pStyle w:val="ListParagraph"/>
        <w:numPr>
          <w:ilvl w:val="0"/>
          <w:numId w:val="46"/>
        </w:numPr>
        <w:rPr>
          <w:lang w:val="en-US"/>
        </w:rPr>
      </w:pPr>
      <w:r w:rsidRPr="00346146">
        <w:rPr>
          <w:lang w:val="en-US"/>
        </w:rPr>
        <w:t>Having a loyal customer base: Successful industry players generally establish a loyal customer base by maintaining a high quality of workmanship and developing referrals for new contracts</w:t>
      </w:r>
    </w:p>
    <w:p w14:paraId="7EDB5758" w14:textId="6A7DC3DC" w:rsidR="00346146" w:rsidRDefault="00346146" w:rsidP="00346146">
      <w:pPr>
        <w:pStyle w:val="ListParagraph"/>
        <w:numPr>
          <w:ilvl w:val="0"/>
          <w:numId w:val="46"/>
        </w:numPr>
        <w:rPr>
          <w:lang w:val="en-US"/>
        </w:rPr>
      </w:pPr>
      <w:r w:rsidRPr="00346146">
        <w:rPr>
          <w:lang w:val="en-US"/>
        </w:rPr>
        <w:t>Ability to quickly adopt new technology: Successful players are typically informed on product advancements and new application techniques. This allows them to provide clients with a diverse range of products and services and to keep pace with consumer trends.</w:t>
      </w:r>
    </w:p>
    <w:p w14:paraId="4DDEEBF6" w14:textId="3B289107" w:rsidR="004E09E0" w:rsidRDefault="004E09E0" w:rsidP="004E09E0">
      <w:pPr>
        <w:pStyle w:val="Heading2"/>
      </w:pPr>
      <w:bookmarkStart w:id="61" w:name="_Toc496460796"/>
      <w:r>
        <w:lastRenderedPageBreak/>
        <w:t>National Qualification Uptake</w:t>
      </w:r>
      <w:bookmarkEnd w:id="61"/>
    </w:p>
    <w:p w14:paraId="75CFB75E" w14:textId="37AA9349" w:rsidR="00346146" w:rsidRDefault="00346146" w:rsidP="0049563C">
      <w:pPr>
        <w:pStyle w:val="Heading3"/>
      </w:pPr>
      <w:bookmarkStart w:id="62" w:name="_Toc496460797"/>
      <w:r>
        <w:t>Qualification Completions</w:t>
      </w:r>
      <w:bookmarkEnd w:id="62"/>
    </w:p>
    <w:p w14:paraId="25E119C2" w14:textId="015DB70D" w:rsidR="001B626A" w:rsidRPr="001B626A" w:rsidRDefault="001B626A" w:rsidP="001B626A">
      <w:pPr>
        <w:rPr>
          <w:lang w:val="en-US"/>
        </w:rPr>
      </w:pPr>
      <w:r>
        <w:rPr>
          <w:noProof/>
        </w:rPr>
        <w:drawing>
          <wp:inline distT="0" distB="0" distL="0" distR="0" wp14:anchorId="034416DD" wp14:editId="28FFA9E1">
            <wp:extent cx="5715000" cy="2743200"/>
            <wp:effectExtent l="0" t="0" r="0" b="0"/>
            <wp:docPr id="2" name="Chart 2">
              <a:extLst xmlns:a="http://schemas.openxmlformats.org/drawingml/2006/main">
                <a:ext uri="{FF2B5EF4-FFF2-40B4-BE49-F238E27FC236}">
                  <a16:creationId xmlns:a16="http://schemas.microsoft.com/office/drawing/2014/main" id="{54C88B62-D332-4C22-9481-1070BE2AC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Look w:val="04A0" w:firstRow="1" w:lastRow="0" w:firstColumn="1" w:lastColumn="0" w:noHBand="0" w:noVBand="1"/>
      </w:tblPr>
      <w:tblGrid>
        <w:gridCol w:w="1127"/>
        <w:gridCol w:w="1127"/>
        <w:gridCol w:w="1127"/>
        <w:gridCol w:w="1127"/>
        <w:gridCol w:w="1127"/>
        <w:gridCol w:w="1127"/>
        <w:gridCol w:w="1127"/>
        <w:gridCol w:w="1127"/>
      </w:tblGrid>
      <w:tr w:rsidR="001B626A" w:rsidRPr="001B626A" w14:paraId="65DEEF6C" w14:textId="77777777" w:rsidTr="001B626A">
        <w:trPr>
          <w:trHeight w:val="525"/>
        </w:trPr>
        <w:tc>
          <w:tcPr>
            <w:tcW w:w="6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1B90DF" w14:textId="59981A47" w:rsidR="001B626A" w:rsidRPr="001B626A" w:rsidRDefault="001B626A" w:rsidP="001B626A">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NSW</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A918A5D" w14:textId="725B98B2" w:rsidR="001B626A" w:rsidRPr="001B626A" w:rsidRDefault="001B626A" w:rsidP="001B626A">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VIC</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C75D2F8" w14:textId="1663E503" w:rsidR="001B626A" w:rsidRPr="001B626A" w:rsidRDefault="001B626A" w:rsidP="001B626A">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QLD</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F2B7558" w14:textId="4F0A54EC" w:rsidR="001B626A" w:rsidRPr="001B626A" w:rsidRDefault="001B626A" w:rsidP="001B626A">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SA</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141978B" w14:textId="3544E843" w:rsidR="001B626A" w:rsidRPr="001B626A" w:rsidRDefault="001B626A" w:rsidP="001B626A">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WA</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C5FA2E2" w14:textId="0BAA9707" w:rsidR="001B626A" w:rsidRPr="001B626A" w:rsidRDefault="001B626A" w:rsidP="001B626A">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TAS</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BF8ADD0" w14:textId="70D2930C" w:rsidR="001B626A" w:rsidRPr="001B626A" w:rsidRDefault="001B626A" w:rsidP="001B626A">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NT</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E30EC1C" w14:textId="05AB3E36" w:rsidR="001B626A" w:rsidRPr="001B626A" w:rsidRDefault="001B626A" w:rsidP="001B626A">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ACT</w:t>
            </w:r>
          </w:p>
        </w:tc>
      </w:tr>
      <w:tr w:rsidR="001B626A" w:rsidRPr="001B626A" w14:paraId="3E03CE01" w14:textId="77777777" w:rsidTr="001B626A">
        <w:trPr>
          <w:trHeight w:val="459"/>
        </w:trPr>
        <w:tc>
          <w:tcPr>
            <w:tcW w:w="625" w:type="pct"/>
            <w:tcBorders>
              <w:top w:val="nil"/>
              <w:left w:val="single" w:sz="4" w:space="0" w:color="auto"/>
              <w:bottom w:val="single" w:sz="4" w:space="0" w:color="auto"/>
              <w:right w:val="single" w:sz="4" w:space="0" w:color="auto"/>
            </w:tcBorders>
            <w:shd w:val="clear" w:color="000000" w:fill="FFFFFF"/>
            <w:noWrap/>
            <w:vAlign w:val="center"/>
            <w:hideMark/>
          </w:tcPr>
          <w:p w14:paraId="3493E8D0" w14:textId="77777777" w:rsidR="001B626A" w:rsidRPr="001B626A" w:rsidRDefault="001B626A" w:rsidP="001B626A">
            <w:pPr>
              <w:spacing w:after="0" w:line="240" w:lineRule="auto"/>
              <w:jc w:val="center"/>
              <w:rPr>
                <w:rFonts w:ascii="Arial" w:eastAsia="Times New Roman" w:hAnsi="Arial" w:cs="Arial"/>
                <w:sz w:val="18"/>
                <w:szCs w:val="18"/>
                <w:lang w:eastAsia="en-AU"/>
              </w:rPr>
            </w:pPr>
            <w:r w:rsidRPr="001B626A">
              <w:rPr>
                <w:rFonts w:ascii="Arial" w:eastAsia="Times New Roman" w:hAnsi="Arial" w:cs="Arial"/>
                <w:sz w:val="18"/>
                <w:szCs w:val="18"/>
                <w:lang w:eastAsia="en-AU"/>
              </w:rPr>
              <w:t>1353</w:t>
            </w:r>
          </w:p>
        </w:tc>
        <w:tc>
          <w:tcPr>
            <w:tcW w:w="625" w:type="pct"/>
            <w:tcBorders>
              <w:top w:val="nil"/>
              <w:left w:val="nil"/>
              <w:bottom w:val="single" w:sz="4" w:space="0" w:color="auto"/>
              <w:right w:val="single" w:sz="4" w:space="0" w:color="auto"/>
            </w:tcBorders>
            <w:shd w:val="clear" w:color="000000" w:fill="FFFFFF"/>
            <w:noWrap/>
            <w:vAlign w:val="center"/>
            <w:hideMark/>
          </w:tcPr>
          <w:p w14:paraId="29574097" w14:textId="77777777" w:rsidR="001B626A" w:rsidRPr="001B626A" w:rsidRDefault="001B626A" w:rsidP="001B626A">
            <w:pPr>
              <w:spacing w:after="0" w:line="240" w:lineRule="auto"/>
              <w:jc w:val="center"/>
              <w:rPr>
                <w:rFonts w:ascii="Arial" w:eastAsia="Times New Roman" w:hAnsi="Arial" w:cs="Arial"/>
                <w:sz w:val="18"/>
                <w:szCs w:val="18"/>
                <w:lang w:eastAsia="en-AU"/>
              </w:rPr>
            </w:pPr>
            <w:r w:rsidRPr="001B626A">
              <w:rPr>
                <w:rFonts w:ascii="Arial" w:eastAsia="Times New Roman" w:hAnsi="Arial" w:cs="Arial"/>
                <w:sz w:val="18"/>
                <w:szCs w:val="18"/>
                <w:lang w:eastAsia="en-AU"/>
              </w:rPr>
              <w:t>1089</w:t>
            </w:r>
          </w:p>
        </w:tc>
        <w:tc>
          <w:tcPr>
            <w:tcW w:w="625" w:type="pct"/>
            <w:tcBorders>
              <w:top w:val="nil"/>
              <w:left w:val="nil"/>
              <w:bottom w:val="single" w:sz="4" w:space="0" w:color="auto"/>
              <w:right w:val="single" w:sz="4" w:space="0" w:color="auto"/>
            </w:tcBorders>
            <w:shd w:val="clear" w:color="000000" w:fill="FFFFFF"/>
            <w:noWrap/>
            <w:vAlign w:val="center"/>
            <w:hideMark/>
          </w:tcPr>
          <w:p w14:paraId="1355B035" w14:textId="77777777" w:rsidR="001B626A" w:rsidRPr="001B626A" w:rsidRDefault="001B626A" w:rsidP="001B626A">
            <w:pPr>
              <w:spacing w:after="0" w:line="240" w:lineRule="auto"/>
              <w:jc w:val="center"/>
              <w:rPr>
                <w:rFonts w:ascii="Arial" w:eastAsia="Times New Roman" w:hAnsi="Arial" w:cs="Arial"/>
                <w:sz w:val="18"/>
                <w:szCs w:val="18"/>
                <w:lang w:eastAsia="en-AU"/>
              </w:rPr>
            </w:pPr>
            <w:r w:rsidRPr="001B626A">
              <w:rPr>
                <w:rFonts w:ascii="Arial" w:eastAsia="Times New Roman" w:hAnsi="Arial" w:cs="Arial"/>
                <w:sz w:val="18"/>
                <w:szCs w:val="18"/>
                <w:lang w:eastAsia="en-AU"/>
              </w:rPr>
              <w:t>1301</w:t>
            </w:r>
          </w:p>
        </w:tc>
        <w:tc>
          <w:tcPr>
            <w:tcW w:w="625" w:type="pct"/>
            <w:tcBorders>
              <w:top w:val="nil"/>
              <w:left w:val="nil"/>
              <w:bottom w:val="single" w:sz="4" w:space="0" w:color="auto"/>
              <w:right w:val="single" w:sz="4" w:space="0" w:color="auto"/>
            </w:tcBorders>
            <w:shd w:val="clear" w:color="000000" w:fill="FFFFFF"/>
            <w:noWrap/>
            <w:vAlign w:val="center"/>
            <w:hideMark/>
          </w:tcPr>
          <w:p w14:paraId="5955A271" w14:textId="77777777" w:rsidR="001B626A" w:rsidRPr="001B626A" w:rsidRDefault="001B626A" w:rsidP="001B626A">
            <w:pPr>
              <w:spacing w:after="0" w:line="240" w:lineRule="auto"/>
              <w:jc w:val="center"/>
              <w:rPr>
                <w:rFonts w:ascii="Arial" w:eastAsia="Times New Roman" w:hAnsi="Arial" w:cs="Arial"/>
                <w:sz w:val="18"/>
                <w:szCs w:val="18"/>
                <w:lang w:eastAsia="en-AU"/>
              </w:rPr>
            </w:pPr>
            <w:r w:rsidRPr="001B626A">
              <w:rPr>
                <w:rFonts w:ascii="Arial" w:eastAsia="Times New Roman" w:hAnsi="Arial" w:cs="Arial"/>
                <w:sz w:val="18"/>
                <w:szCs w:val="18"/>
                <w:lang w:eastAsia="en-AU"/>
              </w:rPr>
              <w:t>88</w:t>
            </w:r>
          </w:p>
        </w:tc>
        <w:tc>
          <w:tcPr>
            <w:tcW w:w="625" w:type="pct"/>
            <w:tcBorders>
              <w:top w:val="nil"/>
              <w:left w:val="nil"/>
              <w:bottom w:val="single" w:sz="4" w:space="0" w:color="auto"/>
              <w:right w:val="single" w:sz="4" w:space="0" w:color="auto"/>
            </w:tcBorders>
            <w:shd w:val="clear" w:color="000000" w:fill="FFFFFF"/>
            <w:noWrap/>
            <w:vAlign w:val="center"/>
            <w:hideMark/>
          </w:tcPr>
          <w:p w14:paraId="4545A3F0" w14:textId="77777777" w:rsidR="001B626A" w:rsidRPr="001B626A" w:rsidRDefault="001B626A" w:rsidP="001B626A">
            <w:pPr>
              <w:spacing w:after="0" w:line="240" w:lineRule="auto"/>
              <w:jc w:val="center"/>
              <w:rPr>
                <w:rFonts w:ascii="Arial" w:eastAsia="Times New Roman" w:hAnsi="Arial" w:cs="Arial"/>
                <w:sz w:val="18"/>
                <w:szCs w:val="18"/>
                <w:lang w:eastAsia="en-AU"/>
              </w:rPr>
            </w:pPr>
            <w:r w:rsidRPr="001B626A">
              <w:rPr>
                <w:rFonts w:ascii="Arial" w:eastAsia="Times New Roman" w:hAnsi="Arial" w:cs="Arial"/>
                <w:sz w:val="18"/>
                <w:szCs w:val="18"/>
                <w:lang w:eastAsia="en-AU"/>
              </w:rPr>
              <w:t>141</w:t>
            </w:r>
          </w:p>
        </w:tc>
        <w:tc>
          <w:tcPr>
            <w:tcW w:w="625" w:type="pct"/>
            <w:tcBorders>
              <w:top w:val="nil"/>
              <w:left w:val="nil"/>
              <w:bottom w:val="single" w:sz="4" w:space="0" w:color="auto"/>
              <w:right w:val="single" w:sz="4" w:space="0" w:color="auto"/>
            </w:tcBorders>
            <w:shd w:val="clear" w:color="000000" w:fill="FFFFFF"/>
            <w:noWrap/>
            <w:vAlign w:val="center"/>
            <w:hideMark/>
          </w:tcPr>
          <w:p w14:paraId="1BAF14B1" w14:textId="77777777" w:rsidR="001B626A" w:rsidRPr="001B626A" w:rsidRDefault="001B626A" w:rsidP="001B626A">
            <w:pPr>
              <w:spacing w:after="0" w:line="240" w:lineRule="auto"/>
              <w:jc w:val="center"/>
              <w:rPr>
                <w:rFonts w:ascii="Arial" w:eastAsia="Times New Roman" w:hAnsi="Arial" w:cs="Arial"/>
                <w:sz w:val="18"/>
                <w:szCs w:val="18"/>
                <w:lang w:eastAsia="en-AU"/>
              </w:rPr>
            </w:pPr>
            <w:r w:rsidRPr="001B626A">
              <w:rPr>
                <w:rFonts w:ascii="Arial" w:eastAsia="Times New Roman" w:hAnsi="Arial" w:cs="Arial"/>
                <w:sz w:val="18"/>
                <w:szCs w:val="18"/>
                <w:lang w:eastAsia="en-AU"/>
              </w:rPr>
              <w:t>74</w:t>
            </w:r>
          </w:p>
        </w:tc>
        <w:tc>
          <w:tcPr>
            <w:tcW w:w="625" w:type="pct"/>
            <w:tcBorders>
              <w:top w:val="nil"/>
              <w:left w:val="nil"/>
              <w:bottom w:val="single" w:sz="4" w:space="0" w:color="auto"/>
              <w:right w:val="single" w:sz="4" w:space="0" w:color="auto"/>
            </w:tcBorders>
            <w:shd w:val="clear" w:color="000000" w:fill="FFFFFF"/>
            <w:noWrap/>
            <w:vAlign w:val="center"/>
            <w:hideMark/>
          </w:tcPr>
          <w:p w14:paraId="26B9905C" w14:textId="77777777" w:rsidR="001B626A" w:rsidRPr="001B626A" w:rsidRDefault="001B626A" w:rsidP="001B626A">
            <w:pPr>
              <w:spacing w:after="0" w:line="240" w:lineRule="auto"/>
              <w:jc w:val="center"/>
              <w:rPr>
                <w:rFonts w:ascii="Arial" w:eastAsia="Times New Roman" w:hAnsi="Arial" w:cs="Arial"/>
                <w:sz w:val="18"/>
                <w:szCs w:val="18"/>
                <w:lang w:eastAsia="en-AU"/>
              </w:rPr>
            </w:pPr>
            <w:r w:rsidRPr="001B626A">
              <w:rPr>
                <w:rFonts w:ascii="Arial" w:eastAsia="Times New Roman" w:hAnsi="Arial" w:cs="Arial"/>
                <w:sz w:val="18"/>
                <w:szCs w:val="18"/>
                <w:lang w:eastAsia="en-AU"/>
              </w:rPr>
              <w:t>12</w:t>
            </w:r>
          </w:p>
        </w:tc>
        <w:tc>
          <w:tcPr>
            <w:tcW w:w="625" w:type="pct"/>
            <w:tcBorders>
              <w:top w:val="nil"/>
              <w:left w:val="nil"/>
              <w:bottom w:val="single" w:sz="4" w:space="0" w:color="auto"/>
              <w:right w:val="single" w:sz="4" w:space="0" w:color="auto"/>
            </w:tcBorders>
            <w:shd w:val="clear" w:color="000000" w:fill="FFFFFF"/>
            <w:noWrap/>
            <w:vAlign w:val="center"/>
            <w:hideMark/>
          </w:tcPr>
          <w:p w14:paraId="37E3ECE5" w14:textId="77777777" w:rsidR="001B626A" w:rsidRPr="001B626A" w:rsidRDefault="001B626A" w:rsidP="001B626A">
            <w:pPr>
              <w:spacing w:after="0" w:line="240" w:lineRule="auto"/>
              <w:jc w:val="center"/>
              <w:rPr>
                <w:rFonts w:ascii="Arial" w:eastAsia="Times New Roman" w:hAnsi="Arial" w:cs="Arial"/>
                <w:sz w:val="18"/>
                <w:szCs w:val="18"/>
                <w:lang w:eastAsia="en-AU"/>
              </w:rPr>
            </w:pPr>
            <w:r w:rsidRPr="001B626A">
              <w:rPr>
                <w:rFonts w:ascii="Arial" w:eastAsia="Times New Roman" w:hAnsi="Arial" w:cs="Arial"/>
                <w:sz w:val="18"/>
                <w:szCs w:val="18"/>
                <w:lang w:eastAsia="en-AU"/>
              </w:rPr>
              <w:t>39</w:t>
            </w:r>
          </w:p>
        </w:tc>
      </w:tr>
    </w:tbl>
    <w:p w14:paraId="16609E48" w14:textId="77777777" w:rsidR="002368AF" w:rsidRDefault="002368AF" w:rsidP="0049563C">
      <w:pPr>
        <w:pStyle w:val="Heading3"/>
      </w:pPr>
    </w:p>
    <w:p w14:paraId="02AC83CA" w14:textId="71F97E01" w:rsidR="00953A3F" w:rsidRDefault="00346146" w:rsidP="0049563C">
      <w:pPr>
        <w:pStyle w:val="Heading3"/>
      </w:pPr>
      <w:bookmarkStart w:id="63" w:name="_Toc496460798"/>
      <w:r>
        <w:t>RTO Scope</w:t>
      </w:r>
      <w:bookmarkEnd w:id="63"/>
    </w:p>
    <w:p w14:paraId="2AAE5FEB" w14:textId="74FA554B" w:rsidR="00346146" w:rsidRDefault="00953A3F" w:rsidP="003E1487">
      <w:r>
        <w:rPr>
          <w:noProof/>
        </w:rPr>
        <w:drawing>
          <wp:inline distT="0" distB="0" distL="0" distR="0" wp14:anchorId="42A71C93" wp14:editId="43D17196">
            <wp:extent cx="5737860" cy="2743200"/>
            <wp:effectExtent l="0" t="0" r="15240" b="0"/>
            <wp:docPr id="5" name="Chart 5">
              <a:extLst xmlns:a="http://schemas.openxmlformats.org/drawingml/2006/main">
                <a:ext uri="{FF2B5EF4-FFF2-40B4-BE49-F238E27FC236}">
                  <a16:creationId xmlns:a16="http://schemas.microsoft.com/office/drawing/2014/main" id="{CFAB42E8-81B1-4D5C-8979-72C12D072B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46146">
        <w:t xml:space="preserve"> </w:t>
      </w:r>
    </w:p>
    <w:tbl>
      <w:tblPr>
        <w:tblW w:w="5000" w:type="pct"/>
        <w:tblLook w:val="04A0" w:firstRow="1" w:lastRow="0" w:firstColumn="1" w:lastColumn="0" w:noHBand="0" w:noVBand="1"/>
      </w:tblPr>
      <w:tblGrid>
        <w:gridCol w:w="1127"/>
        <w:gridCol w:w="1127"/>
        <w:gridCol w:w="1127"/>
        <w:gridCol w:w="1127"/>
        <w:gridCol w:w="1127"/>
        <w:gridCol w:w="1127"/>
        <w:gridCol w:w="1127"/>
        <w:gridCol w:w="1127"/>
      </w:tblGrid>
      <w:tr w:rsidR="00953A3F" w:rsidRPr="001B626A" w14:paraId="75E6CFAC" w14:textId="77777777" w:rsidTr="00D809CB">
        <w:trPr>
          <w:trHeight w:val="525"/>
        </w:trPr>
        <w:tc>
          <w:tcPr>
            <w:tcW w:w="6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90128A" w14:textId="77777777" w:rsidR="00953A3F" w:rsidRPr="001B626A" w:rsidRDefault="00953A3F" w:rsidP="00D809CB">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NSW</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A24095C" w14:textId="77777777" w:rsidR="00953A3F" w:rsidRPr="001B626A" w:rsidRDefault="00953A3F" w:rsidP="00D809CB">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VIC</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87BE01" w14:textId="77777777" w:rsidR="00953A3F" w:rsidRPr="001B626A" w:rsidRDefault="00953A3F" w:rsidP="00D809CB">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QLD</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990ECF4" w14:textId="77777777" w:rsidR="00953A3F" w:rsidRPr="001B626A" w:rsidRDefault="00953A3F" w:rsidP="00D809CB">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SA</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7DF1625" w14:textId="77777777" w:rsidR="00953A3F" w:rsidRPr="001B626A" w:rsidRDefault="00953A3F" w:rsidP="00D809CB">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WA</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4616A8D" w14:textId="77777777" w:rsidR="00953A3F" w:rsidRPr="001B626A" w:rsidRDefault="00953A3F" w:rsidP="00D809CB">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TAS</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8416649" w14:textId="77777777" w:rsidR="00953A3F" w:rsidRPr="001B626A" w:rsidRDefault="00953A3F" w:rsidP="00D809CB">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NT</w:t>
            </w:r>
          </w:p>
        </w:tc>
        <w:tc>
          <w:tcPr>
            <w:tcW w:w="62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FFDC7CC" w14:textId="77777777" w:rsidR="00953A3F" w:rsidRPr="001B626A" w:rsidRDefault="00953A3F" w:rsidP="00D809CB">
            <w:pPr>
              <w:spacing w:after="0" w:line="240" w:lineRule="auto"/>
              <w:jc w:val="center"/>
              <w:rPr>
                <w:rFonts w:ascii="Arial" w:eastAsia="Times New Roman" w:hAnsi="Arial" w:cs="Arial"/>
                <w:b/>
                <w:color w:val="FFFFFF" w:themeColor="background1"/>
                <w:sz w:val="18"/>
                <w:szCs w:val="18"/>
                <w:lang w:eastAsia="en-AU"/>
              </w:rPr>
            </w:pPr>
            <w:r w:rsidRPr="001B626A">
              <w:rPr>
                <w:rFonts w:ascii="Arial" w:eastAsia="Times New Roman" w:hAnsi="Arial" w:cs="Arial"/>
                <w:b/>
                <w:color w:val="FFFFFF" w:themeColor="background1"/>
                <w:sz w:val="18"/>
                <w:szCs w:val="18"/>
                <w:lang w:eastAsia="en-AU"/>
              </w:rPr>
              <w:t>ACT</w:t>
            </w:r>
          </w:p>
        </w:tc>
      </w:tr>
      <w:tr w:rsidR="00953A3F" w:rsidRPr="001B626A" w14:paraId="06D918F0" w14:textId="77777777" w:rsidTr="00D809CB">
        <w:trPr>
          <w:trHeight w:val="459"/>
        </w:trPr>
        <w:tc>
          <w:tcPr>
            <w:tcW w:w="625" w:type="pct"/>
            <w:tcBorders>
              <w:top w:val="nil"/>
              <w:left w:val="single" w:sz="4" w:space="0" w:color="auto"/>
              <w:bottom w:val="single" w:sz="4" w:space="0" w:color="auto"/>
              <w:right w:val="single" w:sz="4" w:space="0" w:color="auto"/>
            </w:tcBorders>
            <w:shd w:val="clear" w:color="000000" w:fill="FFFFFF"/>
            <w:noWrap/>
            <w:vAlign w:val="center"/>
            <w:hideMark/>
          </w:tcPr>
          <w:p w14:paraId="32B9EF59" w14:textId="1B3F8C78" w:rsidR="00953A3F" w:rsidRPr="001B626A" w:rsidRDefault="00953A3F" w:rsidP="00D809CB">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59</w:t>
            </w:r>
          </w:p>
        </w:tc>
        <w:tc>
          <w:tcPr>
            <w:tcW w:w="625" w:type="pct"/>
            <w:tcBorders>
              <w:top w:val="nil"/>
              <w:left w:val="nil"/>
              <w:bottom w:val="single" w:sz="4" w:space="0" w:color="auto"/>
              <w:right w:val="single" w:sz="4" w:space="0" w:color="auto"/>
            </w:tcBorders>
            <w:shd w:val="clear" w:color="000000" w:fill="FFFFFF"/>
            <w:noWrap/>
            <w:vAlign w:val="center"/>
            <w:hideMark/>
          </w:tcPr>
          <w:p w14:paraId="221FF889" w14:textId="031A8DDC" w:rsidR="00953A3F" w:rsidRPr="001B626A" w:rsidRDefault="00953A3F" w:rsidP="00D809CB">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59</w:t>
            </w:r>
          </w:p>
        </w:tc>
        <w:tc>
          <w:tcPr>
            <w:tcW w:w="625" w:type="pct"/>
            <w:tcBorders>
              <w:top w:val="nil"/>
              <w:left w:val="nil"/>
              <w:bottom w:val="single" w:sz="4" w:space="0" w:color="auto"/>
              <w:right w:val="single" w:sz="4" w:space="0" w:color="auto"/>
            </w:tcBorders>
            <w:shd w:val="clear" w:color="000000" w:fill="FFFFFF"/>
            <w:noWrap/>
            <w:vAlign w:val="center"/>
            <w:hideMark/>
          </w:tcPr>
          <w:p w14:paraId="3F8E5305" w14:textId="6DB8AD90" w:rsidR="00953A3F" w:rsidRPr="001B626A" w:rsidRDefault="00953A3F" w:rsidP="00D809CB">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57</w:t>
            </w:r>
          </w:p>
        </w:tc>
        <w:tc>
          <w:tcPr>
            <w:tcW w:w="625" w:type="pct"/>
            <w:tcBorders>
              <w:top w:val="nil"/>
              <w:left w:val="nil"/>
              <w:bottom w:val="single" w:sz="4" w:space="0" w:color="auto"/>
              <w:right w:val="single" w:sz="4" w:space="0" w:color="auto"/>
            </w:tcBorders>
            <w:shd w:val="clear" w:color="000000" w:fill="FFFFFF"/>
            <w:noWrap/>
            <w:vAlign w:val="center"/>
            <w:hideMark/>
          </w:tcPr>
          <w:p w14:paraId="5213C9F2" w14:textId="717BB381" w:rsidR="00953A3F" w:rsidRPr="001B626A" w:rsidRDefault="00953A3F" w:rsidP="00D809CB">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43</w:t>
            </w:r>
          </w:p>
        </w:tc>
        <w:tc>
          <w:tcPr>
            <w:tcW w:w="625" w:type="pct"/>
            <w:tcBorders>
              <w:top w:val="nil"/>
              <w:left w:val="nil"/>
              <w:bottom w:val="single" w:sz="4" w:space="0" w:color="auto"/>
              <w:right w:val="single" w:sz="4" w:space="0" w:color="auto"/>
            </w:tcBorders>
            <w:shd w:val="clear" w:color="000000" w:fill="FFFFFF"/>
            <w:noWrap/>
            <w:vAlign w:val="center"/>
            <w:hideMark/>
          </w:tcPr>
          <w:p w14:paraId="5C372EAA" w14:textId="2C065CB0" w:rsidR="00953A3F" w:rsidRPr="001B626A" w:rsidRDefault="00953A3F" w:rsidP="00D809CB">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44</w:t>
            </w:r>
          </w:p>
        </w:tc>
        <w:tc>
          <w:tcPr>
            <w:tcW w:w="625" w:type="pct"/>
            <w:tcBorders>
              <w:top w:val="nil"/>
              <w:left w:val="nil"/>
              <w:bottom w:val="single" w:sz="4" w:space="0" w:color="auto"/>
              <w:right w:val="single" w:sz="4" w:space="0" w:color="auto"/>
            </w:tcBorders>
            <w:shd w:val="clear" w:color="000000" w:fill="FFFFFF"/>
            <w:noWrap/>
            <w:vAlign w:val="center"/>
            <w:hideMark/>
          </w:tcPr>
          <w:p w14:paraId="4C062339" w14:textId="3040440E" w:rsidR="00953A3F" w:rsidRPr="001B626A" w:rsidRDefault="00953A3F" w:rsidP="00D809CB">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42</w:t>
            </w:r>
          </w:p>
        </w:tc>
        <w:tc>
          <w:tcPr>
            <w:tcW w:w="625" w:type="pct"/>
            <w:tcBorders>
              <w:top w:val="nil"/>
              <w:left w:val="nil"/>
              <w:bottom w:val="single" w:sz="4" w:space="0" w:color="auto"/>
              <w:right w:val="single" w:sz="4" w:space="0" w:color="auto"/>
            </w:tcBorders>
            <w:shd w:val="clear" w:color="000000" w:fill="FFFFFF"/>
            <w:noWrap/>
            <w:vAlign w:val="center"/>
            <w:hideMark/>
          </w:tcPr>
          <w:p w14:paraId="22821807" w14:textId="16C96F98" w:rsidR="00953A3F" w:rsidRPr="001B626A" w:rsidRDefault="00953A3F" w:rsidP="00D809CB">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40</w:t>
            </w:r>
          </w:p>
        </w:tc>
        <w:tc>
          <w:tcPr>
            <w:tcW w:w="625" w:type="pct"/>
            <w:tcBorders>
              <w:top w:val="nil"/>
              <w:left w:val="nil"/>
              <w:bottom w:val="single" w:sz="4" w:space="0" w:color="auto"/>
              <w:right w:val="single" w:sz="4" w:space="0" w:color="auto"/>
            </w:tcBorders>
            <w:shd w:val="clear" w:color="000000" w:fill="FFFFFF"/>
            <w:noWrap/>
            <w:vAlign w:val="center"/>
            <w:hideMark/>
          </w:tcPr>
          <w:p w14:paraId="73E0819B" w14:textId="7F162ACA" w:rsidR="00953A3F" w:rsidRPr="001B626A" w:rsidRDefault="00953A3F" w:rsidP="00D809CB">
            <w:pPr>
              <w:spacing w:after="0" w:line="240" w:lineRule="auto"/>
              <w:jc w:val="center"/>
              <w:rPr>
                <w:rFonts w:ascii="Arial" w:eastAsia="Times New Roman" w:hAnsi="Arial" w:cs="Arial"/>
                <w:sz w:val="18"/>
                <w:szCs w:val="18"/>
                <w:lang w:eastAsia="en-AU"/>
              </w:rPr>
            </w:pPr>
            <w:r>
              <w:rPr>
                <w:rFonts w:ascii="Arial" w:eastAsia="Times New Roman" w:hAnsi="Arial" w:cs="Arial"/>
                <w:sz w:val="18"/>
                <w:szCs w:val="18"/>
                <w:lang w:eastAsia="en-AU"/>
              </w:rPr>
              <w:t>41</w:t>
            </w:r>
          </w:p>
        </w:tc>
      </w:tr>
    </w:tbl>
    <w:p w14:paraId="5C21D65E" w14:textId="77777777" w:rsidR="00953A3F" w:rsidRPr="001B626A" w:rsidRDefault="00953A3F" w:rsidP="001B626A">
      <w:pPr>
        <w:rPr>
          <w:lang w:val="en-US"/>
        </w:rPr>
        <w:sectPr w:rsidR="00953A3F" w:rsidRPr="001B626A" w:rsidSect="00BA71DD">
          <w:pgSz w:w="11906" w:h="16838"/>
          <w:pgMar w:top="1440" w:right="1440" w:bottom="1440" w:left="1440" w:header="708" w:footer="708" w:gutter="0"/>
          <w:cols w:space="708"/>
          <w:docGrid w:linePitch="360"/>
        </w:sectPr>
      </w:pPr>
    </w:p>
    <w:p w14:paraId="1924F307" w14:textId="4CA0C943" w:rsidR="00805F26" w:rsidRDefault="00805F26" w:rsidP="00D809CB">
      <w:pPr>
        <w:pStyle w:val="Heading2"/>
      </w:pPr>
      <w:bookmarkStart w:id="64" w:name="_Toc496460799"/>
      <w:r>
        <w:lastRenderedPageBreak/>
        <w:t>Proposed Changes</w:t>
      </w:r>
      <w:bookmarkEnd w:id="64"/>
    </w:p>
    <w:p w14:paraId="1E84F3BB" w14:textId="77777777" w:rsidR="00D809CB" w:rsidRDefault="00D809CB" w:rsidP="00D809CB">
      <w:pPr>
        <w:spacing w:after="0"/>
      </w:pPr>
      <w:r>
        <w:t>The technical proposed changes are summarised below:</w:t>
      </w:r>
    </w:p>
    <w:p w14:paraId="6D8705CD" w14:textId="77777777" w:rsidR="00D809CB" w:rsidRDefault="00D809CB" w:rsidP="00D809CB">
      <w:pPr>
        <w:spacing w:after="0"/>
      </w:pPr>
    </w:p>
    <w:p w14:paraId="6FF68481" w14:textId="77777777" w:rsidR="00D809CB" w:rsidRPr="006E30FE" w:rsidRDefault="00D809CB" w:rsidP="00D809CB">
      <w:pPr>
        <w:spacing w:after="0"/>
        <w:rPr>
          <w:b/>
        </w:rPr>
      </w:pPr>
      <w:r w:rsidRPr="006E30FE">
        <w:rPr>
          <w:b/>
        </w:rPr>
        <w:t xml:space="preserve">Units – Summary of proposed </w:t>
      </w:r>
      <w:r>
        <w:rPr>
          <w:b/>
        </w:rPr>
        <w:t>changes</w:t>
      </w:r>
    </w:p>
    <w:tbl>
      <w:tblPr>
        <w:tblStyle w:val="GridTable4"/>
        <w:tblW w:w="9209" w:type="dxa"/>
        <w:tblLook w:val="04A0" w:firstRow="1" w:lastRow="0" w:firstColumn="1" w:lastColumn="0" w:noHBand="0" w:noVBand="1"/>
      </w:tblPr>
      <w:tblGrid>
        <w:gridCol w:w="8642"/>
        <w:gridCol w:w="567"/>
      </w:tblGrid>
      <w:tr w:rsidR="00D809CB" w:rsidRPr="004F39EF" w14:paraId="302229A4" w14:textId="77777777" w:rsidTr="00D80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5F462C97" w14:textId="77777777" w:rsidR="00D809CB" w:rsidRPr="004F39EF" w:rsidRDefault="00D809CB" w:rsidP="00D809CB">
            <w:pPr>
              <w:rPr>
                <w:b w:val="0"/>
              </w:rPr>
            </w:pPr>
            <w:r w:rsidRPr="004F39EF">
              <w:rPr>
                <w:b w:val="0"/>
              </w:rPr>
              <w:t>Activity</w:t>
            </w:r>
          </w:p>
        </w:tc>
        <w:tc>
          <w:tcPr>
            <w:tcW w:w="567" w:type="dxa"/>
          </w:tcPr>
          <w:p w14:paraId="22299412" w14:textId="77777777" w:rsidR="00D809CB" w:rsidRPr="004F39EF" w:rsidRDefault="00D809CB" w:rsidP="00D809CB">
            <w:pPr>
              <w:cnfStyle w:val="100000000000" w:firstRow="1" w:lastRow="0" w:firstColumn="0" w:lastColumn="0" w:oddVBand="0" w:evenVBand="0" w:oddHBand="0" w:evenHBand="0" w:firstRowFirstColumn="0" w:firstRowLastColumn="0" w:lastRowFirstColumn="0" w:lastRowLastColumn="0"/>
              <w:rPr>
                <w:b w:val="0"/>
              </w:rPr>
            </w:pPr>
            <w:r w:rsidRPr="004F39EF">
              <w:rPr>
                <w:b w:val="0"/>
              </w:rPr>
              <w:t>No.</w:t>
            </w:r>
          </w:p>
        </w:tc>
      </w:tr>
      <w:tr w:rsidR="00D809CB" w:rsidRPr="004F39EF" w14:paraId="38799CAA" w14:textId="77777777" w:rsidTr="00D80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29A44DC6" w14:textId="6DDDF697" w:rsidR="00D809CB" w:rsidRPr="004F39EF" w:rsidRDefault="00D809CB" w:rsidP="00D809CB">
            <w:pPr>
              <w:rPr>
                <w:b w:val="0"/>
              </w:rPr>
            </w:pPr>
            <w:r>
              <w:rPr>
                <w:b w:val="0"/>
              </w:rPr>
              <w:t xml:space="preserve">Review, </w:t>
            </w:r>
            <w:r w:rsidRPr="00CA19F8">
              <w:rPr>
                <w:b w:val="0"/>
              </w:rPr>
              <w:t xml:space="preserve">develop, and undertake </w:t>
            </w:r>
            <w:r w:rsidR="00060BC2">
              <w:rPr>
                <w:b w:val="0"/>
              </w:rPr>
              <w:t>templat</w:t>
            </w:r>
            <w:r w:rsidR="00A25109">
              <w:rPr>
                <w:b w:val="0"/>
              </w:rPr>
              <w:t>ing of CPC</w:t>
            </w:r>
            <w:r>
              <w:rPr>
                <w:b w:val="0"/>
              </w:rPr>
              <w:t xml:space="preserve"> </w:t>
            </w:r>
            <w:r w:rsidR="00A6778E">
              <w:rPr>
                <w:b w:val="0"/>
              </w:rPr>
              <w:t xml:space="preserve">Painting and Decorating units </w:t>
            </w:r>
            <w:r w:rsidR="00A25109">
              <w:rPr>
                <w:b w:val="0"/>
              </w:rPr>
              <w:t xml:space="preserve">(CPD) </w:t>
            </w:r>
            <w:r>
              <w:rPr>
                <w:b w:val="0"/>
              </w:rPr>
              <w:t>to STP (2012) *</w:t>
            </w:r>
          </w:p>
        </w:tc>
        <w:tc>
          <w:tcPr>
            <w:tcW w:w="567" w:type="dxa"/>
          </w:tcPr>
          <w:p w14:paraId="1F486C90" w14:textId="3293C61F" w:rsidR="00D809CB" w:rsidRPr="00F12C6B" w:rsidRDefault="00060BC2" w:rsidP="00D809CB">
            <w:pPr>
              <w:cnfStyle w:val="000000100000" w:firstRow="0" w:lastRow="0" w:firstColumn="0" w:lastColumn="0" w:oddVBand="0" w:evenVBand="0" w:oddHBand="1" w:evenHBand="0" w:firstRowFirstColumn="0" w:firstRowLastColumn="0" w:lastRowFirstColumn="0" w:lastRowLastColumn="0"/>
            </w:pPr>
            <w:r>
              <w:t>17</w:t>
            </w:r>
          </w:p>
        </w:tc>
      </w:tr>
      <w:tr w:rsidR="00D809CB" w:rsidRPr="004F39EF" w14:paraId="3DF8A1DD" w14:textId="77777777" w:rsidTr="00D809CB">
        <w:tc>
          <w:tcPr>
            <w:cnfStyle w:val="001000000000" w:firstRow="0" w:lastRow="0" w:firstColumn="1" w:lastColumn="0" w:oddVBand="0" w:evenVBand="0" w:oddHBand="0" w:evenHBand="0" w:firstRowFirstColumn="0" w:firstRowLastColumn="0" w:lastRowFirstColumn="0" w:lastRowLastColumn="0"/>
            <w:tcW w:w="8642" w:type="dxa"/>
          </w:tcPr>
          <w:p w14:paraId="2C7C031F" w14:textId="77777777" w:rsidR="00D809CB" w:rsidRPr="004F39EF" w:rsidRDefault="00D809CB" w:rsidP="00D809CB">
            <w:pPr>
              <w:rPr>
                <w:b w:val="0"/>
              </w:rPr>
            </w:pPr>
            <w:r>
              <w:rPr>
                <w:b w:val="0"/>
              </w:rPr>
              <w:t>Upgrade superseded CPC Common units (CMM) to the current equivalent transitioned unit</w:t>
            </w:r>
          </w:p>
        </w:tc>
        <w:tc>
          <w:tcPr>
            <w:tcW w:w="567" w:type="dxa"/>
          </w:tcPr>
          <w:p w14:paraId="2C907C2D" w14:textId="05512C40" w:rsidR="00D809CB" w:rsidRPr="000C74AF" w:rsidRDefault="00060BC2" w:rsidP="00D809CB">
            <w:pPr>
              <w:cnfStyle w:val="000000000000" w:firstRow="0" w:lastRow="0" w:firstColumn="0" w:lastColumn="0" w:oddVBand="0" w:evenVBand="0" w:oddHBand="0" w:evenHBand="0" w:firstRowFirstColumn="0" w:firstRowLastColumn="0" w:lastRowFirstColumn="0" w:lastRowLastColumn="0"/>
            </w:pPr>
            <w:r>
              <w:t>8</w:t>
            </w:r>
          </w:p>
        </w:tc>
      </w:tr>
      <w:tr w:rsidR="00D809CB" w14:paraId="63EECC25" w14:textId="77777777" w:rsidTr="00D80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12E79573" w14:textId="77777777" w:rsidR="00D809CB" w:rsidRPr="00CA19F8" w:rsidRDefault="00D809CB" w:rsidP="00D809CB">
            <w:pPr>
              <w:rPr>
                <w:b w:val="0"/>
              </w:rPr>
            </w:pPr>
            <w:r>
              <w:rPr>
                <w:b w:val="0"/>
              </w:rPr>
              <w:t>Upgrade and template of CPC OHS Unit (COHS) to STP (S012)</w:t>
            </w:r>
          </w:p>
        </w:tc>
        <w:tc>
          <w:tcPr>
            <w:tcW w:w="567" w:type="dxa"/>
          </w:tcPr>
          <w:p w14:paraId="595D1B57" w14:textId="77777777" w:rsidR="00D809CB" w:rsidRDefault="00D809CB" w:rsidP="00D809CB">
            <w:pPr>
              <w:cnfStyle w:val="000000100000" w:firstRow="0" w:lastRow="0" w:firstColumn="0" w:lastColumn="0" w:oddVBand="0" w:evenVBand="0" w:oddHBand="1" w:evenHBand="0" w:firstRowFirstColumn="0" w:firstRowLastColumn="0" w:lastRowFirstColumn="0" w:lastRowLastColumn="0"/>
            </w:pPr>
            <w:r>
              <w:t>1</w:t>
            </w:r>
          </w:p>
        </w:tc>
      </w:tr>
      <w:tr w:rsidR="00D809CB" w14:paraId="1C753D61" w14:textId="77777777" w:rsidTr="00D809CB">
        <w:tc>
          <w:tcPr>
            <w:cnfStyle w:val="001000000000" w:firstRow="0" w:lastRow="0" w:firstColumn="1" w:lastColumn="0" w:oddVBand="0" w:evenVBand="0" w:oddHBand="0" w:evenHBand="0" w:firstRowFirstColumn="0" w:firstRowLastColumn="0" w:lastRowFirstColumn="0" w:lastRowLastColumn="0"/>
            <w:tcW w:w="8642" w:type="dxa"/>
          </w:tcPr>
          <w:p w14:paraId="5B1A84BA" w14:textId="160221CD" w:rsidR="00D809CB" w:rsidRDefault="00D809CB" w:rsidP="00D809CB">
            <w:pPr>
              <w:rPr>
                <w:b w:val="0"/>
              </w:rPr>
            </w:pPr>
            <w:r>
              <w:rPr>
                <w:b w:val="0"/>
              </w:rPr>
              <w:t xml:space="preserve">Upgrade superseded CPC </w:t>
            </w:r>
            <w:r w:rsidR="00060BC2">
              <w:rPr>
                <w:b w:val="0"/>
              </w:rPr>
              <w:t>Plaster Board Unit (CPB</w:t>
            </w:r>
            <w:r>
              <w:rPr>
                <w:b w:val="0"/>
              </w:rPr>
              <w:t>) to STP (S012)</w:t>
            </w:r>
          </w:p>
        </w:tc>
        <w:tc>
          <w:tcPr>
            <w:tcW w:w="567" w:type="dxa"/>
          </w:tcPr>
          <w:p w14:paraId="2362B2E2" w14:textId="77777777" w:rsidR="00D809CB" w:rsidRDefault="00D809CB" w:rsidP="00D809CB">
            <w:pPr>
              <w:cnfStyle w:val="000000000000" w:firstRow="0" w:lastRow="0" w:firstColumn="0" w:lastColumn="0" w:oddVBand="0" w:evenVBand="0" w:oddHBand="0" w:evenHBand="0" w:firstRowFirstColumn="0" w:firstRowLastColumn="0" w:lastRowFirstColumn="0" w:lastRowLastColumn="0"/>
            </w:pPr>
            <w:r>
              <w:t>1</w:t>
            </w:r>
          </w:p>
        </w:tc>
      </w:tr>
      <w:tr w:rsidR="00060BC2" w14:paraId="3D343E50" w14:textId="77777777" w:rsidTr="00D80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1174FB46" w14:textId="2582E5C8" w:rsidR="00060BC2" w:rsidRDefault="00060BC2" w:rsidP="00060BC2">
            <w:pPr>
              <w:rPr>
                <w:b w:val="0"/>
              </w:rPr>
            </w:pPr>
            <w:r>
              <w:rPr>
                <w:b w:val="0"/>
              </w:rPr>
              <w:t>Upgrade superseded CPC Solid Plastering Unit (CSP) to STP (S012)</w:t>
            </w:r>
          </w:p>
        </w:tc>
        <w:tc>
          <w:tcPr>
            <w:tcW w:w="567" w:type="dxa"/>
          </w:tcPr>
          <w:p w14:paraId="4FD86F57" w14:textId="6C7B573D" w:rsidR="00060BC2" w:rsidRDefault="00060BC2" w:rsidP="00060BC2">
            <w:pPr>
              <w:cnfStyle w:val="000000100000" w:firstRow="0" w:lastRow="0" w:firstColumn="0" w:lastColumn="0" w:oddVBand="0" w:evenVBand="0" w:oddHBand="1" w:evenHBand="0" w:firstRowFirstColumn="0" w:firstRowLastColumn="0" w:lastRowFirstColumn="0" w:lastRowLastColumn="0"/>
            </w:pPr>
            <w:r>
              <w:t>1</w:t>
            </w:r>
          </w:p>
        </w:tc>
      </w:tr>
      <w:tr w:rsidR="00D809CB" w14:paraId="55268A5B" w14:textId="77777777" w:rsidTr="00D809CB">
        <w:tc>
          <w:tcPr>
            <w:cnfStyle w:val="001000000000" w:firstRow="0" w:lastRow="0" w:firstColumn="1" w:lastColumn="0" w:oddVBand="0" w:evenVBand="0" w:oddHBand="0" w:evenHBand="0" w:firstRowFirstColumn="0" w:firstRowLastColumn="0" w:lastRowFirstColumn="0" w:lastRowLastColumn="0"/>
            <w:tcW w:w="8642" w:type="dxa"/>
          </w:tcPr>
          <w:p w14:paraId="58C06B55" w14:textId="688B19C9" w:rsidR="00D809CB" w:rsidRDefault="00D809CB" w:rsidP="00D809CB">
            <w:pPr>
              <w:rPr>
                <w:b w:val="0"/>
              </w:rPr>
            </w:pPr>
            <w:r>
              <w:rPr>
                <w:b w:val="0"/>
              </w:rPr>
              <w:t>Upgrade superseded imported units to the current equivalent transitioned unit</w:t>
            </w:r>
          </w:p>
        </w:tc>
        <w:tc>
          <w:tcPr>
            <w:tcW w:w="567" w:type="dxa"/>
          </w:tcPr>
          <w:p w14:paraId="68E28573" w14:textId="561D0460" w:rsidR="00D809CB" w:rsidRDefault="00060BC2" w:rsidP="00D809CB">
            <w:pPr>
              <w:cnfStyle w:val="000000000000" w:firstRow="0" w:lastRow="0" w:firstColumn="0" w:lastColumn="0" w:oddVBand="0" w:evenVBand="0" w:oddHBand="0" w:evenHBand="0" w:firstRowFirstColumn="0" w:firstRowLastColumn="0" w:lastRowFirstColumn="0" w:lastRowLastColumn="0"/>
            </w:pPr>
            <w:r>
              <w:t>3</w:t>
            </w:r>
          </w:p>
        </w:tc>
      </w:tr>
      <w:tr w:rsidR="00D809CB" w14:paraId="21841D68" w14:textId="77777777" w:rsidTr="00D80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Pr>
          <w:p w14:paraId="4296AF62" w14:textId="77777777" w:rsidR="00D809CB" w:rsidRDefault="00D809CB" w:rsidP="00D809CB">
            <w:pPr>
              <w:rPr>
                <w:b w:val="0"/>
              </w:rPr>
            </w:pPr>
            <w:r w:rsidRPr="00CA19F8">
              <w:rPr>
                <w:b w:val="0"/>
              </w:rPr>
              <w:t>Delete by removing duplication and consolidating unit content</w:t>
            </w:r>
          </w:p>
        </w:tc>
        <w:tc>
          <w:tcPr>
            <w:tcW w:w="567" w:type="dxa"/>
          </w:tcPr>
          <w:p w14:paraId="29D312C7" w14:textId="77777777" w:rsidR="00D809CB" w:rsidRDefault="00D809CB" w:rsidP="00D809CB">
            <w:pPr>
              <w:cnfStyle w:val="000000100000" w:firstRow="0" w:lastRow="0" w:firstColumn="0" w:lastColumn="0" w:oddVBand="0" w:evenVBand="0" w:oddHBand="1" w:evenHBand="0" w:firstRowFirstColumn="0" w:firstRowLastColumn="0" w:lastRowFirstColumn="0" w:lastRowLastColumn="0"/>
            </w:pPr>
            <w:r>
              <w:t>tbc</w:t>
            </w:r>
          </w:p>
        </w:tc>
      </w:tr>
      <w:tr w:rsidR="00D809CB" w14:paraId="3DB3775A" w14:textId="77777777" w:rsidTr="00D809CB">
        <w:tc>
          <w:tcPr>
            <w:cnfStyle w:val="001000000000" w:firstRow="0" w:lastRow="0" w:firstColumn="1" w:lastColumn="0" w:oddVBand="0" w:evenVBand="0" w:oddHBand="0" w:evenHBand="0" w:firstRowFirstColumn="0" w:firstRowLastColumn="0" w:lastRowFirstColumn="0" w:lastRowLastColumn="0"/>
            <w:tcW w:w="8642" w:type="dxa"/>
          </w:tcPr>
          <w:p w14:paraId="6468F2B3" w14:textId="77777777" w:rsidR="00D809CB" w:rsidRPr="00CA19F8" w:rsidRDefault="00D809CB" w:rsidP="00D809CB">
            <w:pPr>
              <w:rPr>
                <w:b w:val="0"/>
              </w:rPr>
            </w:pPr>
            <w:r w:rsidRPr="00CA19F8">
              <w:rPr>
                <w:b w:val="0"/>
              </w:rPr>
              <w:t>Review, develop, and undertake occupation analyse &amp; templating to ensure alignmen</w:t>
            </w:r>
            <w:r>
              <w:rPr>
                <w:b w:val="0"/>
              </w:rPr>
              <w:t xml:space="preserve">t to current work practices, </w:t>
            </w:r>
            <w:r w:rsidRPr="00CA19F8">
              <w:rPr>
                <w:b w:val="0"/>
              </w:rPr>
              <w:t>equipment</w:t>
            </w:r>
            <w:r>
              <w:rPr>
                <w:b w:val="0"/>
              </w:rPr>
              <w:t xml:space="preserve"> and WHS requirements.</w:t>
            </w:r>
          </w:p>
        </w:tc>
        <w:tc>
          <w:tcPr>
            <w:tcW w:w="567" w:type="dxa"/>
          </w:tcPr>
          <w:p w14:paraId="2933A7A7" w14:textId="1696BF45" w:rsidR="00D809CB" w:rsidRDefault="00060BC2" w:rsidP="00D809CB">
            <w:pPr>
              <w:cnfStyle w:val="000000000000" w:firstRow="0" w:lastRow="0" w:firstColumn="0" w:lastColumn="0" w:oddVBand="0" w:evenVBand="0" w:oddHBand="0" w:evenHBand="0" w:firstRowFirstColumn="0" w:firstRowLastColumn="0" w:lastRowFirstColumn="0" w:lastRowLastColumn="0"/>
            </w:pPr>
            <w:r>
              <w:t>ALL</w:t>
            </w:r>
          </w:p>
        </w:tc>
      </w:tr>
    </w:tbl>
    <w:p w14:paraId="28F68EB0" w14:textId="77777777" w:rsidR="00D809CB" w:rsidRDefault="00D809CB" w:rsidP="00D809CB">
      <w:pPr>
        <w:spacing w:after="0"/>
        <w:rPr>
          <w:i/>
          <w:sz w:val="18"/>
        </w:rPr>
      </w:pPr>
      <w:r w:rsidRPr="00197F53">
        <w:rPr>
          <w:i/>
          <w:sz w:val="18"/>
        </w:rPr>
        <w:t>*Standards for Training Packages 2012</w:t>
      </w:r>
      <w:r>
        <w:rPr>
          <w:i/>
          <w:sz w:val="18"/>
        </w:rPr>
        <w:t xml:space="preserve"> – </w:t>
      </w:r>
      <w:r w:rsidRPr="00197F53">
        <w:rPr>
          <w:i/>
          <w:sz w:val="18"/>
        </w:rPr>
        <w:t>STP</w:t>
      </w:r>
      <w:r>
        <w:rPr>
          <w:i/>
          <w:sz w:val="18"/>
        </w:rPr>
        <w:t xml:space="preserve"> </w:t>
      </w:r>
      <w:r w:rsidRPr="00197F53">
        <w:rPr>
          <w:i/>
          <w:sz w:val="18"/>
        </w:rPr>
        <w:t>(2012)</w:t>
      </w:r>
    </w:p>
    <w:p w14:paraId="15CCCB5C" w14:textId="77777777" w:rsidR="00D809CB" w:rsidRPr="00197F53" w:rsidRDefault="00D809CB" w:rsidP="00D809CB">
      <w:pPr>
        <w:spacing w:after="0"/>
        <w:rPr>
          <w:i/>
          <w:sz w:val="18"/>
        </w:rPr>
      </w:pPr>
    </w:p>
    <w:p w14:paraId="6CA23E98" w14:textId="77777777" w:rsidR="00D809CB" w:rsidRPr="006E30FE" w:rsidRDefault="00D809CB" w:rsidP="00D809CB">
      <w:pPr>
        <w:spacing w:after="0"/>
        <w:rPr>
          <w:b/>
        </w:rPr>
      </w:pPr>
      <w:r w:rsidRPr="006E30FE">
        <w:rPr>
          <w:b/>
        </w:rPr>
        <w:t xml:space="preserve">Qualifications – Summary of proposed </w:t>
      </w:r>
      <w:r>
        <w:rPr>
          <w:b/>
        </w:rPr>
        <w:t>changes</w:t>
      </w:r>
    </w:p>
    <w:tbl>
      <w:tblPr>
        <w:tblStyle w:val="GridTable4"/>
        <w:tblW w:w="9209" w:type="dxa"/>
        <w:tblLook w:val="04A0" w:firstRow="1" w:lastRow="0" w:firstColumn="1" w:lastColumn="0" w:noHBand="0" w:noVBand="1"/>
      </w:tblPr>
      <w:tblGrid>
        <w:gridCol w:w="8500"/>
        <w:gridCol w:w="709"/>
      </w:tblGrid>
      <w:tr w:rsidR="00D809CB" w:rsidRPr="004F39EF" w14:paraId="51771E22" w14:textId="77777777" w:rsidTr="00D80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27483393" w14:textId="77777777" w:rsidR="00D809CB" w:rsidRPr="004F39EF" w:rsidRDefault="00D809CB" w:rsidP="00D809CB">
            <w:pPr>
              <w:rPr>
                <w:b w:val="0"/>
              </w:rPr>
            </w:pPr>
            <w:r w:rsidRPr="004F39EF">
              <w:rPr>
                <w:b w:val="0"/>
              </w:rPr>
              <w:t>Activity</w:t>
            </w:r>
          </w:p>
        </w:tc>
        <w:tc>
          <w:tcPr>
            <w:tcW w:w="709" w:type="dxa"/>
          </w:tcPr>
          <w:p w14:paraId="17EF46AD" w14:textId="77777777" w:rsidR="00D809CB" w:rsidRPr="004F39EF" w:rsidRDefault="00D809CB" w:rsidP="00D809CB">
            <w:pPr>
              <w:cnfStyle w:val="100000000000" w:firstRow="1" w:lastRow="0" w:firstColumn="0" w:lastColumn="0" w:oddVBand="0" w:evenVBand="0" w:oddHBand="0" w:evenHBand="0" w:firstRowFirstColumn="0" w:firstRowLastColumn="0" w:lastRowFirstColumn="0" w:lastRowLastColumn="0"/>
              <w:rPr>
                <w:b w:val="0"/>
              </w:rPr>
            </w:pPr>
            <w:r w:rsidRPr="004F39EF">
              <w:rPr>
                <w:b w:val="0"/>
              </w:rPr>
              <w:t>No.</w:t>
            </w:r>
          </w:p>
        </w:tc>
      </w:tr>
      <w:tr w:rsidR="00D809CB" w14:paraId="5B007601" w14:textId="77777777" w:rsidTr="00D80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1CBDC89" w14:textId="77777777" w:rsidR="00D809CB" w:rsidRDefault="00D809CB" w:rsidP="00D809CB">
            <w:r w:rsidRPr="00CA19F8">
              <w:rPr>
                <w:b w:val="0"/>
              </w:rPr>
              <w:t>Review, develop, and undertake occupation</w:t>
            </w:r>
            <w:r>
              <w:rPr>
                <w:b w:val="0"/>
              </w:rPr>
              <w:t>al</w:t>
            </w:r>
            <w:r w:rsidRPr="00CA19F8">
              <w:rPr>
                <w:b w:val="0"/>
              </w:rPr>
              <w:t xml:space="preserve"> analyse &amp; templating to ensure alig</w:t>
            </w:r>
            <w:r>
              <w:rPr>
                <w:b w:val="0"/>
              </w:rPr>
              <w:t xml:space="preserve">nment to current work practices, </w:t>
            </w:r>
            <w:r w:rsidRPr="00CA19F8">
              <w:rPr>
                <w:b w:val="0"/>
              </w:rPr>
              <w:t>equipment</w:t>
            </w:r>
            <w:r>
              <w:rPr>
                <w:b w:val="0"/>
              </w:rPr>
              <w:t xml:space="preserve"> and WHS requirements</w:t>
            </w:r>
          </w:p>
        </w:tc>
        <w:tc>
          <w:tcPr>
            <w:tcW w:w="709" w:type="dxa"/>
          </w:tcPr>
          <w:p w14:paraId="64D859F8" w14:textId="77777777" w:rsidR="00D809CB" w:rsidRDefault="00D809CB" w:rsidP="00D809CB">
            <w:pPr>
              <w:cnfStyle w:val="000000100000" w:firstRow="0" w:lastRow="0" w:firstColumn="0" w:lastColumn="0" w:oddVBand="0" w:evenVBand="0" w:oddHBand="1" w:evenHBand="0" w:firstRowFirstColumn="0" w:firstRowLastColumn="0" w:lastRowFirstColumn="0" w:lastRowLastColumn="0"/>
            </w:pPr>
            <w:r>
              <w:t>1</w:t>
            </w:r>
          </w:p>
        </w:tc>
      </w:tr>
    </w:tbl>
    <w:p w14:paraId="3BBBE851" w14:textId="77777777" w:rsidR="00D809CB" w:rsidRDefault="00D809CB" w:rsidP="00D809CB">
      <w:pPr>
        <w:spacing w:after="0"/>
      </w:pPr>
    </w:p>
    <w:p w14:paraId="32CC511B" w14:textId="77777777" w:rsidR="00D809CB" w:rsidRPr="006E30FE" w:rsidRDefault="00D809CB" w:rsidP="00D809CB">
      <w:pPr>
        <w:spacing w:after="0"/>
        <w:rPr>
          <w:b/>
        </w:rPr>
      </w:pPr>
      <w:r w:rsidRPr="006E30FE">
        <w:rPr>
          <w:b/>
        </w:rPr>
        <w:t xml:space="preserve">Skill sets </w:t>
      </w:r>
      <w:r>
        <w:rPr>
          <w:b/>
        </w:rPr>
        <w:t>– summary of proposed changes</w:t>
      </w:r>
    </w:p>
    <w:tbl>
      <w:tblPr>
        <w:tblStyle w:val="GridTable4"/>
        <w:tblW w:w="9209" w:type="dxa"/>
        <w:tblLook w:val="04A0" w:firstRow="1" w:lastRow="0" w:firstColumn="1" w:lastColumn="0" w:noHBand="0" w:noVBand="1"/>
      </w:tblPr>
      <w:tblGrid>
        <w:gridCol w:w="8500"/>
        <w:gridCol w:w="709"/>
      </w:tblGrid>
      <w:tr w:rsidR="00D809CB" w:rsidRPr="004F39EF" w14:paraId="3A6D35F7" w14:textId="77777777" w:rsidTr="00D80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3503EF1" w14:textId="77777777" w:rsidR="00D809CB" w:rsidRPr="004F39EF" w:rsidRDefault="00D809CB" w:rsidP="00D809CB">
            <w:pPr>
              <w:rPr>
                <w:b w:val="0"/>
              </w:rPr>
            </w:pPr>
            <w:r w:rsidRPr="004F39EF">
              <w:rPr>
                <w:b w:val="0"/>
              </w:rPr>
              <w:t>Activity</w:t>
            </w:r>
          </w:p>
        </w:tc>
        <w:tc>
          <w:tcPr>
            <w:tcW w:w="709" w:type="dxa"/>
          </w:tcPr>
          <w:p w14:paraId="188B7DFE" w14:textId="77777777" w:rsidR="00D809CB" w:rsidRPr="004F39EF" w:rsidRDefault="00D809CB" w:rsidP="00D809CB">
            <w:pPr>
              <w:cnfStyle w:val="100000000000" w:firstRow="1" w:lastRow="0" w:firstColumn="0" w:lastColumn="0" w:oddVBand="0" w:evenVBand="0" w:oddHBand="0" w:evenHBand="0" w:firstRowFirstColumn="0" w:firstRowLastColumn="0" w:lastRowFirstColumn="0" w:lastRowLastColumn="0"/>
              <w:rPr>
                <w:b w:val="0"/>
              </w:rPr>
            </w:pPr>
            <w:r w:rsidRPr="004F39EF">
              <w:rPr>
                <w:b w:val="0"/>
              </w:rPr>
              <w:t>No.</w:t>
            </w:r>
          </w:p>
        </w:tc>
      </w:tr>
      <w:tr w:rsidR="00D809CB" w14:paraId="3D2FA44A" w14:textId="77777777" w:rsidTr="00D80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0ABC2385" w14:textId="77777777" w:rsidR="00D809CB" w:rsidRPr="00CA19F8" w:rsidRDefault="00D809CB" w:rsidP="00D809CB">
            <w:pPr>
              <w:pStyle w:val="ListParagraph"/>
              <w:ind w:left="164"/>
              <w:rPr>
                <w:b w:val="0"/>
              </w:rPr>
            </w:pPr>
            <w:r>
              <w:rPr>
                <w:b w:val="0"/>
              </w:rPr>
              <w:t>Develop one or more skill sets based on RTO feedback that have observed an opportunity to create pathways to learning through driver operations, and educators and other occupations detailed above.</w:t>
            </w:r>
          </w:p>
        </w:tc>
        <w:tc>
          <w:tcPr>
            <w:tcW w:w="709" w:type="dxa"/>
          </w:tcPr>
          <w:p w14:paraId="6EAB502C" w14:textId="77777777" w:rsidR="00D809CB" w:rsidRDefault="00D809CB" w:rsidP="00D809CB">
            <w:pPr>
              <w:cnfStyle w:val="000000100000" w:firstRow="0" w:lastRow="0" w:firstColumn="0" w:lastColumn="0" w:oddVBand="0" w:evenVBand="0" w:oddHBand="1" w:evenHBand="0" w:firstRowFirstColumn="0" w:firstRowLastColumn="0" w:lastRowFirstColumn="0" w:lastRowLastColumn="0"/>
            </w:pPr>
            <w:r>
              <w:t>tbc</w:t>
            </w:r>
          </w:p>
        </w:tc>
      </w:tr>
    </w:tbl>
    <w:p w14:paraId="67BE91E8" w14:textId="77777777" w:rsidR="00D809CB" w:rsidRDefault="00D809CB" w:rsidP="00D809CB">
      <w:pPr>
        <w:spacing w:after="0"/>
      </w:pPr>
    </w:p>
    <w:p w14:paraId="14F0681F" w14:textId="77777777" w:rsidR="00D809CB" w:rsidRDefault="00D809CB" w:rsidP="00D809CB">
      <w:pPr>
        <w:spacing w:after="0"/>
      </w:pPr>
      <w:r>
        <w:t>The proposed changes support a structural redesign of the painting and decorating qualification that aims to improve the quality, relevance, and utility of the qualifications across all industry stakeholders. These changes capitalise on:</w:t>
      </w:r>
    </w:p>
    <w:p w14:paraId="65D723E2" w14:textId="77777777" w:rsidR="00D809CB" w:rsidRDefault="00D809CB" w:rsidP="00D809CB">
      <w:pPr>
        <w:spacing w:after="0"/>
      </w:pPr>
    </w:p>
    <w:p w14:paraId="09887EE7" w14:textId="77777777" w:rsidR="00D809CB" w:rsidRDefault="00D809CB" w:rsidP="00D809CB">
      <w:pPr>
        <w:pStyle w:val="ListParagraph"/>
        <w:numPr>
          <w:ilvl w:val="0"/>
          <w:numId w:val="47"/>
        </w:numPr>
        <w:spacing w:after="0"/>
      </w:pPr>
      <w:r>
        <w:t>current and emerging skills and knowledge trends</w:t>
      </w:r>
    </w:p>
    <w:p w14:paraId="547929AD" w14:textId="77777777" w:rsidR="00D809CB" w:rsidRDefault="00D809CB" w:rsidP="00D809CB">
      <w:pPr>
        <w:pStyle w:val="ListParagraph"/>
        <w:numPr>
          <w:ilvl w:val="0"/>
          <w:numId w:val="47"/>
        </w:numPr>
        <w:spacing w:after="0"/>
      </w:pPr>
      <w:r>
        <w:t xml:space="preserve">meeting policy directives </w:t>
      </w:r>
    </w:p>
    <w:p w14:paraId="4740AFCF" w14:textId="77777777" w:rsidR="00D809CB" w:rsidRDefault="00D809CB" w:rsidP="00D809CB">
      <w:pPr>
        <w:pStyle w:val="ListParagraph"/>
        <w:numPr>
          <w:ilvl w:val="0"/>
          <w:numId w:val="47"/>
        </w:numPr>
        <w:spacing w:after="0"/>
      </w:pPr>
      <w:r>
        <w:t>the ability to develop quality and relevant qualifications for industry</w:t>
      </w:r>
    </w:p>
    <w:p w14:paraId="3827C3D5" w14:textId="77777777" w:rsidR="00D809CB" w:rsidRPr="00D809CB" w:rsidRDefault="00D809CB" w:rsidP="00D809CB">
      <w:pPr>
        <w:sectPr w:rsidR="00D809CB" w:rsidRPr="00D809CB" w:rsidSect="003E1487">
          <w:pgSz w:w="11906" w:h="16838"/>
          <w:pgMar w:top="993" w:right="1440" w:bottom="1440" w:left="1440" w:header="708" w:footer="708" w:gutter="0"/>
          <w:cols w:space="708"/>
          <w:docGrid w:linePitch="360"/>
        </w:sectPr>
      </w:pPr>
    </w:p>
    <w:p w14:paraId="184CE59F" w14:textId="49864513" w:rsidR="00796535" w:rsidRDefault="00796535" w:rsidP="00796535">
      <w:pPr>
        <w:pStyle w:val="Heading1"/>
      </w:pPr>
      <w:bookmarkStart w:id="65" w:name="_Toc496460800"/>
      <w:r>
        <w:lastRenderedPageBreak/>
        <w:t>Industry support for change</w:t>
      </w:r>
      <w:bookmarkStart w:id="66" w:name="_Toc488067300"/>
      <w:bookmarkEnd w:id="56"/>
      <w:bookmarkEnd w:id="65"/>
    </w:p>
    <w:p w14:paraId="5911BCA8" w14:textId="77777777" w:rsidR="00796535" w:rsidRPr="00AA17F6" w:rsidRDefault="00796535" w:rsidP="00796535">
      <w:pPr>
        <w:spacing w:after="0"/>
        <w:rPr>
          <w:lang w:val="en-GB"/>
        </w:rPr>
      </w:pPr>
    </w:p>
    <w:p w14:paraId="6A80A551" w14:textId="2B914894" w:rsidR="00796535" w:rsidRDefault="00796535" w:rsidP="00BA71DD">
      <w:pPr>
        <w:pStyle w:val="Heading2"/>
        <w:rPr>
          <w:b w:val="0"/>
        </w:rPr>
      </w:pPr>
      <w:bookmarkStart w:id="67" w:name="_Toc496378727"/>
      <w:bookmarkStart w:id="68" w:name="_Toc496460801"/>
      <w:r>
        <w:t>Methodology</w:t>
      </w:r>
      <w:bookmarkEnd w:id="66"/>
      <w:bookmarkEnd w:id="67"/>
      <w:bookmarkEnd w:id="68"/>
    </w:p>
    <w:p w14:paraId="6452F8C1" w14:textId="77777777" w:rsidR="00796535" w:rsidRDefault="00796535" w:rsidP="00796535">
      <w:pPr>
        <w:spacing w:after="0"/>
      </w:pPr>
      <w:r>
        <w:t>The following approach was undertaken to address the issues with industry:</w:t>
      </w:r>
    </w:p>
    <w:p w14:paraId="5E1DE645" w14:textId="77777777" w:rsidR="00796535" w:rsidRDefault="00796535" w:rsidP="00796535">
      <w:pPr>
        <w:spacing w:after="0"/>
      </w:pPr>
    </w:p>
    <w:p w14:paraId="3C17BCF5" w14:textId="77777777" w:rsidR="00796535" w:rsidRDefault="00796535" w:rsidP="00796535">
      <w:pPr>
        <w:numPr>
          <w:ilvl w:val="0"/>
          <w:numId w:val="36"/>
        </w:numPr>
        <w:spacing w:after="0" w:line="240" w:lineRule="auto"/>
      </w:pPr>
      <w:r>
        <w:t>a meeting with the Property Services IRC (October 2017)</w:t>
      </w:r>
    </w:p>
    <w:p w14:paraId="75B8DF50" w14:textId="77777777" w:rsidR="00796535" w:rsidRDefault="00796535" w:rsidP="00796535">
      <w:pPr>
        <w:numPr>
          <w:ilvl w:val="0"/>
          <w:numId w:val="36"/>
        </w:numPr>
        <w:spacing w:after="0" w:line="240" w:lineRule="auto"/>
      </w:pPr>
      <w:r>
        <w:t>teleconferences with key stakeholders</w:t>
      </w:r>
    </w:p>
    <w:p w14:paraId="505BF7DF" w14:textId="77777777" w:rsidR="00796535" w:rsidRDefault="00796535" w:rsidP="00796535">
      <w:pPr>
        <w:numPr>
          <w:ilvl w:val="0"/>
          <w:numId w:val="36"/>
        </w:numPr>
        <w:spacing w:after="0" w:line="240" w:lineRule="auto"/>
      </w:pPr>
      <w:r>
        <w:t>an evidence-based review of the:</w:t>
      </w:r>
    </w:p>
    <w:p w14:paraId="734110EE" w14:textId="77777777" w:rsidR="00796535" w:rsidRDefault="00796535" w:rsidP="00796535">
      <w:pPr>
        <w:numPr>
          <w:ilvl w:val="1"/>
          <w:numId w:val="36"/>
        </w:numPr>
        <w:spacing w:after="0" w:line="240" w:lineRule="auto"/>
      </w:pPr>
      <w:r>
        <w:t>quality of the existing units</w:t>
      </w:r>
    </w:p>
    <w:p w14:paraId="22338262" w14:textId="77777777" w:rsidR="00796535" w:rsidRDefault="00796535" w:rsidP="00796535">
      <w:pPr>
        <w:numPr>
          <w:ilvl w:val="1"/>
          <w:numId w:val="37"/>
        </w:numPr>
        <w:spacing w:after="0" w:line="240" w:lineRule="auto"/>
      </w:pPr>
      <w:r>
        <w:t xml:space="preserve">currency of the qualifications </w:t>
      </w:r>
    </w:p>
    <w:p w14:paraId="2D1DB043" w14:textId="485A22F4" w:rsidR="00796535" w:rsidRDefault="00796535" w:rsidP="00796535">
      <w:pPr>
        <w:numPr>
          <w:ilvl w:val="1"/>
          <w:numId w:val="37"/>
        </w:numPr>
        <w:spacing w:after="0" w:line="240" w:lineRule="auto"/>
      </w:pPr>
      <w:r>
        <w:t xml:space="preserve">the </w:t>
      </w:r>
      <w:r w:rsidR="00221D3B">
        <w:t>painting and decorating</w:t>
      </w:r>
      <w:r>
        <w:t xml:space="preserve"> sector</w:t>
      </w:r>
    </w:p>
    <w:p w14:paraId="66FFB8D4" w14:textId="77777777" w:rsidR="00796535" w:rsidRDefault="00796535" w:rsidP="00796535">
      <w:pPr>
        <w:spacing w:after="0" w:line="240" w:lineRule="auto"/>
        <w:ind w:left="1440"/>
      </w:pPr>
    </w:p>
    <w:p w14:paraId="7B628995" w14:textId="098ED29E" w:rsidR="00796535" w:rsidRDefault="00796535" w:rsidP="00796535">
      <w:r>
        <w:t xml:space="preserve">Please refer to </w:t>
      </w:r>
      <w:r w:rsidR="003F6A87">
        <w:rPr>
          <w:b/>
        </w:rPr>
        <w:t>Appendix A</w:t>
      </w:r>
      <w:r w:rsidRPr="001763C9">
        <w:rPr>
          <w:b/>
        </w:rPr>
        <w:t xml:space="preserve">: </w:t>
      </w:r>
      <w:r>
        <w:rPr>
          <w:b/>
        </w:rPr>
        <w:t>Stakeholder Consultation Method and Scale</w:t>
      </w:r>
    </w:p>
    <w:p w14:paraId="0E4520E7" w14:textId="59E98C33" w:rsidR="00796535" w:rsidRDefault="00796535" w:rsidP="00796535">
      <w:pPr>
        <w:pStyle w:val="Heading1"/>
      </w:pPr>
      <w:bookmarkStart w:id="69" w:name="_Toc488067302"/>
      <w:bookmarkStart w:id="70" w:name="_Toc496378728"/>
      <w:bookmarkStart w:id="71" w:name="_Toc496460802"/>
      <w:r>
        <w:t xml:space="preserve">Impact </w:t>
      </w:r>
      <w:r w:rsidRPr="00796535">
        <w:t>of</w:t>
      </w:r>
      <w:r>
        <w:t xml:space="preserve"> change</w:t>
      </w:r>
      <w:bookmarkEnd w:id="69"/>
      <w:bookmarkEnd w:id="70"/>
      <w:bookmarkEnd w:id="71"/>
      <w:r>
        <w:t xml:space="preserve"> </w:t>
      </w:r>
    </w:p>
    <w:p w14:paraId="0D0BF67E" w14:textId="77777777" w:rsidR="00796535" w:rsidRPr="00034A75" w:rsidRDefault="00796535" w:rsidP="00796535">
      <w:pPr>
        <w:spacing w:after="0"/>
        <w:rPr>
          <w:lang w:val="en-GB"/>
        </w:rPr>
      </w:pPr>
    </w:p>
    <w:p w14:paraId="437BC6BD" w14:textId="3A73618E" w:rsidR="00796535" w:rsidRDefault="00796535" w:rsidP="00BA71DD">
      <w:pPr>
        <w:pStyle w:val="Heading2"/>
      </w:pPr>
      <w:bookmarkStart w:id="72" w:name="_Toc488067303"/>
      <w:bookmarkStart w:id="73" w:name="_Toc496378729"/>
      <w:bookmarkStart w:id="74" w:name="_Toc496460803"/>
      <w:r>
        <w:t>Estimated impact of proposed changes</w:t>
      </w:r>
      <w:bookmarkEnd w:id="72"/>
      <w:bookmarkEnd w:id="73"/>
      <w:bookmarkEnd w:id="74"/>
      <w:r>
        <w:t xml:space="preserve"> </w:t>
      </w:r>
    </w:p>
    <w:p w14:paraId="7E84285B" w14:textId="32A99BEF" w:rsidR="00796535" w:rsidRDefault="00796535" w:rsidP="0049563C">
      <w:pPr>
        <w:pStyle w:val="Heading3"/>
      </w:pPr>
      <w:bookmarkStart w:id="75" w:name="_Toc496378730"/>
      <w:bookmarkStart w:id="76" w:name="_Toc496460804"/>
      <w:r>
        <w:t>Positive Impact of implementing the recommended changes</w:t>
      </w:r>
      <w:bookmarkEnd w:id="75"/>
      <w:bookmarkEnd w:id="76"/>
    </w:p>
    <w:p w14:paraId="2F0D3A3F" w14:textId="77777777" w:rsidR="00796535" w:rsidRPr="00034A75" w:rsidRDefault="00796535" w:rsidP="00796535">
      <w:pPr>
        <w:rPr>
          <w:i/>
        </w:rPr>
      </w:pPr>
      <w:r>
        <w:t>We are recommending the above changes so that:</w:t>
      </w:r>
    </w:p>
    <w:p w14:paraId="29806139" w14:textId="77777777" w:rsidR="00796535" w:rsidRDefault="00796535" w:rsidP="00796535">
      <w:pPr>
        <w:numPr>
          <w:ilvl w:val="0"/>
          <w:numId w:val="33"/>
        </w:numPr>
        <w:spacing w:after="0" w:line="240" w:lineRule="auto"/>
      </w:pPr>
      <w:r>
        <w:t>skills will be more consistent across the qualifications</w:t>
      </w:r>
    </w:p>
    <w:p w14:paraId="3D1E957C" w14:textId="77777777" w:rsidR="00796535" w:rsidRDefault="00796535" w:rsidP="00796535">
      <w:pPr>
        <w:numPr>
          <w:ilvl w:val="0"/>
          <w:numId w:val="33"/>
        </w:numPr>
        <w:spacing w:after="0" w:line="240" w:lineRule="auto"/>
      </w:pPr>
      <w:r>
        <w:t>skills align with occupations</w:t>
      </w:r>
    </w:p>
    <w:p w14:paraId="59597E5A" w14:textId="77777777" w:rsidR="00796535" w:rsidRDefault="00796535" w:rsidP="00796535">
      <w:pPr>
        <w:pStyle w:val="ListParagraph"/>
        <w:numPr>
          <w:ilvl w:val="0"/>
          <w:numId w:val="33"/>
        </w:numPr>
        <w:spacing w:after="0" w:line="240" w:lineRule="auto"/>
      </w:pPr>
      <w:r>
        <w:t>improve potential pathway opportunities to other occupations in building and construction</w:t>
      </w:r>
    </w:p>
    <w:p w14:paraId="59512766" w14:textId="77777777" w:rsidR="00796535" w:rsidRDefault="00796535" w:rsidP="00796535">
      <w:pPr>
        <w:pStyle w:val="ListParagraph"/>
        <w:numPr>
          <w:ilvl w:val="0"/>
          <w:numId w:val="33"/>
        </w:numPr>
        <w:spacing w:after="0" w:line="240" w:lineRule="auto"/>
      </w:pPr>
      <w:r>
        <w:t>workforce will have relevant, valued, and up-to-date skills relating to solid plastering practices</w:t>
      </w:r>
    </w:p>
    <w:p w14:paraId="196152B1" w14:textId="77777777" w:rsidR="00796535" w:rsidRDefault="00796535" w:rsidP="00796535">
      <w:pPr>
        <w:numPr>
          <w:ilvl w:val="0"/>
          <w:numId w:val="33"/>
        </w:numPr>
        <w:spacing w:after="0" w:line="240" w:lineRule="auto"/>
      </w:pPr>
      <w:r>
        <w:t>qualifications will incorporate industry best practices</w:t>
      </w:r>
    </w:p>
    <w:p w14:paraId="45AE1396" w14:textId="77777777" w:rsidR="00796535" w:rsidRDefault="00796535" w:rsidP="00796535">
      <w:pPr>
        <w:spacing w:after="0"/>
        <w:ind w:left="720"/>
      </w:pPr>
    </w:p>
    <w:p w14:paraId="42323FAD" w14:textId="57C062EC" w:rsidR="00796535" w:rsidRDefault="00796535" w:rsidP="0049563C">
      <w:pPr>
        <w:pStyle w:val="Heading3"/>
      </w:pPr>
      <w:bookmarkStart w:id="77" w:name="_Toc496378731"/>
      <w:bookmarkStart w:id="78" w:name="_Toc496460805"/>
      <w:r>
        <w:t>Negative Impact of not implementing the recommended changes</w:t>
      </w:r>
      <w:bookmarkEnd w:id="77"/>
      <w:bookmarkEnd w:id="78"/>
    </w:p>
    <w:p w14:paraId="1CC1B60D" w14:textId="77777777" w:rsidR="00796535" w:rsidRDefault="00796535" w:rsidP="00796535">
      <w:pPr>
        <w:spacing w:after="0"/>
      </w:pPr>
      <w:r>
        <w:t>Not implementing the above changes will mean that:</w:t>
      </w:r>
    </w:p>
    <w:p w14:paraId="4E71E145" w14:textId="77777777" w:rsidR="00796535" w:rsidRPr="00674C6A" w:rsidRDefault="00796535" w:rsidP="00796535">
      <w:pPr>
        <w:pStyle w:val="NoSpacing"/>
      </w:pPr>
    </w:p>
    <w:p w14:paraId="01DBF806" w14:textId="77777777" w:rsidR="00796535" w:rsidRDefault="00796535" w:rsidP="00796535">
      <w:pPr>
        <w:numPr>
          <w:ilvl w:val="0"/>
          <w:numId w:val="34"/>
        </w:numPr>
        <w:spacing w:after="0" w:line="240" w:lineRule="auto"/>
      </w:pPr>
      <w:r>
        <w:t>uptake of the qualifications will diminish</w:t>
      </w:r>
    </w:p>
    <w:p w14:paraId="6EC6BD7E" w14:textId="77777777" w:rsidR="00796535" w:rsidRDefault="00796535" w:rsidP="00796535">
      <w:pPr>
        <w:numPr>
          <w:ilvl w:val="0"/>
          <w:numId w:val="34"/>
        </w:numPr>
        <w:spacing w:after="0" w:line="240" w:lineRule="auto"/>
      </w:pPr>
      <w:r>
        <w:t>skill and knowledge gaps will increase</w:t>
      </w:r>
    </w:p>
    <w:p w14:paraId="59607745" w14:textId="77777777" w:rsidR="00796535" w:rsidRDefault="00796535" w:rsidP="00796535">
      <w:pPr>
        <w:numPr>
          <w:ilvl w:val="0"/>
          <w:numId w:val="34"/>
        </w:numPr>
        <w:spacing w:after="0" w:line="240" w:lineRule="auto"/>
      </w:pPr>
      <w:r>
        <w:t xml:space="preserve">the quality and value of the qualification will be comprised </w:t>
      </w:r>
    </w:p>
    <w:p w14:paraId="64CC8395" w14:textId="77777777" w:rsidR="00796535" w:rsidRDefault="00796535" w:rsidP="00796535">
      <w:pPr>
        <w:numPr>
          <w:ilvl w:val="0"/>
          <w:numId w:val="34"/>
        </w:numPr>
        <w:spacing w:after="0" w:line="240" w:lineRule="auto"/>
      </w:pPr>
      <w:r>
        <w:t>the training and delivery will not reflect current and emerging industry standards</w:t>
      </w:r>
    </w:p>
    <w:p w14:paraId="14E0CC17" w14:textId="77777777" w:rsidR="00796535" w:rsidRDefault="00796535" w:rsidP="00796535">
      <w:pPr>
        <w:numPr>
          <w:ilvl w:val="0"/>
          <w:numId w:val="34"/>
        </w:numPr>
        <w:spacing w:after="0" w:line="240" w:lineRule="auto"/>
      </w:pPr>
      <w:r>
        <w:t>work health and safety will be compromised.</w:t>
      </w:r>
    </w:p>
    <w:p w14:paraId="0F02437C" w14:textId="77777777" w:rsidR="00796535" w:rsidRDefault="00796535" w:rsidP="00796535">
      <w:pPr>
        <w:spacing w:after="0"/>
      </w:pPr>
    </w:p>
    <w:p w14:paraId="64E39734" w14:textId="14F96B97" w:rsidR="00796535" w:rsidRDefault="00796535" w:rsidP="0049563C">
      <w:pPr>
        <w:pStyle w:val="Heading3"/>
      </w:pPr>
      <w:bookmarkStart w:id="79" w:name="_Toc488067304"/>
      <w:bookmarkStart w:id="80" w:name="_Toc496378732"/>
      <w:bookmarkStart w:id="81" w:name="_Toc496460806"/>
      <w:r>
        <w:t>Estimated time frames</w:t>
      </w:r>
      <w:bookmarkEnd w:id="79"/>
      <w:bookmarkEnd w:id="80"/>
      <w:bookmarkEnd w:id="81"/>
    </w:p>
    <w:p w14:paraId="0A2C97B6" w14:textId="77777777" w:rsidR="00796535" w:rsidRDefault="00796535" w:rsidP="00796535">
      <w:pPr>
        <w:spacing w:after="0"/>
      </w:pPr>
      <w:r>
        <w:t>The review and development of the qualifications will follow a standard project remit:</w:t>
      </w:r>
    </w:p>
    <w:p w14:paraId="6BC4D138" w14:textId="77777777" w:rsidR="00796535" w:rsidRDefault="00796535" w:rsidP="00796535">
      <w:pPr>
        <w:spacing w:after="0"/>
      </w:pPr>
    </w:p>
    <w:p w14:paraId="789B42B5" w14:textId="77777777" w:rsidR="00796535" w:rsidRDefault="00796535" w:rsidP="00796535">
      <w:pPr>
        <w:numPr>
          <w:ilvl w:val="0"/>
          <w:numId w:val="35"/>
        </w:numPr>
        <w:spacing w:after="0" w:line="240" w:lineRule="auto"/>
      </w:pPr>
      <w:r>
        <w:t xml:space="preserve">nominations of a technical advisory group </w:t>
      </w:r>
    </w:p>
    <w:p w14:paraId="775B1336" w14:textId="77777777" w:rsidR="00796535" w:rsidRDefault="00796535" w:rsidP="00796535">
      <w:pPr>
        <w:numPr>
          <w:ilvl w:val="0"/>
          <w:numId w:val="35"/>
        </w:numPr>
        <w:spacing w:after="0" w:line="240" w:lineRule="auto"/>
      </w:pPr>
      <w:r>
        <w:t>engagement of subject matter experts (SME)</w:t>
      </w:r>
    </w:p>
    <w:p w14:paraId="7BFCE963" w14:textId="77777777" w:rsidR="00796535" w:rsidRDefault="00796535" w:rsidP="00796535">
      <w:pPr>
        <w:numPr>
          <w:ilvl w:val="0"/>
          <w:numId w:val="35"/>
        </w:numPr>
        <w:spacing w:after="0" w:line="240" w:lineRule="auto"/>
      </w:pPr>
      <w:r>
        <w:t>ongoing research</w:t>
      </w:r>
    </w:p>
    <w:p w14:paraId="30927506" w14:textId="77777777" w:rsidR="00796535" w:rsidRDefault="00796535" w:rsidP="00796535">
      <w:pPr>
        <w:numPr>
          <w:ilvl w:val="0"/>
          <w:numId w:val="35"/>
        </w:numPr>
        <w:spacing w:after="0" w:line="240" w:lineRule="auto"/>
      </w:pPr>
      <w:r>
        <w:t>state based forums and seminars</w:t>
      </w:r>
    </w:p>
    <w:p w14:paraId="7DA03CF8" w14:textId="77777777" w:rsidR="00796535" w:rsidRDefault="00796535" w:rsidP="00796535">
      <w:pPr>
        <w:numPr>
          <w:ilvl w:val="0"/>
          <w:numId w:val="35"/>
        </w:numPr>
        <w:spacing w:after="0" w:line="240" w:lineRule="auto"/>
      </w:pPr>
      <w:r>
        <w:t>development of components</w:t>
      </w:r>
    </w:p>
    <w:p w14:paraId="074FF57A" w14:textId="77777777" w:rsidR="00796535" w:rsidRDefault="00796535" w:rsidP="00796535">
      <w:pPr>
        <w:numPr>
          <w:ilvl w:val="0"/>
          <w:numId w:val="35"/>
        </w:numPr>
        <w:spacing w:after="0" w:line="240" w:lineRule="auto"/>
      </w:pPr>
      <w:r>
        <w:t>industry validation</w:t>
      </w:r>
    </w:p>
    <w:p w14:paraId="2188F4B5" w14:textId="77777777" w:rsidR="00796535" w:rsidRDefault="00796535" w:rsidP="00796535">
      <w:pPr>
        <w:numPr>
          <w:ilvl w:val="0"/>
          <w:numId w:val="35"/>
        </w:numPr>
        <w:spacing w:after="0" w:line="240" w:lineRule="auto"/>
      </w:pPr>
      <w:r>
        <w:t xml:space="preserve">final draft, editorial and equity, quality review, endorsement </w:t>
      </w:r>
    </w:p>
    <w:p w14:paraId="5F84F8DA" w14:textId="4303EB5B" w:rsidR="00796535" w:rsidRDefault="00796535" w:rsidP="00796535">
      <w:pPr>
        <w:pStyle w:val="Heading1"/>
      </w:pPr>
      <w:bookmarkStart w:id="82" w:name="_Toc488067305"/>
      <w:bookmarkStart w:id="83" w:name="_Toc496378733"/>
      <w:bookmarkStart w:id="84" w:name="_Toc496460807"/>
      <w:r>
        <w:lastRenderedPageBreak/>
        <w:t>Implementing the COAG Industry and Skills Council (CISC) reforms for training packages</w:t>
      </w:r>
      <w:bookmarkEnd w:id="82"/>
      <w:bookmarkEnd w:id="83"/>
      <w:bookmarkEnd w:id="84"/>
      <w:r>
        <w:t xml:space="preserve"> </w:t>
      </w:r>
    </w:p>
    <w:p w14:paraId="0B4BB5B0" w14:textId="77777777" w:rsidR="00796535" w:rsidRDefault="00796535" w:rsidP="00796535">
      <w:pPr>
        <w:spacing w:after="0"/>
      </w:pPr>
    </w:p>
    <w:p w14:paraId="7285E964" w14:textId="1F384350" w:rsidR="00796535" w:rsidRDefault="00796535" w:rsidP="00796535">
      <w:pPr>
        <w:spacing w:after="0"/>
      </w:pPr>
      <w:r>
        <w:t>The proposed changes are designed to implement key principles of COAG Industry and Skills Council reforms to training packages. If the recommended changes are approved, then the following outcomes will be achieved:</w:t>
      </w:r>
    </w:p>
    <w:p w14:paraId="165793F9" w14:textId="77777777" w:rsidR="00796535" w:rsidRDefault="00796535" w:rsidP="00796535">
      <w:pPr>
        <w:spacing w:after="0"/>
      </w:pPr>
    </w:p>
    <w:p w14:paraId="38D467A3" w14:textId="77777777" w:rsidR="00796535" w:rsidRDefault="00796535" w:rsidP="00796535">
      <w:pPr>
        <w:numPr>
          <w:ilvl w:val="0"/>
          <w:numId w:val="35"/>
        </w:numPr>
        <w:spacing w:after="0" w:line="240" w:lineRule="auto"/>
      </w:pPr>
      <w:r>
        <w:t>improvement in the quality of the by qualifications by:</w:t>
      </w:r>
    </w:p>
    <w:p w14:paraId="4798AA30" w14:textId="77777777" w:rsidR="00796535" w:rsidRDefault="00796535" w:rsidP="00796535">
      <w:pPr>
        <w:spacing w:after="0" w:line="240" w:lineRule="auto"/>
        <w:ind w:left="720"/>
      </w:pPr>
    </w:p>
    <w:p w14:paraId="46C5C256" w14:textId="77777777" w:rsidR="00796535" w:rsidRDefault="00796535" w:rsidP="00796535">
      <w:pPr>
        <w:numPr>
          <w:ilvl w:val="1"/>
          <w:numId w:val="35"/>
        </w:numPr>
        <w:spacing w:after="0" w:line="240" w:lineRule="auto"/>
      </w:pPr>
      <w:r>
        <w:t xml:space="preserve">removing duplicative and superfluous qualifications and units </w:t>
      </w:r>
    </w:p>
    <w:p w14:paraId="2BBD4159" w14:textId="77777777" w:rsidR="00796535" w:rsidRDefault="00796535" w:rsidP="00796535">
      <w:pPr>
        <w:numPr>
          <w:ilvl w:val="1"/>
          <w:numId w:val="35"/>
        </w:numPr>
        <w:spacing w:after="0" w:line="240" w:lineRule="auto"/>
      </w:pPr>
      <w:r>
        <w:t>redesigning qualifications that specify clear and straightforward pathways and opportunities for cross-sector and cross-industry mobility, thereby fostering equity in the industry.</w:t>
      </w:r>
    </w:p>
    <w:p w14:paraId="1680C096" w14:textId="77777777" w:rsidR="00796535" w:rsidRDefault="00796535" w:rsidP="00796535">
      <w:pPr>
        <w:numPr>
          <w:ilvl w:val="0"/>
          <w:numId w:val="35"/>
        </w:numPr>
        <w:spacing w:after="0" w:line="240" w:lineRule="auto"/>
      </w:pPr>
      <w:r>
        <w:t>increase in the uptake of the qualifications</w:t>
      </w:r>
    </w:p>
    <w:p w14:paraId="6468F862" w14:textId="77777777" w:rsidR="00796535" w:rsidRDefault="00796535" w:rsidP="00796535">
      <w:pPr>
        <w:pStyle w:val="ListParagraph"/>
        <w:numPr>
          <w:ilvl w:val="0"/>
          <w:numId w:val="33"/>
        </w:numPr>
        <w:spacing w:after="0" w:line="240" w:lineRule="auto"/>
      </w:pPr>
      <w:r>
        <w:t>inclusion of relevant skills relating to solid plastering practices and, project and financial management</w:t>
      </w:r>
    </w:p>
    <w:p w14:paraId="2A0DA2CA" w14:textId="77777777" w:rsidR="00796535" w:rsidRDefault="00796535" w:rsidP="00796535">
      <w:pPr>
        <w:numPr>
          <w:ilvl w:val="0"/>
          <w:numId w:val="35"/>
        </w:numPr>
        <w:spacing w:after="0" w:line="240" w:lineRule="auto"/>
      </w:pPr>
      <w:r>
        <w:t>alignment of the skills with the occupational outcomes</w:t>
      </w:r>
    </w:p>
    <w:p w14:paraId="682AFB65" w14:textId="134377FE" w:rsidR="00796535" w:rsidRDefault="00796535" w:rsidP="00796535">
      <w:pPr>
        <w:numPr>
          <w:ilvl w:val="0"/>
          <w:numId w:val="35"/>
        </w:numPr>
        <w:spacing w:after="0" w:line="240" w:lineRule="auto"/>
      </w:pPr>
      <w:r>
        <w:t>true reflection of current and emerging industry standards and trends.</w:t>
      </w:r>
    </w:p>
    <w:p w14:paraId="1E5EFBFB" w14:textId="4BBE0B2F" w:rsidR="00796535" w:rsidRDefault="00796535" w:rsidP="00796535">
      <w:pPr>
        <w:spacing w:after="0" w:line="240" w:lineRule="auto"/>
      </w:pPr>
    </w:p>
    <w:p w14:paraId="54BFDC58" w14:textId="5F7506BD" w:rsidR="00796535" w:rsidRDefault="00796535" w:rsidP="00796535">
      <w:pPr>
        <w:spacing w:after="0" w:line="240" w:lineRule="auto"/>
      </w:pPr>
    </w:p>
    <w:p w14:paraId="27907AA5" w14:textId="6CBDDAB0" w:rsidR="00796535" w:rsidRDefault="00796535" w:rsidP="00796535">
      <w:pPr>
        <w:spacing w:after="0" w:line="240" w:lineRule="auto"/>
      </w:pPr>
    </w:p>
    <w:p w14:paraId="0115673E" w14:textId="579BA1BF" w:rsidR="00796535" w:rsidRDefault="00796535" w:rsidP="00796535">
      <w:pPr>
        <w:rPr>
          <w:rFonts w:eastAsia="Times New Roman" w:cstheme="minorHAnsi"/>
          <w:b/>
          <w:bCs/>
        </w:rPr>
      </w:pPr>
    </w:p>
    <w:p w14:paraId="1C85904C" w14:textId="75A86A1B" w:rsidR="00796535" w:rsidRDefault="00796535" w:rsidP="00796535">
      <w:pPr>
        <w:rPr>
          <w:rFonts w:eastAsia="Times New Roman" w:cstheme="minorHAnsi"/>
          <w:b/>
          <w:bCs/>
        </w:rPr>
      </w:pPr>
    </w:p>
    <w:p w14:paraId="58FB84F2" w14:textId="2110D722" w:rsidR="004350CC" w:rsidRDefault="004350CC" w:rsidP="00796535">
      <w:pPr>
        <w:rPr>
          <w:rFonts w:eastAsia="Times New Roman" w:cstheme="minorHAnsi"/>
          <w:b/>
          <w:bCs/>
        </w:rPr>
      </w:pPr>
    </w:p>
    <w:p w14:paraId="1E19EFD2" w14:textId="6585F612" w:rsidR="003E1487" w:rsidRDefault="003E1487" w:rsidP="00796535">
      <w:pPr>
        <w:rPr>
          <w:rFonts w:eastAsia="Times New Roman" w:cstheme="minorHAnsi"/>
          <w:b/>
          <w:bCs/>
        </w:rPr>
      </w:pPr>
    </w:p>
    <w:p w14:paraId="5F3E020E" w14:textId="77777777" w:rsidR="003E1487" w:rsidRDefault="003E1487" w:rsidP="00796535">
      <w:pPr>
        <w:rPr>
          <w:rFonts w:eastAsia="Times New Roman" w:cstheme="minorHAnsi"/>
          <w:b/>
          <w:bCs/>
        </w:rPr>
      </w:pPr>
    </w:p>
    <w:p w14:paraId="05814359" w14:textId="4B016621" w:rsidR="00796535" w:rsidRDefault="00796535" w:rsidP="00796535">
      <w:pPr>
        <w:rPr>
          <w:rFonts w:eastAsia="Times New Roman" w:cstheme="minorHAnsi"/>
          <w:b/>
          <w:bCs/>
        </w:rPr>
      </w:pPr>
    </w:p>
    <w:p w14:paraId="0FB7CDB1" w14:textId="77777777" w:rsidR="00796535" w:rsidRDefault="00796535" w:rsidP="00796535">
      <w:pPr>
        <w:rPr>
          <w:rFonts w:eastAsia="Times New Roman" w:cstheme="minorHAnsi"/>
          <w:b/>
          <w:bCs/>
        </w:rPr>
      </w:pPr>
    </w:p>
    <w:p w14:paraId="75C1D029" w14:textId="77777777" w:rsidR="00796535" w:rsidRDefault="00796535" w:rsidP="00796535">
      <w:pPr>
        <w:rPr>
          <w:rFonts w:eastAsia="Times New Roman" w:cstheme="minorHAnsi"/>
          <w:b/>
          <w:bCs/>
        </w:rPr>
      </w:pPr>
    </w:p>
    <w:p w14:paraId="2D265A3D" w14:textId="77777777" w:rsidR="00796535" w:rsidRDefault="00796535" w:rsidP="00796535">
      <w:pPr>
        <w:rPr>
          <w:rFonts w:eastAsia="Times New Roman" w:cstheme="minorHAnsi"/>
          <w:b/>
          <w:bCs/>
        </w:rPr>
      </w:pPr>
    </w:p>
    <w:p w14:paraId="3360B027" w14:textId="2B7687C1" w:rsidR="00796535" w:rsidRPr="0072390B" w:rsidRDefault="00796535" w:rsidP="00796535">
      <w:pPr>
        <w:rPr>
          <w:rFonts w:eastAsia="Times New Roman" w:cstheme="minorHAnsi"/>
          <w:b/>
          <w:bCs/>
        </w:rPr>
      </w:pPr>
      <w:r>
        <w:rPr>
          <w:rFonts w:eastAsia="Times New Roman" w:cstheme="minorHAnsi"/>
          <w:b/>
          <w:bCs/>
        </w:rPr>
        <w:t xml:space="preserve">This </w:t>
      </w:r>
      <w:r w:rsidRPr="00556E1E">
        <w:rPr>
          <w:rFonts w:eastAsia="Times New Roman" w:cstheme="minorHAnsi"/>
          <w:b/>
          <w:bCs/>
        </w:rPr>
        <w:t>case for change</w:t>
      </w:r>
      <w:r>
        <w:rPr>
          <w:rFonts w:eastAsia="Times New Roman" w:cstheme="minorHAnsi"/>
          <w:b/>
          <w:bCs/>
        </w:rPr>
        <w:t xml:space="preserve"> was agreed to by the </w:t>
      </w:r>
      <w:r w:rsidR="00D14504">
        <w:rPr>
          <w:rFonts w:eastAsia="Times New Roman" w:cstheme="minorHAnsi"/>
          <w:b/>
          <w:bCs/>
        </w:rPr>
        <w:t>Construction</w:t>
      </w:r>
      <w:r>
        <w:rPr>
          <w:rFonts w:eastAsia="Times New Roman" w:cstheme="minorHAnsi"/>
          <w:b/>
          <w:bCs/>
        </w:rPr>
        <w:t xml:space="preserve"> Services IRC</w:t>
      </w:r>
    </w:p>
    <w:p w14:paraId="1F528CEB" w14:textId="77777777" w:rsidR="00796535" w:rsidRDefault="00796535" w:rsidP="00796535">
      <w:pPr>
        <w:keepNext/>
        <w:rPr>
          <w:rFonts w:eastAsia="Times New Roman" w:cstheme="minorHAnsi"/>
        </w:rPr>
      </w:pPr>
    </w:p>
    <w:p w14:paraId="3CF4CCCE" w14:textId="77777777" w:rsidR="00796535" w:rsidRDefault="00796535" w:rsidP="00796535">
      <w:pPr>
        <w:keepNext/>
        <w:rPr>
          <w:rFonts w:eastAsia="Times New Roman" w:cstheme="minorHAnsi"/>
        </w:rPr>
      </w:pPr>
    </w:p>
    <w:p w14:paraId="1661CA3A" w14:textId="77777777" w:rsidR="00796535" w:rsidRDefault="00796535" w:rsidP="00796535">
      <w:pPr>
        <w:keepNext/>
        <w:pBdr>
          <w:top w:val="single" w:sz="4" w:space="1" w:color="auto"/>
        </w:pBdr>
        <w:tabs>
          <w:tab w:val="left" w:pos="5812"/>
        </w:tabs>
        <w:rPr>
          <w:rFonts w:eastAsia="Times New Roman" w:cstheme="minorHAnsi"/>
        </w:rPr>
      </w:pPr>
      <w:r>
        <w:rPr>
          <w:rFonts w:eastAsia="Times New Roman" w:cstheme="minorHAnsi"/>
          <w:b/>
        </w:rPr>
        <w:t>(Name of Chair)</w:t>
      </w:r>
      <w:r>
        <w:rPr>
          <w:rFonts w:eastAsia="Times New Roman" w:cstheme="minorHAnsi"/>
        </w:rPr>
        <w:tab/>
      </w:r>
      <w:r>
        <w:rPr>
          <w:rFonts w:eastAsia="Times New Roman" w:cstheme="minorHAnsi"/>
          <w:b/>
        </w:rPr>
        <w:t>Signature of Chair</w:t>
      </w:r>
      <w:r>
        <w:rPr>
          <w:rFonts w:eastAsia="Times New Roman" w:cstheme="minorHAnsi"/>
        </w:rPr>
        <w:t xml:space="preserve"> </w:t>
      </w:r>
    </w:p>
    <w:p w14:paraId="4097C486" w14:textId="77777777" w:rsidR="00796535" w:rsidRDefault="00796535" w:rsidP="00796535">
      <w:pPr>
        <w:keepNext/>
        <w:ind w:left="4320" w:firstLine="720"/>
        <w:rPr>
          <w:rFonts w:eastAsia="Times New Roman" w:cstheme="minorHAnsi"/>
        </w:rPr>
      </w:pPr>
    </w:p>
    <w:p w14:paraId="195B1E07" w14:textId="77777777" w:rsidR="00796535" w:rsidRDefault="00796535" w:rsidP="00796535">
      <w:pPr>
        <w:keepNext/>
        <w:tabs>
          <w:tab w:val="left" w:pos="5812"/>
        </w:tabs>
        <w:rPr>
          <w:rFonts w:eastAsia="Times New Roman" w:cstheme="minorHAnsi"/>
        </w:rPr>
      </w:pPr>
      <w:r>
        <w:rPr>
          <w:rFonts w:eastAsia="Times New Roman" w:cstheme="minorHAnsi"/>
        </w:rPr>
        <w:tab/>
        <w:t>Date:</w:t>
      </w:r>
    </w:p>
    <w:p w14:paraId="4A7B8E78" w14:textId="77777777" w:rsidR="00796535" w:rsidRDefault="00796535" w:rsidP="00796535">
      <w:pPr>
        <w:spacing w:after="0" w:line="240" w:lineRule="auto"/>
      </w:pPr>
    </w:p>
    <w:p w14:paraId="53FB2DA1" w14:textId="77777777" w:rsidR="00796535" w:rsidRDefault="00796535" w:rsidP="00796535">
      <w:pPr>
        <w:rPr>
          <w:rFonts w:asciiTheme="majorHAnsi" w:eastAsia="Times New Roman" w:hAnsiTheme="majorHAnsi" w:cstheme="minorHAnsi"/>
          <w:b/>
          <w:bCs/>
        </w:rPr>
      </w:pPr>
    </w:p>
    <w:p w14:paraId="1AE32D48" w14:textId="77777777" w:rsidR="00796535" w:rsidRPr="00796535" w:rsidRDefault="00796535" w:rsidP="00796535">
      <w:pPr>
        <w:sectPr w:rsidR="00796535" w:rsidRPr="00796535" w:rsidSect="003E1487">
          <w:pgSz w:w="11906" w:h="16838"/>
          <w:pgMar w:top="993" w:right="1440" w:bottom="1440" w:left="1440" w:header="708" w:footer="708" w:gutter="0"/>
          <w:cols w:space="708"/>
          <w:docGrid w:linePitch="360"/>
        </w:sectPr>
      </w:pPr>
    </w:p>
    <w:p w14:paraId="53AB22D0" w14:textId="3FFCB93D" w:rsidR="00084F56" w:rsidRDefault="003F6A87" w:rsidP="00E71F80">
      <w:pPr>
        <w:pStyle w:val="Heading2"/>
      </w:pPr>
      <w:bookmarkStart w:id="85" w:name="_Toc496460808"/>
      <w:r>
        <w:lastRenderedPageBreak/>
        <w:t xml:space="preserve">Appendix A: </w:t>
      </w:r>
      <w:bookmarkStart w:id="86" w:name="_Toc496378735"/>
      <w:r w:rsidR="004C1C95">
        <w:t>Stakeholder Consultation Method and Scale</w:t>
      </w:r>
      <w:bookmarkEnd w:id="85"/>
      <w:bookmarkEnd w:id="86"/>
    </w:p>
    <w:tbl>
      <w:tblPr>
        <w:tblStyle w:val="GridTable4-Accent31"/>
        <w:tblW w:w="5343" w:type="pct"/>
        <w:tblLook w:val="04A0" w:firstRow="1" w:lastRow="0" w:firstColumn="1" w:lastColumn="0" w:noHBand="0" w:noVBand="1"/>
      </w:tblPr>
      <w:tblGrid>
        <w:gridCol w:w="5093"/>
        <w:gridCol w:w="4881"/>
        <w:gridCol w:w="4931"/>
      </w:tblGrid>
      <w:tr w:rsidR="00E34398" w:rsidRPr="00BB1CCE" w14:paraId="0E80ED0B" w14:textId="05BD1A95" w:rsidTr="00371A5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hideMark/>
          </w:tcPr>
          <w:p w14:paraId="676379ED" w14:textId="66F6E28B" w:rsidR="00E34398" w:rsidRPr="00BB1CCE" w:rsidRDefault="00E64F30" w:rsidP="00205600">
            <w:pPr>
              <w:rPr>
                <w:rFonts w:eastAsia="Times New Roman" w:cs="Times New Roman"/>
                <w:lang w:eastAsia="en-AU"/>
              </w:rPr>
            </w:pPr>
            <w:r>
              <w:rPr>
                <w:rFonts w:eastAsia="Times New Roman" w:cs="Times New Roman"/>
                <w:lang w:eastAsia="en-AU"/>
              </w:rPr>
              <w:t>Stakeholder Name</w:t>
            </w:r>
          </w:p>
        </w:tc>
        <w:tc>
          <w:tcPr>
            <w:tcW w:w="1637" w:type="pct"/>
          </w:tcPr>
          <w:p w14:paraId="6E49564E" w14:textId="2ABBFDA1" w:rsidR="00E34398" w:rsidRDefault="00E64F30" w:rsidP="00205600">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Pr>
                <w:rFonts w:eastAsia="Times New Roman" w:cs="Times New Roman"/>
                <w:lang w:eastAsia="en-AU"/>
              </w:rPr>
              <w:t xml:space="preserve">Stakeholder </w:t>
            </w:r>
            <w:proofErr w:type="spellStart"/>
            <w:r w:rsidR="00E34398">
              <w:rPr>
                <w:rFonts w:eastAsia="Times New Roman" w:cs="Times New Roman"/>
                <w:lang w:eastAsia="en-AU"/>
              </w:rPr>
              <w:t>Organisation</w:t>
            </w:r>
            <w:proofErr w:type="spellEnd"/>
          </w:p>
        </w:tc>
        <w:tc>
          <w:tcPr>
            <w:tcW w:w="1654" w:type="pct"/>
          </w:tcPr>
          <w:p w14:paraId="42B18B37" w14:textId="532E091F" w:rsidR="00E34398" w:rsidRDefault="00E64F30" w:rsidP="00205600">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AU"/>
              </w:rPr>
            </w:pPr>
            <w:r>
              <w:rPr>
                <w:rFonts w:eastAsia="Times New Roman" w:cs="Times New Roman"/>
                <w:lang w:eastAsia="en-AU"/>
              </w:rPr>
              <w:t xml:space="preserve">Stakeholder </w:t>
            </w:r>
            <w:r w:rsidR="00FF5BA4">
              <w:rPr>
                <w:rFonts w:eastAsia="Times New Roman" w:cs="Times New Roman"/>
                <w:lang w:eastAsia="en-AU"/>
              </w:rPr>
              <w:t>Contact</w:t>
            </w:r>
          </w:p>
        </w:tc>
      </w:tr>
      <w:tr w:rsidR="00371A5F" w:rsidRPr="00BB1CCE" w14:paraId="191BDA23" w14:textId="30368297"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03127878" w14:textId="763A98A3" w:rsidR="00371A5F" w:rsidRPr="00371A5F" w:rsidRDefault="00371A5F" w:rsidP="00371A5F">
            <w:pPr>
              <w:rPr>
                <w:rFonts w:eastAsia="Times New Roman" w:cs="Times New Roman"/>
                <w:b w:val="0"/>
                <w:lang w:eastAsia="en-AU"/>
              </w:rPr>
            </w:pPr>
            <w:r w:rsidRPr="00371A5F">
              <w:rPr>
                <w:b w:val="0"/>
              </w:rPr>
              <w:t>Master Painters Aust</w:t>
            </w:r>
            <w:r>
              <w:rPr>
                <w:b w:val="0"/>
              </w:rPr>
              <w:t>ralia</w:t>
            </w:r>
          </w:p>
        </w:tc>
        <w:tc>
          <w:tcPr>
            <w:tcW w:w="1637" w:type="pct"/>
          </w:tcPr>
          <w:p w14:paraId="76A45348" w14:textId="0347D27B" w:rsidR="00371A5F" w:rsidRPr="00371A5F" w:rsidRDefault="00371A5F" w:rsidP="00371A5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71A5F">
              <w:t>Master Painters Australia</w:t>
            </w:r>
          </w:p>
        </w:tc>
        <w:tc>
          <w:tcPr>
            <w:tcW w:w="1654" w:type="pct"/>
          </w:tcPr>
          <w:p w14:paraId="363CAAE1" w14:textId="428E5A09" w:rsidR="00371A5F" w:rsidRPr="00371A5F" w:rsidRDefault="00371A5F" w:rsidP="00371A5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71A5F">
              <w:t>www.masterpainters.org.au</w:t>
            </w:r>
          </w:p>
        </w:tc>
      </w:tr>
      <w:tr w:rsidR="00371A5F" w:rsidRPr="00BB1CCE" w14:paraId="44DA0256" w14:textId="77777777"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4D3ACACD" w14:textId="6B3A852B" w:rsidR="00371A5F" w:rsidRPr="00371A5F" w:rsidRDefault="00371A5F" w:rsidP="00371A5F">
            <w:pPr>
              <w:rPr>
                <w:rFonts w:eastAsia="Times New Roman" w:cs="Times New Roman"/>
                <w:b w:val="0"/>
                <w:lang w:eastAsia="en-AU"/>
              </w:rPr>
            </w:pPr>
            <w:r w:rsidRPr="00371A5F">
              <w:rPr>
                <w:b w:val="0"/>
              </w:rPr>
              <w:t xml:space="preserve">Master Painters Institute  </w:t>
            </w:r>
          </w:p>
        </w:tc>
        <w:tc>
          <w:tcPr>
            <w:tcW w:w="1637" w:type="pct"/>
          </w:tcPr>
          <w:p w14:paraId="6382EA45" w14:textId="75625E5F" w:rsidR="00371A5F" w:rsidRPr="00371A5F" w:rsidRDefault="00371A5F" w:rsidP="00371A5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371A5F">
              <w:t xml:space="preserve">Master Painters Institute  </w:t>
            </w:r>
          </w:p>
        </w:tc>
        <w:tc>
          <w:tcPr>
            <w:tcW w:w="1654" w:type="pct"/>
          </w:tcPr>
          <w:p w14:paraId="30624411" w14:textId="3F13AED1" w:rsidR="00371A5F" w:rsidRPr="00371A5F" w:rsidRDefault="00371A5F" w:rsidP="00371A5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371A5F">
              <w:t>www.mpi.net</w:t>
            </w:r>
          </w:p>
        </w:tc>
      </w:tr>
      <w:tr w:rsidR="00371A5F" w:rsidRPr="00BB1CCE" w14:paraId="3149CF90" w14:textId="77777777"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19800650" w14:textId="33860196" w:rsidR="00371A5F" w:rsidRPr="00371A5F" w:rsidRDefault="00371A5F" w:rsidP="00371A5F">
            <w:pPr>
              <w:rPr>
                <w:rFonts w:eastAsia="Times New Roman" w:cs="Times New Roman"/>
                <w:b w:val="0"/>
                <w:lang w:eastAsia="en-AU"/>
              </w:rPr>
            </w:pPr>
            <w:proofErr w:type="spellStart"/>
            <w:r>
              <w:rPr>
                <w:b w:val="0"/>
              </w:rPr>
              <w:t>PaintInfo</w:t>
            </w:r>
            <w:proofErr w:type="spellEnd"/>
          </w:p>
        </w:tc>
        <w:tc>
          <w:tcPr>
            <w:tcW w:w="1637" w:type="pct"/>
          </w:tcPr>
          <w:p w14:paraId="5F7EF17E" w14:textId="59CB4A5D" w:rsidR="00371A5F" w:rsidRPr="00371A5F" w:rsidRDefault="00371A5F" w:rsidP="00371A5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roofErr w:type="spellStart"/>
            <w:r w:rsidRPr="00371A5F">
              <w:t>PaintInfo</w:t>
            </w:r>
            <w:proofErr w:type="spellEnd"/>
          </w:p>
        </w:tc>
        <w:tc>
          <w:tcPr>
            <w:tcW w:w="1654" w:type="pct"/>
          </w:tcPr>
          <w:p w14:paraId="24036516" w14:textId="34FE622E" w:rsidR="00371A5F" w:rsidRPr="00371A5F" w:rsidRDefault="00371A5F" w:rsidP="00371A5F">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71A5F">
              <w:t>www.paintinfo.com</w:t>
            </w:r>
          </w:p>
        </w:tc>
      </w:tr>
      <w:tr w:rsidR="00371A5F" w:rsidRPr="00BB1CCE" w14:paraId="6D285750" w14:textId="77777777"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292F0E44" w14:textId="5743DC96" w:rsidR="00371A5F" w:rsidRPr="00371A5F" w:rsidRDefault="00371A5F" w:rsidP="00371A5F">
            <w:pPr>
              <w:rPr>
                <w:rFonts w:eastAsia="Times New Roman" w:cs="Times New Roman"/>
                <w:b w:val="0"/>
                <w:lang w:eastAsia="en-AU"/>
              </w:rPr>
            </w:pPr>
            <w:r w:rsidRPr="00371A5F">
              <w:rPr>
                <w:b w:val="0"/>
              </w:rPr>
              <w:t>A</w:t>
            </w:r>
            <w:r>
              <w:rPr>
                <w:b w:val="0"/>
              </w:rPr>
              <w:t>ustralian Paint Approval Scheme</w:t>
            </w:r>
          </w:p>
        </w:tc>
        <w:tc>
          <w:tcPr>
            <w:tcW w:w="1637" w:type="pct"/>
          </w:tcPr>
          <w:p w14:paraId="0D431143" w14:textId="66F0B942" w:rsidR="00371A5F" w:rsidRPr="00371A5F" w:rsidRDefault="00371A5F" w:rsidP="00371A5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371A5F">
              <w:t>Australian Paint Approval Scheme</w:t>
            </w:r>
          </w:p>
        </w:tc>
        <w:tc>
          <w:tcPr>
            <w:tcW w:w="1654" w:type="pct"/>
          </w:tcPr>
          <w:p w14:paraId="60F9E08C" w14:textId="361E2CEB" w:rsidR="00371A5F" w:rsidRPr="00371A5F" w:rsidRDefault="00371A5F" w:rsidP="00371A5F">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371A5F">
              <w:t>www.apas.gov.au</w:t>
            </w:r>
          </w:p>
        </w:tc>
      </w:tr>
      <w:tr w:rsidR="00E34398" w:rsidRPr="00BB1CCE" w14:paraId="2724AFFA" w14:textId="50745347"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5C8C2730" w14:textId="77777777" w:rsidR="00E34398" w:rsidRPr="00BB1CCE" w:rsidRDefault="00E34398" w:rsidP="00205600">
            <w:pPr>
              <w:rPr>
                <w:rFonts w:eastAsia="Times New Roman" w:cs="Times New Roman"/>
                <w:b w:val="0"/>
                <w:lang w:eastAsia="en-AU"/>
              </w:rPr>
            </w:pPr>
            <w:r w:rsidRPr="005A54E6">
              <w:rPr>
                <w:rFonts w:eastAsia="Times New Roman" w:cs="Times New Roman"/>
                <w:b w:val="0"/>
                <w:lang w:eastAsia="en-AU"/>
              </w:rPr>
              <w:t xml:space="preserve">Rebecca </w:t>
            </w:r>
            <w:proofErr w:type="spellStart"/>
            <w:r w:rsidRPr="005A54E6">
              <w:rPr>
                <w:rFonts w:eastAsia="Times New Roman" w:cs="Times New Roman"/>
                <w:b w:val="0"/>
                <w:lang w:eastAsia="en-AU"/>
              </w:rPr>
              <w:t>Bellette</w:t>
            </w:r>
            <w:proofErr w:type="spellEnd"/>
          </w:p>
        </w:tc>
        <w:tc>
          <w:tcPr>
            <w:tcW w:w="1637" w:type="pct"/>
          </w:tcPr>
          <w:p w14:paraId="07C8384E" w14:textId="504EDD2A" w:rsidR="00E34398" w:rsidRPr="00BB1CCE" w:rsidRDefault="00AF06BE" w:rsidP="00205600">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Pr>
                <w:rFonts w:eastAsia="Times New Roman" w:cs="Times New Roman"/>
                <w:lang w:eastAsia="en-AU"/>
              </w:rPr>
              <w:t>MPA</w:t>
            </w:r>
            <w:r w:rsidR="00E34398">
              <w:rPr>
                <w:rFonts w:eastAsia="Times New Roman" w:cs="Times New Roman"/>
                <w:lang w:eastAsia="en-AU"/>
              </w:rPr>
              <w:t>/</w:t>
            </w:r>
            <w:r>
              <w:rPr>
                <w:rFonts w:eastAsia="Times New Roman" w:cs="Times New Roman"/>
                <w:lang w:eastAsia="en-AU"/>
              </w:rPr>
              <w:t xml:space="preserve"> </w:t>
            </w:r>
            <w:r w:rsidR="00E34398">
              <w:rPr>
                <w:rFonts w:eastAsia="Times New Roman" w:cs="Times New Roman"/>
                <w:lang w:eastAsia="en-AU"/>
              </w:rPr>
              <w:t>Construction IRC Rep</w:t>
            </w:r>
          </w:p>
        </w:tc>
        <w:tc>
          <w:tcPr>
            <w:tcW w:w="1654" w:type="pct"/>
          </w:tcPr>
          <w:p w14:paraId="19ABA6F5" w14:textId="3E981DE4" w:rsidR="00E34398" w:rsidRPr="005A54E6" w:rsidRDefault="00AF06BE" w:rsidP="00205600">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F06BE">
              <w:rPr>
                <w:rFonts w:eastAsia="Times New Roman" w:cs="Times New Roman"/>
                <w:lang w:eastAsia="en-AU"/>
              </w:rPr>
              <w:t>rbellette@mpa.org.au</w:t>
            </w:r>
          </w:p>
        </w:tc>
      </w:tr>
      <w:tr w:rsidR="00E34398" w:rsidRPr="00BB1CCE" w14:paraId="47BFCA2D" w14:textId="6930C883"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4C0405E1" w14:textId="47721694" w:rsidR="00E34398" w:rsidRPr="00312ABB" w:rsidRDefault="00E34398" w:rsidP="00205600">
            <w:pPr>
              <w:rPr>
                <w:rFonts w:eastAsia="Times New Roman" w:cs="Times New Roman"/>
                <w:b w:val="0"/>
                <w:lang w:eastAsia="en-AU"/>
              </w:rPr>
            </w:pPr>
            <w:r>
              <w:rPr>
                <w:rFonts w:eastAsia="Times New Roman" w:cs="Times New Roman"/>
                <w:b w:val="0"/>
                <w:lang w:eastAsia="en-AU"/>
              </w:rPr>
              <w:t>Daniel</w:t>
            </w:r>
            <w:r w:rsidRPr="00312ABB">
              <w:rPr>
                <w:rFonts w:eastAsia="Times New Roman" w:cs="Times New Roman"/>
                <w:b w:val="0"/>
                <w:lang w:eastAsia="en-AU"/>
              </w:rPr>
              <w:t xml:space="preserve"> </w:t>
            </w:r>
            <w:proofErr w:type="spellStart"/>
            <w:r w:rsidRPr="00312ABB">
              <w:rPr>
                <w:rFonts w:eastAsia="Times New Roman" w:cs="Times New Roman"/>
                <w:b w:val="0"/>
                <w:lang w:eastAsia="en-AU"/>
              </w:rPr>
              <w:t>Wurm</w:t>
            </w:r>
            <w:proofErr w:type="spellEnd"/>
          </w:p>
        </w:tc>
        <w:tc>
          <w:tcPr>
            <w:tcW w:w="1637" w:type="pct"/>
          </w:tcPr>
          <w:p w14:paraId="51626B6B" w14:textId="16EFF6BF" w:rsidR="00E34398" w:rsidRDefault="00E34398" w:rsidP="00205600">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Pr>
                <w:rFonts w:eastAsia="Times New Roman" w:cs="Times New Roman"/>
                <w:lang w:eastAsia="en-AU"/>
              </w:rPr>
              <w:t>National Painting and Decorating Institute</w:t>
            </w:r>
          </w:p>
        </w:tc>
        <w:tc>
          <w:tcPr>
            <w:tcW w:w="1654" w:type="pct"/>
          </w:tcPr>
          <w:p w14:paraId="0F893CAF" w14:textId="6CB63C0F" w:rsidR="00E34398" w:rsidRDefault="00AF06BE" w:rsidP="00205600">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AF06BE">
              <w:rPr>
                <w:rFonts w:eastAsia="Times New Roman" w:cs="Times New Roman"/>
                <w:lang w:eastAsia="en-AU"/>
              </w:rPr>
              <w:t>daniel.wurm@painters.edu.au</w:t>
            </w:r>
          </w:p>
        </w:tc>
      </w:tr>
      <w:tr w:rsidR="00E34398" w:rsidRPr="00BB1CCE" w14:paraId="4FF5E6A0" w14:textId="1EE9B90D"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457FC0AB" w14:textId="77777777" w:rsidR="00E34398" w:rsidRPr="00CF5CED" w:rsidRDefault="00E34398" w:rsidP="00205600">
            <w:pPr>
              <w:rPr>
                <w:rFonts w:eastAsia="Times New Roman" w:cs="Times New Roman"/>
                <w:b w:val="0"/>
                <w:lang w:eastAsia="en-AU"/>
              </w:rPr>
            </w:pPr>
            <w:r w:rsidRPr="00CF5CED">
              <w:rPr>
                <w:rFonts w:eastAsia="Times New Roman" w:cs="Times New Roman"/>
                <w:b w:val="0"/>
                <w:lang w:eastAsia="en-AU"/>
              </w:rPr>
              <w:t>Mark Amos</w:t>
            </w:r>
          </w:p>
        </w:tc>
        <w:tc>
          <w:tcPr>
            <w:tcW w:w="1637" w:type="pct"/>
          </w:tcPr>
          <w:p w14:paraId="510F3876" w14:textId="212953EA" w:rsidR="00E34398" w:rsidRPr="005A54E6" w:rsidRDefault="00E34398" w:rsidP="00205600">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Pr>
                <w:rFonts w:eastAsia="Times New Roman" w:cs="Times New Roman"/>
                <w:lang w:eastAsia="en-AU"/>
              </w:rPr>
              <w:t>Master Painters Australia (MPA</w:t>
            </w:r>
            <w:r w:rsidR="00595EDC">
              <w:rPr>
                <w:rFonts w:eastAsia="Times New Roman" w:cs="Times New Roman"/>
                <w:lang w:eastAsia="en-AU"/>
              </w:rPr>
              <w:t>V</w:t>
            </w:r>
            <w:r>
              <w:rPr>
                <w:rFonts w:eastAsia="Times New Roman" w:cs="Times New Roman"/>
                <w:lang w:eastAsia="en-AU"/>
              </w:rPr>
              <w:t>)</w:t>
            </w:r>
          </w:p>
        </w:tc>
        <w:tc>
          <w:tcPr>
            <w:tcW w:w="1654" w:type="pct"/>
          </w:tcPr>
          <w:p w14:paraId="076CF966" w14:textId="48D0CDD7" w:rsidR="00E34398" w:rsidRDefault="00E34398" w:rsidP="00205600">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Pr>
                <w:rFonts w:eastAsia="Times New Roman" w:cs="Times New Roman"/>
                <w:lang w:eastAsia="en-AU"/>
              </w:rPr>
              <w:t>Mark.Amos@mpaskills.com.au</w:t>
            </w:r>
          </w:p>
        </w:tc>
      </w:tr>
      <w:tr w:rsidR="00E34398" w:rsidRPr="00BB1CCE" w14:paraId="3343C728" w14:textId="7AA87114"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279D6736" w14:textId="77777777" w:rsidR="00E34398" w:rsidRPr="00BB1CCE" w:rsidRDefault="00E34398" w:rsidP="00E34398">
            <w:pPr>
              <w:rPr>
                <w:rFonts w:eastAsia="Times New Roman" w:cs="Times New Roman"/>
                <w:b w:val="0"/>
                <w:lang w:eastAsia="en-AU"/>
              </w:rPr>
            </w:pPr>
            <w:bookmarkStart w:id="87" w:name="_GoBack"/>
            <w:bookmarkEnd w:id="87"/>
            <w:r w:rsidRPr="00733B65">
              <w:rPr>
                <w:rFonts w:eastAsia="Times New Roman" w:cs="Times New Roman"/>
                <w:b w:val="0"/>
                <w:lang w:eastAsia="en-AU"/>
              </w:rPr>
              <w:t xml:space="preserve">Fiona </w:t>
            </w:r>
            <w:proofErr w:type="spellStart"/>
            <w:r w:rsidRPr="00733B65">
              <w:rPr>
                <w:rFonts w:eastAsia="Times New Roman" w:cs="Times New Roman"/>
                <w:b w:val="0"/>
                <w:lang w:eastAsia="en-AU"/>
              </w:rPr>
              <w:t>Shewring</w:t>
            </w:r>
            <w:proofErr w:type="spellEnd"/>
          </w:p>
        </w:tc>
        <w:tc>
          <w:tcPr>
            <w:tcW w:w="1637" w:type="pct"/>
          </w:tcPr>
          <w:p w14:paraId="5C8D4959" w14:textId="77777777" w:rsidR="00E34398" w:rsidRPr="00BB1CCE" w:rsidRDefault="00E34398"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Pr>
                <w:rFonts w:eastAsia="Times New Roman" w:cs="Times New Roman"/>
                <w:lang w:eastAsia="en-AU"/>
              </w:rPr>
              <w:t>TAFE NSW</w:t>
            </w:r>
          </w:p>
        </w:tc>
        <w:tc>
          <w:tcPr>
            <w:tcW w:w="1654" w:type="pct"/>
          </w:tcPr>
          <w:p w14:paraId="2B0700DB" w14:textId="070651ED" w:rsidR="00E34398" w:rsidRDefault="00483BDB"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Pr>
                <w:rFonts w:cs="Calibri"/>
                <w:color w:val="333333"/>
                <w:shd w:val="clear" w:color="auto" w:fill="FFFFFF"/>
              </w:rPr>
              <w:t>npdtta@gmail.com</w:t>
            </w:r>
          </w:p>
        </w:tc>
      </w:tr>
      <w:tr w:rsidR="00E34398" w:rsidRPr="00BB1CCE" w14:paraId="36D95620" w14:textId="46B89D50"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4A3C0B9E" w14:textId="77777777" w:rsidR="00E34398" w:rsidRPr="00BB1CCE" w:rsidRDefault="00E34398" w:rsidP="00E34398">
            <w:pPr>
              <w:rPr>
                <w:rFonts w:eastAsia="Times New Roman" w:cs="Times New Roman"/>
                <w:b w:val="0"/>
                <w:lang w:eastAsia="en-AU"/>
              </w:rPr>
            </w:pPr>
            <w:r w:rsidRPr="00FA13FA">
              <w:rPr>
                <w:rFonts w:eastAsia="Times New Roman" w:cs="Times New Roman"/>
                <w:b w:val="0"/>
                <w:lang w:eastAsia="en-AU"/>
              </w:rPr>
              <w:t>Kieran Moron</w:t>
            </w:r>
          </w:p>
        </w:tc>
        <w:tc>
          <w:tcPr>
            <w:tcW w:w="1637" w:type="pct"/>
          </w:tcPr>
          <w:p w14:paraId="7C968E2D" w14:textId="77777777" w:rsidR="00E34398" w:rsidRPr="00BB1CCE" w:rsidRDefault="00E34398" w:rsidP="00E3439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FA13FA">
              <w:rPr>
                <w:rFonts w:eastAsia="Times New Roman" w:cs="Times New Roman"/>
                <w:lang w:eastAsia="en-AU"/>
              </w:rPr>
              <w:t xml:space="preserve">Bendigo </w:t>
            </w:r>
            <w:proofErr w:type="spellStart"/>
            <w:r w:rsidRPr="00FA13FA">
              <w:rPr>
                <w:rFonts w:eastAsia="Times New Roman" w:cs="Times New Roman"/>
                <w:lang w:eastAsia="en-AU"/>
              </w:rPr>
              <w:t>Tafe</w:t>
            </w:r>
            <w:proofErr w:type="spellEnd"/>
          </w:p>
        </w:tc>
        <w:tc>
          <w:tcPr>
            <w:tcW w:w="1654" w:type="pct"/>
          </w:tcPr>
          <w:p w14:paraId="3377D20A" w14:textId="3C05EF2B" w:rsidR="00E34398" w:rsidRPr="00FA13FA" w:rsidRDefault="00BA1234" w:rsidP="00E3439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Pr>
                <w:rFonts w:eastAsia="Times New Roman" w:cs="Times New Roman"/>
                <w:lang w:eastAsia="en-AU"/>
              </w:rPr>
              <w:t>kmoroni@bendigotafe.edu.au</w:t>
            </w:r>
          </w:p>
        </w:tc>
      </w:tr>
      <w:tr w:rsidR="00E34398" w:rsidRPr="00BB1CCE" w14:paraId="43F39E9D" w14:textId="16C1AA85"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4AC9D42E" w14:textId="77777777" w:rsidR="00E34398" w:rsidRPr="00BB1CCE" w:rsidRDefault="00E34398" w:rsidP="00E34398">
            <w:pPr>
              <w:rPr>
                <w:rFonts w:eastAsia="Times New Roman" w:cs="Times New Roman"/>
                <w:b w:val="0"/>
                <w:lang w:eastAsia="en-AU"/>
              </w:rPr>
            </w:pPr>
            <w:r w:rsidRPr="005A54E6">
              <w:rPr>
                <w:rFonts w:eastAsia="Times New Roman" w:cs="Times New Roman"/>
                <w:b w:val="0"/>
                <w:lang w:eastAsia="en-AU"/>
              </w:rPr>
              <w:t>Euan MacLean</w:t>
            </w:r>
          </w:p>
        </w:tc>
        <w:tc>
          <w:tcPr>
            <w:tcW w:w="1637" w:type="pct"/>
          </w:tcPr>
          <w:p w14:paraId="3BDDB849" w14:textId="77777777" w:rsidR="00E34398" w:rsidRPr="00BB1CCE" w:rsidRDefault="00E34398"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Pr>
                <w:rFonts w:eastAsia="Times New Roman" w:cs="Times New Roman"/>
                <w:lang w:eastAsia="en-AU"/>
              </w:rPr>
              <w:t>South Metropolitan TAFE</w:t>
            </w:r>
          </w:p>
        </w:tc>
        <w:tc>
          <w:tcPr>
            <w:tcW w:w="1654" w:type="pct"/>
          </w:tcPr>
          <w:p w14:paraId="1EB75E79" w14:textId="26853BF3" w:rsidR="00E34398" w:rsidRDefault="00E34398"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E34398">
              <w:rPr>
                <w:rFonts w:eastAsia="Times New Roman" w:cs="Times New Roman"/>
                <w:lang w:eastAsia="en-AU"/>
              </w:rPr>
              <w:t>Euan.MacLean@smtafe.wa.edu.au</w:t>
            </w:r>
          </w:p>
        </w:tc>
      </w:tr>
      <w:tr w:rsidR="00E34398" w:rsidRPr="00BB1CCE" w14:paraId="6444339C" w14:textId="77777777"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35E14FBC" w14:textId="43CD6B7E" w:rsidR="00E34398" w:rsidRPr="005A54E6" w:rsidRDefault="00E34398" w:rsidP="00E34398">
            <w:pPr>
              <w:rPr>
                <w:rFonts w:eastAsia="Times New Roman" w:cs="Times New Roman"/>
                <w:lang w:eastAsia="en-AU"/>
              </w:rPr>
            </w:pPr>
            <w:r w:rsidRPr="001214DE">
              <w:rPr>
                <w:rFonts w:eastAsia="Times New Roman" w:cs="Times New Roman"/>
                <w:b w:val="0"/>
                <w:lang w:eastAsia="en-AU"/>
              </w:rPr>
              <w:t xml:space="preserve">Neville </w:t>
            </w:r>
            <w:proofErr w:type="spellStart"/>
            <w:r w:rsidRPr="001214DE">
              <w:rPr>
                <w:rFonts w:eastAsia="Times New Roman" w:cs="Times New Roman"/>
                <w:b w:val="0"/>
                <w:lang w:eastAsia="en-AU"/>
              </w:rPr>
              <w:t>Eastabrook</w:t>
            </w:r>
            <w:proofErr w:type="spellEnd"/>
          </w:p>
        </w:tc>
        <w:tc>
          <w:tcPr>
            <w:tcW w:w="1637" w:type="pct"/>
          </w:tcPr>
          <w:p w14:paraId="1FBCA7D4" w14:textId="56C1FC2B" w:rsidR="00E34398" w:rsidRDefault="00E34398" w:rsidP="00E3439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Pr>
                <w:rFonts w:eastAsia="Times New Roman" w:cs="Times New Roman"/>
                <w:lang w:eastAsia="en-AU"/>
              </w:rPr>
              <w:t>South Metropolitan TAFE</w:t>
            </w:r>
          </w:p>
        </w:tc>
        <w:tc>
          <w:tcPr>
            <w:tcW w:w="1654" w:type="pct"/>
          </w:tcPr>
          <w:p w14:paraId="237F4343" w14:textId="6557638A" w:rsidR="00E34398" w:rsidRPr="00E34398" w:rsidRDefault="00E34398" w:rsidP="00E3439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E34398">
              <w:rPr>
                <w:rFonts w:eastAsia="Times New Roman" w:cs="Times New Roman"/>
                <w:lang w:eastAsia="en-AU"/>
              </w:rPr>
              <w:t>Neville.Eastabrook@smtafe.wa.edu.au</w:t>
            </w:r>
          </w:p>
        </w:tc>
      </w:tr>
      <w:tr w:rsidR="00E34398" w:rsidRPr="00BB1CCE" w14:paraId="53DCB58C" w14:textId="7BB01D99"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6EA7AF4D" w14:textId="77777777" w:rsidR="00E34398" w:rsidRPr="00BB1CCE" w:rsidRDefault="00E34398" w:rsidP="00E34398">
            <w:pPr>
              <w:rPr>
                <w:rFonts w:eastAsia="Times New Roman" w:cs="Times New Roman"/>
                <w:b w:val="0"/>
                <w:lang w:eastAsia="en-AU"/>
              </w:rPr>
            </w:pPr>
            <w:r w:rsidRPr="00197478">
              <w:rPr>
                <w:rFonts w:eastAsia="Times New Roman" w:cs="Times New Roman"/>
                <w:b w:val="0"/>
                <w:lang w:eastAsia="en-AU"/>
              </w:rPr>
              <w:t xml:space="preserve">Greg </w:t>
            </w:r>
            <w:proofErr w:type="spellStart"/>
            <w:r w:rsidRPr="00197478">
              <w:rPr>
                <w:rFonts w:eastAsia="Times New Roman" w:cs="Times New Roman"/>
                <w:b w:val="0"/>
                <w:lang w:eastAsia="en-AU"/>
              </w:rPr>
              <w:t>Cheetham</w:t>
            </w:r>
            <w:proofErr w:type="spellEnd"/>
          </w:p>
        </w:tc>
        <w:tc>
          <w:tcPr>
            <w:tcW w:w="1637" w:type="pct"/>
          </w:tcPr>
          <w:p w14:paraId="31FD0CB1" w14:textId="77777777" w:rsidR="00E34398" w:rsidRPr="00BB1CCE" w:rsidRDefault="00E34398"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Pr>
                <w:rFonts w:eastAsia="Times New Roman" w:cs="Times New Roman"/>
                <w:lang w:eastAsia="en-AU"/>
              </w:rPr>
              <w:t>TAFE NSW</w:t>
            </w:r>
          </w:p>
        </w:tc>
        <w:tc>
          <w:tcPr>
            <w:tcW w:w="1654" w:type="pct"/>
          </w:tcPr>
          <w:p w14:paraId="2E6C6806" w14:textId="6F8FBAE4" w:rsidR="00E34398" w:rsidRDefault="00A760CA"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A760CA">
              <w:rPr>
                <w:rFonts w:eastAsia="Times New Roman" w:cs="Times New Roman"/>
                <w:lang w:eastAsia="en-AU"/>
              </w:rPr>
              <w:t>greg.cheetham@tafensw.edu.au</w:t>
            </w:r>
          </w:p>
        </w:tc>
      </w:tr>
      <w:tr w:rsidR="00E34398" w:rsidRPr="00BB1CCE" w14:paraId="0BE97677" w14:textId="0FDF8852"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552D8E21" w14:textId="77777777" w:rsidR="00E34398" w:rsidRPr="00BB1CCE" w:rsidRDefault="00E34398" w:rsidP="00E34398">
            <w:pPr>
              <w:rPr>
                <w:rFonts w:eastAsia="Times New Roman" w:cs="Times New Roman"/>
                <w:b w:val="0"/>
                <w:lang w:eastAsia="en-AU"/>
              </w:rPr>
            </w:pPr>
            <w:r w:rsidRPr="00197478">
              <w:rPr>
                <w:rFonts w:eastAsia="Times New Roman" w:cs="Times New Roman"/>
                <w:b w:val="0"/>
                <w:lang w:eastAsia="en-AU"/>
              </w:rPr>
              <w:t>Ian Hartwig</w:t>
            </w:r>
          </w:p>
        </w:tc>
        <w:tc>
          <w:tcPr>
            <w:tcW w:w="1637" w:type="pct"/>
          </w:tcPr>
          <w:p w14:paraId="4FB272C3" w14:textId="5E4E2134" w:rsidR="00E34398" w:rsidRPr="00BB1CCE" w:rsidRDefault="00E34398" w:rsidP="00E3439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Pr>
                <w:rFonts w:eastAsia="Times New Roman" w:cs="Times New Roman"/>
                <w:lang w:eastAsia="en-AU"/>
              </w:rPr>
              <w:t>Melbourne Polytechnic</w:t>
            </w:r>
          </w:p>
        </w:tc>
        <w:tc>
          <w:tcPr>
            <w:tcW w:w="1654" w:type="pct"/>
          </w:tcPr>
          <w:p w14:paraId="0D7D78F9" w14:textId="1E80950A" w:rsidR="00E34398" w:rsidRDefault="00CB37ED" w:rsidP="00E3439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CB37ED">
              <w:rPr>
                <w:rFonts w:eastAsia="Times New Roman" w:cs="Times New Roman"/>
                <w:lang w:eastAsia="en-AU"/>
              </w:rPr>
              <w:t>Hartwig@melbournepolytechnic.edu.au</w:t>
            </w:r>
          </w:p>
        </w:tc>
      </w:tr>
      <w:tr w:rsidR="00E34398" w:rsidRPr="00BB1CCE" w14:paraId="54D09A2B" w14:textId="2196B15D"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16725B9F" w14:textId="77777777" w:rsidR="00E34398" w:rsidRPr="00BB1CCE" w:rsidRDefault="00E34398" w:rsidP="00E34398">
            <w:pPr>
              <w:rPr>
                <w:rFonts w:eastAsia="Times New Roman" w:cs="Times New Roman"/>
                <w:b w:val="0"/>
                <w:lang w:eastAsia="en-AU"/>
              </w:rPr>
            </w:pPr>
            <w:r w:rsidRPr="00197478">
              <w:rPr>
                <w:rFonts w:eastAsia="Times New Roman" w:cs="Times New Roman"/>
                <w:b w:val="0"/>
                <w:lang w:eastAsia="en-AU"/>
              </w:rPr>
              <w:t>Liam Cochran</w:t>
            </w:r>
          </w:p>
        </w:tc>
        <w:tc>
          <w:tcPr>
            <w:tcW w:w="1637" w:type="pct"/>
          </w:tcPr>
          <w:p w14:paraId="3C319291" w14:textId="77777777" w:rsidR="00E34398" w:rsidRPr="00BB1CCE" w:rsidRDefault="00E34398"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Pr>
                <w:rFonts w:eastAsia="Times New Roman" w:cs="Times New Roman"/>
                <w:lang w:eastAsia="en-AU"/>
              </w:rPr>
              <w:t>North Metropolitan TAFE</w:t>
            </w:r>
          </w:p>
        </w:tc>
        <w:tc>
          <w:tcPr>
            <w:tcW w:w="1654" w:type="pct"/>
          </w:tcPr>
          <w:p w14:paraId="2D1F0C83" w14:textId="1DB493A6" w:rsidR="00E34398" w:rsidRDefault="00A760CA"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A760CA">
              <w:rPr>
                <w:rFonts w:eastAsia="Times New Roman" w:cs="Times New Roman"/>
                <w:lang w:eastAsia="en-AU"/>
              </w:rPr>
              <w:t>liam.cochran@nmtafe.wa.edu.au</w:t>
            </w:r>
          </w:p>
        </w:tc>
      </w:tr>
      <w:tr w:rsidR="00E34398" w:rsidRPr="00BB1CCE" w14:paraId="1199486C" w14:textId="1B2FBB42"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61B74720" w14:textId="77777777" w:rsidR="00E34398" w:rsidRPr="00E12D2E" w:rsidRDefault="00E34398" w:rsidP="00E34398">
            <w:pPr>
              <w:rPr>
                <w:rFonts w:eastAsia="Times New Roman" w:cs="Times New Roman"/>
                <w:b w:val="0"/>
                <w:lang w:eastAsia="en-AU"/>
              </w:rPr>
            </w:pPr>
            <w:r w:rsidRPr="00E12D2E">
              <w:rPr>
                <w:rFonts w:eastAsia="Times New Roman" w:cs="Times New Roman"/>
                <w:b w:val="0"/>
                <w:lang w:eastAsia="en-AU"/>
              </w:rPr>
              <w:t>Rod Pearce</w:t>
            </w:r>
          </w:p>
        </w:tc>
        <w:tc>
          <w:tcPr>
            <w:tcW w:w="1637" w:type="pct"/>
          </w:tcPr>
          <w:p w14:paraId="4F3078DB" w14:textId="6F3E3387" w:rsidR="00E34398" w:rsidRDefault="00E34398" w:rsidP="00E3439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Pr>
                <w:rFonts w:eastAsia="Times New Roman" w:cs="Times New Roman"/>
                <w:lang w:eastAsia="en-AU"/>
              </w:rPr>
              <w:t>Hutchinson Builders</w:t>
            </w:r>
            <w:r w:rsidR="00FE7568">
              <w:rPr>
                <w:rFonts w:eastAsia="Times New Roman" w:cs="Times New Roman"/>
                <w:lang w:eastAsia="en-AU"/>
              </w:rPr>
              <w:t>/</w:t>
            </w:r>
            <w:r w:rsidR="00FE7568" w:rsidRPr="00AF06BE">
              <w:t xml:space="preserve"> Tr</w:t>
            </w:r>
            <w:r w:rsidR="00FE7568">
              <w:t>aining Coordinator Gold Coast Sc</w:t>
            </w:r>
            <w:r w:rsidR="00FE7568" w:rsidRPr="00AF06BE">
              <w:t>hool of Construction</w:t>
            </w:r>
          </w:p>
        </w:tc>
        <w:tc>
          <w:tcPr>
            <w:tcW w:w="1654" w:type="pct"/>
          </w:tcPr>
          <w:p w14:paraId="112F9943" w14:textId="56B9F711" w:rsidR="00E34398" w:rsidRDefault="00FE7568" w:rsidP="00E3439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AF06BE">
              <w:rPr>
                <w:rFonts w:eastAsia="Times New Roman" w:cs="Times New Roman"/>
                <w:lang w:eastAsia="en-AU"/>
              </w:rPr>
              <w:t>rpearce2@goldcoastsc.com.au</w:t>
            </w:r>
          </w:p>
        </w:tc>
      </w:tr>
      <w:tr w:rsidR="00E34398" w:rsidRPr="00BB1CCE" w14:paraId="1CDE3A2E" w14:textId="6A176159"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407C0910" w14:textId="2997C95C" w:rsidR="00E34398" w:rsidRPr="00E12D2E" w:rsidRDefault="00E34398" w:rsidP="00E34398">
            <w:pPr>
              <w:rPr>
                <w:rFonts w:eastAsia="Times New Roman" w:cs="Times New Roman"/>
                <w:b w:val="0"/>
                <w:lang w:eastAsia="en-AU"/>
              </w:rPr>
            </w:pPr>
            <w:r>
              <w:rPr>
                <w:rFonts w:eastAsia="Times New Roman" w:cs="Times New Roman"/>
                <w:b w:val="0"/>
                <w:lang w:eastAsia="en-AU"/>
              </w:rPr>
              <w:t>Shane O'B</w:t>
            </w:r>
            <w:r w:rsidRPr="008801A1">
              <w:rPr>
                <w:rFonts w:eastAsia="Times New Roman" w:cs="Times New Roman"/>
                <w:b w:val="0"/>
                <w:lang w:eastAsia="en-AU"/>
              </w:rPr>
              <w:t>rien</w:t>
            </w:r>
          </w:p>
        </w:tc>
        <w:tc>
          <w:tcPr>
            <w:tcW w:w="1637" w:type="pct"/>
          </w:tcPr>
          <w:p w14:paraId="71747CA2" w14:textId="77777777" w:rsidR="00E34398" w:rsidRDefault="00E34398"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Pr>
                <w:rFonts w:eastAsia="Times New Roman" w:cs="Times New Roman"/>
                <w:lang w:eastAsia="en-AU"/>
              </w:rPr>
              <w:t>MPA Skills</w:t>
            </w:r>
          </w:p>
        </w:tc>
        <w:tc>
          <w:tcPr>
            <w:tcW w:w="1654" w:type="pct"/>
          </w:tcPr>
          <w:p w14:paraId="1DFE9483" w14:textId="4D435381" w:rsidR="00E34398" w:rsidRPr="00E34398" w:rsidRDefault="00E34398"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E34398">
              <w:rPr>
                <w:rFonts w:eastAsia="Times New Roman" w:cs="Times New Roman"/>
                <w:lang w:eastAsia="en-AU"/>
              </w:rPr>
              <w:t>ShaneO@mpaskills.com.au</w:t>
            </w:r>
          </w:p>
        </w:tc>
      </w:tr>
      <w:tr w:rsidR="00E34398" w:rsidRPr="00BB1CCE" w14:paraId="5B403172" w14:textId="4A941EC3"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146ABCC6" w14:textId="77777777" w:rsidR="00E34398" w:rsidRPr="00FA14B6" w:rsidRDefault="00E34398" w:rsidP="00E34398">
            <w:pPr>
              <w:rPr>
                <w:rFonts w:eastAsia="Times New Roman" w:cs="Times New Roman"/>
                <w:b w:val="0"/>
                <w:lang w:eastAsia="en-AU"/>
              </w:rPr>
            </w:pPr>
            <w:r w:rsidRPr="00FA14B6">
              <w:rPr>
                <w:rFonts w:eastAsia="Times New Roman" w:cs="Times New Roman"/>
                <w:b w:val="0"/>
                <w:lang w:eastAsia="en-AU"/>
              </w:rPr>
              <w:t>Vincent Digges</w:t>
            </w:r>
          </w:p>
        </w:tc>
        <w:tc>
          <w:tcPr>
            <w:tcW w:w="1637" w:type="pct"/>
          </w:tcPr>
          <w:p w14:paraId="5DD8A509" w14:textId="77777777" w:rsidR="00E34398" w:rsidRDefault="00E34398" w:rsidP="00E3439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Pr>
                <w:rFonts w:eastAsia="Times New Roman" w:cs="Times New Roman"/>
                <w:lang w:eastAsia="en-AU"/>
              </w:rPr>
              <w:t>TAFE NSW</w:t>
            </w:r>
          </w:p>
        </w:tc>
        <w:tc>
          <w:tcPr>
            <w:tcW w:w="1654" w:type="pct"/>
          </w:tcPr>
          <w:p w14:paraId="2F6CE905" w14:textId="55C1C4F6" w:rsidR="00E34398" w:rsidRDefault="00FE7568" w:rsidP="00E34398">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FE7568">
              <w:rPr>
                <w:rFonts w:eastAsia="Times New Roman" w:cs="Times New Roman"/>
                <w:lang w:eastAsia="en-AU"/>
              </w:rPr>
              <w:t>vincent.digges@tafensw.edu.au</w:t>
            </w:r>
          </w:p>
        </w:tc>
      </w:tr>
      <w:tr w:rsidR="00E34398" w:rsidRPr="00BB1CCE" w14:paraId="18C7943E" w14:textId="003437EB"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48B5C0D3" w14:textId="77777777" w:rsidR="00E34398" w:rsidRPr="00804CF8" w:rsidRDefault="00E34398" w:rsidP="00E34398">
            <w:pPr>
              <w:rPr>
                <w:rFonts w:eastAsia="Times New Roman" w:cs="Times New Roman"/>
                <w:b w:val="0"/>
                <w:lang w:eastAsia="en-AU"/>
              </w:rPr>
            </w:pPr>
            <w:r w:rsidRPr="00804CF8">
              <w:rPr>
                <w:rFonts w:eastAsia="Times New Roman" w:cs="Times New Roman"/>
                <w:b w:val="0"/>
                <w:lang w:eastAsia="en-AU"/>
              </w:rPr>
              <w:t xml:space="preserve">Cameron </w:t>
            </w:r>
            <w:proofErr w:type="spellStart"/>
            <w:r w:rsidRPr="00804CF8">
              <w:rPr>
                <w:rFonts w:eastAsia="Times New Roman" w:cs="Times New Roman"/>
                <w:b w:val="0"/>
                <w:lang w:eastAsia="en-AU"/>
              </w:rPr>
              <w:t>Steindl</w:t>
            </w:r>
            <w:proofErr w:type="spellEnd"/>
            <w:r w:rsidRPr="00804CF8">
              <w:rPr>
                <w:rFonts w:eastAsia="Times New Roman" w:cs="Times New Roman"/>
                <w:b w:val="0"/>
                <w:lang w:eastAsia="en-AU"/>
              </w:rPr>
              <w:t xml:space="preserve"> </w:t>
            </w:r>
          </w:p>
        </w:tc>
        <w:tc>
          <w:tcPr>
            <w:tcW w:w="1637" w:type="pct"/>
          </w:tcPr>
          <w:p w14:paraId="7FB33365" w14:textId="696BB58D" w:rsidR="00E34398" w:rsidRDefault="00E34398"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0B6D87">
              <w:rPr>
                <w:rFonts w:eastAsia="Times New Roman" w:cs="Times New Roman"/>
                <w:lang w:eastAsia="en-AU"/>
              </w:rPr>
              <w:t>Higgins Coating</w:t>
            </w:r>
          </w:p>
        </w:tc>
        <w:tc>
          <w:tcPr>
            <w:tcW w:w="1654" w:type="pct"/>
          </w:tcPr>
          <w:p w14:paraId="6E51D057" w14:textId="77777777" w:rsidR="00E34398" w:rsidRPr="000B6D87" w:rsidRDefault="00E34398" w:rsidP="00E34398">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p>
        </w:tc>
      </w:tr>
      <w:tr w:rsidR="00302B0C" w:rsidRPr="00BB1CCE" w14:paraId="223E1ED0" w14:textId="77777777"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06A1D759" w14:textId="0F349D5F" w:rsidR="00302B0C" w:rsidRPr="00302B0C" w:rsidRDefault="00302B0C" w:rsidP="00302B0C">
            <w:pPr>
              <w:rPr>
                <w:rFonts w:eastAsia="Times New Roman" w:cs="Times New Roman"/>
                <w:b w:val="0"/>
                <w:lang w:eastAsia="en-AU"/>
              </w:rPr>
            </w:pPr>
            <w:r>
              <w:rPr>
                <w:b w:val="0"/>
              </w:rPr>
              <w:t xml:space="preserve">Steve </w:t>
            </w:r>
            <w:proofErr w:type="spellStart"/>
            <w:r>
              <w:rPr>
                <w:b w:val="0"/>
              </w:rPr>
              <w:t>Genner</w:t>
            </w:r>
            <w:proofErr w:type="spellEnd"/>
          </w:p>
        </w:tc>
        <w:tc>
          <w:tcPr>
            <w:tcW w:w="1637" w:type="pct"/>
          </w:tcPr>
          <w:p w14:paraId="09CF2CC1" w14:textId="5D31E41F" w:rsidR="00302B0C" w:rsidRPr="000B6D87" w:rsidRDefault="00302B0C" w:rsidP="00302B0C">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A050E">
              <w:t>TAFE NSW – SWSI Institute</w:t>
            </w:r>
          </w:p>
        </w:tc>
        <w:tc>
          <w:tcPr>
            <w:tcW w:w="1654" w:type="pct"/>
          </w:tcPr>
          <w:p w14:paraId="6BF49D29" w14:textId="77777777" w:rsidR="00302B0C" w:rsidRPr="000B6D87" w:rsidRDefault="00302B0C" w:rsidP="00302B0C">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
        </w:tc>
      </w:tr>
      <w:tr w:rsidR="00302B0C" w:rsidRPr="00BB1CCE" w14:paraId="073767C8" w14:textId="77777777"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365E8DAF" w14:textId="3E260B44" w:rsidR="00302B0C" w:rsidRPr="00302B0C" w:rsidRDefault="00302B0C" w:rsidP="00302B0C">
            <w:pPr>
              <w:rPr>
                <w:rFonts w:eastAsia="Times New Roman" w:cs="Times New Roman"/>
                <w:b w:val="0"/>
                <w:lang w:eastAsia="en-AU"/>
              </w:rPr>
            </w:pPr>
            <w:r>
              <w:rPr>
                <w:b w:val="0"/>
              </w:rPr>
              <w:t>David Nicholas</w:t>
            </w:r>
          </w:p>
        </w:tc>
        <w:tc>
          <w:tcPr>
            <w:tcW w:w="1637" w:type="pct"/>
          </w:tcPr>
          <w:p w14:paraId="646E3555" w14:textId="2C9DB18C" w:rsidR="00302B0C" w:rsidRPr="000B6D87" w:rsidRDefault="00302B0C" w:rsidP="00302B0C">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3A050E">
              <w:t xml:space="preserve">Federation Training – </w:t>
            </w:r>
            <w:proofErr w:type="spellStart"/>
            <w:r w:rsidRPr="003A050E">
              <w:t>Yallourn</w:t>
            </w:r>
            <w:proofErr w:type="spellEnd"/>
            <w:r w:rsidRPr="003A050E">
              <w:t xml:space="preserve"> Campus</w:t>
            </w:r>
          </w:p>
        </w:tc>
        <w:tc>
          <w:tcPr>
            <w:tcW w:w="1654" w:type="pct"/>
          </w:tcPr>
          <w:p w14:paraId="7300F802" w14:textId="77777777" w:rsidR="00302B0C" w:rsidRPr="000B6D87" w:rsidRDefault="00302B0C" w:rsidP="00302B0C">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p>
        </w:tc>
      </w:tr>
      <w:tr w:rsidR="00302B0C" w:rsidRPr="00BB1CCE" w14:paraId="18C0388B" w14:textId="77777777"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3BF56730" w14:textId="18436FCA" w:rsidR="00302B0C" w:rsidRPr="00302B0C" w:rsidRDefault="00302B0C" w:rsidP="00302B0C">
            <w:pPr>
              <w:rPr>
                <w:rFonts w:eastAsia="Times New Roman" w:cs="Times New Roman"/>
                <w:b w:val="0"/>
                <w:lang w:eastAsia="en-AU"/>
              </w:rPr>
            </w:pPr>
            <w:r w:rsidRPr="00302B0C">
              <w:rPr>
                <w:b w:val="0"/>
              </w:rPr>
              <w:t>Allan Laird</w:t>
            </w:r>
          </w:p>
        </w:tc>
        <w:tc>
          <w:tcPr>
            <w:tcW w:w="1637" w:type="pct"/>
          </w:tcPr>
          <w:p w14:paraId="508472E7" w14:textId="4DC3AD37" w:rsidR="00302B0C" w:rsidRPr="000B6D87" w:rsidRDefault="00302B0C" w:rsidP="00302B0C">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A050E">
              <w:t>Northern Melbourne Institute of TAFE</w:t>
            </w:r>
          </w:p>
        </w:tc>
        <w:tc>
          <w:tcPr>
            <w:tcW w:w="1654" w:type="pct"/>
          </w:tcPr>
          <w:p w14:paraId="0438F94A" w14:textId="77777777" w:rsidR="00302B0C" w:rsidRPr="000B6D87" w:rsidRDefault="00302B0C" w:rsidP="00302B0C">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
        </w:tc>
      </w:tr>
      <w:tr w:rsidR="00302B0C" w:rsidRPr="00BB1CCE" w14:paraId="4D745843" w14:textId="77777777"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5805CB19" w14:textId="2E550932" w:rsidR="00302B0C" w:rsidRPr="00302B0C" w:rsidRDefault="00302B0C" w:rsidP="00302B0C">
            <w:pPr>
              <w:rPr>
                <w:rFonts w:eastAsia="Times New Roman" w:cs="Times New Roman"/>
                <w:b w:val="0"/>
                <w:lang w:eastAsia="en-AU"/>
              </w:rPr>
            </w:pPr>
            <w:r>
              <w:rPr>
                <w:b w:val="0"/>
              </w:rPr>
              <w:t>Matthew Berriman</w:t>
            </w:r>
          </w:p>
        </w:tc>
        <w:tc>
          <w:tcPr>
            <w:tcW w:w="1637" w:type="pct"/>
          </w:tcPr>
          <w:p w14:paraId="714D639B" w14:textId="25EB0676" w:rsidR="00302B0C" w:rsidRPr="000B6D87" w:rsidRDefault="00302B0C" w:rsidP="00302B0C">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proofErr w:type="spellStart"/>
            <w:r w:rsidRPr="003A050E">
              <w:t>Holmesgle</w:t>
            </w:r>
            <w:r w:rsidR="00D469CA">
              <w:t>n</w:t>
            </w:r>
            <w:proofErr w:type="spellEnd"/>
            <w:r w:rsidRPr="003A050E">
              <w:t xml:space="preserve"> TAFE</w:t>
            </w:r>
          </w:p>
        </w:tc>
        <w:tc>
          <w:tcPr>
            <w:tcW w:w="1654" w:type="pct"/>
          </w:tcPr>
          <w:p w14:paraId="40F3363B" w14:textId="77777777" w:rsidR="00302B0C" w:rsidRPr="000B6D87" w:rsidRDefault="00302B0C" w:rsidP="00302B0C">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p>
        </w:tc>
      </w:tr>
      <w:tr w:rsidR="00302B0C" w:rsidRPr="00BB1CCE" w14:paraId="3B9E8604" w14:textId="77777777"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429EAF6F" w14:textId="5D64FDA0" w:rsidR="00302B0C" w:rsidRPr="00302B0C" w:rsidRDefault="00302B0C" w:rsidP="00302B0C">
            <w:pPr>
              <w:rPr>
                <w:rFonts w:eastAsia="Times New Roman" w:cs="Times New Roman"/>
                <w:b w:val="0"/>
                <w:lang w:eastAsia="en-AU"/>
              </w:rPr>
            </w:pPr>
            <w:r>
              <w:rPr>
                <w:b w:val="0"/>
              </w:rPr>
              <w:t>Alf Clark</w:t>
            </w:r>
          </w:p>
        </w:tc>
        <w:tc>
          <w:tcPr>
            <w:tcW w:w="1637" w:type="pct"/>
          </w:tcPr>
          <w:p w14:paraId="5CBD0366" w14:textId="43D4D072" w:rsidR="00302B0C" w:rsidRPr="000B6D87" w:rsidRDefault="00302B0C" w:rsidP="00302B0C">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r w:rsidRPr="003A050E">
              <w:t>Gordon TAFE</w:t>
            </w:r>
          </w:p>
        </w:tc>
        <w:tc>
          <w:tcPr>
            <w:tcW w:w="1654" w:type="pct"/>
          </w:tcPr>
          <w:p w14:paraId="5A38443C" w14:textId="77777777" w:rsidR="00302B0C" w:rsidRPr="000B6D87" w:rsidRDefault="00302B0C" w:rsidP="00302B0C">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
        </w:tc>
      </w:tr>
      <w:tr w:rsidR="00302B0C" w:rsidRPr="00BB1CCE" w14:paraId="2C596C4D" w14:textId="77777777"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22B356AD" w14:textId="150701EE" w:rsidR="00302B0C" w:rsidRPr="00302B0C" w:rsidRDefault="00302B0C" w:rsidP="00302B0C">
            <w:pPr>
              <w:rPr>
                <w:rFonts w:eastAsia="Times New Roman" w:cs="Times New Roman"/>
                <w:b w:val="0"/>
                <w:lang w:eastAsia="en-AU"/>
              </w:rPr>
            </w:pPr>
            <w:r>
              <w:rPr>
                <w:b w:val="0"/>
              </w:rPr>
              <w:t>Ian Deller</w:t>
            </w:r>
          </w:p>
        </w:tc>
        <w:tc>
          <w:tcPr>
            <w:tcW w:w="1637" w:type="pct"/>
          </w:tcPr>
          <w:p w14:paraId="5510EDE8" w14:textId="0D43093D" w:rsidR="00302B0C" w:rsidRPr="000B6D87" w:rsidRDefault="00302B0C" w:rsidP="00302B0C">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r w:rsidRPr="003A050E">
              <w:t>Gordon TAFE</w:t>
            </w:r>
          </w:p>
        </w:tc>
        <w:tc>
          <w:tcPr>
            <w:tcW w:w="1654" w:type="pct"/>
          </w:tcPr>
          <w:p w14:paraId="0583CCEE" w14:textId="77777777" w:rsidR="00302B0C" w:rsidRPr="000B6D87" w:rsidRDefault="00302B0C" w:rsidP="00302B0C">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p>
        </w:tc>
      </w:tr>
      <w:tr w:rsidR="008A3746" w:rsidRPr="008A3746" w14:paraId="40DB6E05" w14:textId="77777777"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557A6BAA" w14:textId="705F5718" w:rsidR="008A3746" w:rsidRPr="008A3746" w:rsidRDefault="008A3746" w:rsidP="008A3746">
            <w:pPr>
              <w:rPr>
                <w:b w:val="0"/>
              </w:rPr>
            </w:pPr>
            <w:r w:rsidRPr="008A3746">
              <w:rPr>
                <w:b w:val="0"/>
              </w:rPr>
              <w:t>George Englert</w:t>
            </w:r>
          </w:p>
        </w:tc>
        <w:tc>
          <w:tcPr>
            <w:tcW w:w="1637" w:type="pct"/>
          </w:tcPr>
          <w:p w14:paraId="54813811" w14:textId="149D26BD" w:rsidR="008A3746" w:rsidRPr="008A3746" w:rsidRDefault="008A3746" w:rsidP="008A3746">
            <w:pPr>
              <w:cnfStyle w:val="000000100000" w:firstRow="0" w:lastRow="0" w:firstColumn="0" w:lastColumn="0" w:oddVBand="0" w:evenVBand="0" w:oddHBand="1" w:evenHBand="0" w:firstRowFirstColumn="0" w:firstRowLastColumn="0" w:lastRowFirstColumn="0" w:lastRowLastColumn="0"/>
            </w:pPr>
            <w:proofErr w:type="spellStart"/>
            <w:r w:rsidRPr="008A3746">
              <w:t>Decon</w:t>
            </w:r>
            <w:proofErr w:type="spellEnd"/>
            <w:r w:rsidRPr="008A3746">
              <w:t xml:space="preserve"> Industry</w:t>
            </w:r>
          </w:p>
        </w:tc>
        <w:tc>
          <w:tcPr>
            <w:tcW w:w="1654" w:type="pct"/>
          </w:tcPr>
          <w:p w14:paraId="7C50BFCF" w14:textId="77777777" w:rsidR="008A3746" w:rsidRPr="008A3746" w:rsidRDefault="008A3746" w:rsidP="008A3746">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
        </w:tc>
      </w:tr>
      <w:tr w:rsidR="008A3746" w:rsidRPr="008A3746" w14:paraId="64EF3D4E" w14:textId="77777777"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7E4885D7" w14:textId="6BE3CD3D" w:rsidR="008A3746" w:rsidRPr="008A3746" w:rsidRDefault="008A3746" w:rsidP="008A3746">
            <w:pPr>
              <w:rPr>
                <w:b w:val="0"/>
              </w:rPr>
            </w:pPr>
            <w:r w:rsidRPr="008A3746">
              <w:rPr>
                <w:b w:val="0"/>
              </w:rPr>
              <w:t>Ashley Powers</w:t>
            </w:r>
          </w:p>
        </w:tc>
        <w:tc>
          <w:tcPr>
            <w:tcW w:w="1637" w:type="pct"/>
          </w:tcPr>
          <w:p w14:paraId="3F438D0E" w14:textId="1D45A04A" w:rsidR="008A3746" w:rsidRPr="008A3746" w:rsidRDefault="008A3746" w:rsidP="008A3746">
            <w:pPr>
              <w:cnfStyle w:val="000000000000" w:firstRow="0" w:lastRow="0" w:firstColumn="0" w:lastColumn="0" w:oddVBand="0" w:evenVBand="0" w:oddHBand="0" w:evenHBand="0" w:firstRowFirstColumn="0" w:firstRowLastColumn="0" w:lastRowFirstColumn="0" w:lastRowLastColumn="0"/>
            </w:pPr>
            <w:r w:rsidRPr="008A3746">
              <w:t>Master Painters Queensland</w:t>
            </w:r>
          </w:p>
        </w:tc>
        <w:tc>
          <w:tcPr>
            <w:tcW w:w="1654" w:type="pct"/>
          </w:tcPr>
          <w:p w14:paraId="1D8726FB" w14:textId="77777777" w:rsidR="008A3746" w:rsidRPr="008A3746" w:rsidRDefault="008A3746" w:rsidP="008A3746">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p>
        </w:tc>
      </w:tr>
      <w:tr w:rsidR="008A3746" w:rsidRPr="008A3746" w14:paraId="259748D9" w14:textId="77777777"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33F73802" w14:textId="1322E591" w:rsidR="008A3746" w:rsidRPr="008A3746" w:rsidRDefault="008A3746" w:rsidP="008A3746">
            <w:pPr>
              <w:rPr>
                <w:b w:val="0"/>
              </w:rPr>
            </w:pPr>
            <w:r w:rsidRPr="008A3746">
              <w:rPr>
                <w:rFonts w:cs="Calibri"/>
                <w:b w:val="0"/>
                <w:bCs w:val="0"/>
              </w:rPr>
              <w:lastRenderedPageBreak/>
              <w:t xml:space="preserve">Rai </w:t>
            </w:r>
            <w:proofErr w:type="spellStart"/>
            <w:r w:rsidRPr="008A3746">
              <w:rPr>
                <w:rFonts w:cs="Calibri"/>
                <w:b w:val="0"/>
                <w:bCs w:val="0"/>
              </w:rPr>
              <w:t>Malisauskas</w:t>
            </w:r>
            <w:proofErr w:type="spellEnd"/>
          </w:p>
        </w:tc>
        <w:tc>
          <w:tcPr>
            <w:tcW w:w="1637" w:type="pct"/>
          </w:tcPr>
          <w:p w14:paraId="2E2C7F2B" w14:textId="3CCDA55F" w:rsidR="008A3746" w:rsidRPr="008A3746" w:rsidRDefault="008A3746" w:rsidP="008A3746">
            <w:pPr>
              <w:cnfStyle w:val="000000100000" w:firstRow="0" w:lastRow="0" w:firstColumn="0" w:lastColumn="0" w:oddVBand="0" w:evenVBand="0" w:oddHBand="1" w:evenHBand="0" w:firstRowFirstColumn="0" w:firstRowLastColumn="0" w:lastRowFirstColumn="0" w:lastRowLastColumn="0"/>
            </w:pPr>
            <w:r w:rsidRPr="008A3746">
              <w:t>Hutchinson Builders</w:t>
            </w:r>
          </w:p>
        </w:tc>
        <w:tc>
          <w:tcPr>
            <w:tcW w:w="1654" w:type="pct"/>
          </w:tcPr>
          <w:p w14:paraId="7C17514F" w14:textId="77777777" w:rsidR="008A3746" w:rsidRPr="008A3746" w:rsidRDefault="008A3746" w:rsidP="008A3746">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
        </w:tc>
      </w:tr>
      <w:tr w:rsidR="008A3746" w:rsidRPr="008A3746" w14:paraId="0D6BD9C4" w14:textId="77777777"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64E17D38" w14:textId="384E021B" w:rsidR="008A3746" w:rsidRPr="008A3746" w:rsidRDefault="008A3746" w:rsidP="008A3746">
            <w:pPr>
              <w:rPr>
                <w:b w:val="0"/>
              </w:rPr>
            </w:pPr>
            <w:r w:rsidRPr="008A3746">
              <w:rPr>
                <w:b w:val="0"/>
              </w:rPr>
              <w:t>Justin Barlow</w:t>
            </w:r>
          </w:p>
        </w:tc>
        <w:tc>
          <w:tcPr>
            <w:tcW w:w="1637" w:type="pct"/>
          </w:tcPr>
          <w:p w14:paraId="398DCC33" w14:textId="23B3A26C" w:rsidR="008A3746" w:rsidRPr="008A3746" w:rsidRDefault="008A3746" w:rsidP="008A3746">
            <w:pPr>
              <w:cnfStyle w:val="000000000000" w:firstRow="0" w:lastRow="0" w:firstColumn="0" w:lastColumn="0" w:oddVBand="0" w:evenVBand="0" w:oddHBand="0" w:evenHBand="0" w:firstRowFirstColumn="0" w:firstRowLastColumn="0" w:lastRowFirstColumn="0" w:lastRowLastColumn="0"/>
            </w:pPr>
            <w:r w:rsidRPr="008A3746">
              <w:t>Skills Tech – TAFE Queensland</w:t>
            </w:r>
          </w:p>
        </w:tc>
        <w:tc>
          <w:tcPr>
            <w:tcW w:w="1654" w:type="pct"/>
          </w:tcPr>
          <w:p w14:paraId="0FDF87DD" w14:textId="77777777" w:rsidR="008A3746" w:rsidRPr="008A3746" w:rsidRDefault="008A3746" w:rsidP="008A3746">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p>
        </w:tc>
      </w:tr>
      <w:tr w:rsidR="008A3746" w:rsidRPr="008A3746" w14:paraId="39B64016" w14:textId="77777777"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28BDA960" w14:textId="3D6AD031" w:rsidR="008A3746" w:rsidRPr="008A3746" w:rsidRDefault="008A3746" w:rsidP="008A3746">
            <w:pPr>
              <w:rPr>
                <w:b w:val="0"/>
              </w:rPr>
            </w:pPr>
            <w:r w:rsidRPr="008A3746">
              <w:rPr>
                <w:b w:val="0"/>
              </w:rPr>
              <w:t>Brad Gray</w:t>
            </w:r>
          </w:p>
        </w:tc>
        <w:tc>
          <w:tcPr>
            <w:tcW w:w="1637" w:type="pct"/>
          </w:tcPr>
          <w:p w14:paraId="0F177FC6" w14:textId="45C1C22A" w:rsidR="008A3746" w:rsidRPr="008A3746" w:rsidRDefault="008A3746" w:rsidP="008A3746">
            <w:pPr>
              <w:cnfStyle w:val="000000100000" w:firstRow="0" w:lastRow="0" w:firstColumn="0" w:lastColumn="0" w:oddVBand="0" w:evenVBand="0" w:oddHBand="1" w:evenHBand="0" w:firstRowFirstColumn="0" w:firstRowLastColumn="0" w:lastRowFirstColumn="0" w:lastRowLastColumn="0"/>
            </w:pPr>
            <w:proofErr w:type="spellStart"/>
            <w:r w:rsidRPr="008A3746">
              <w:t>Bigg</w:t>
            </w:r>
            <w:proofErr w:type="spellEnd"/>
            <w:r w:rsidRPr="008A3746">
              <w:t xml:space="preserve"> Training </w:t>
            </w:r>
          </w:p>
        </w:tc>
        <w:tc>
          <w:tcPr>
            <w:tcW w:w="1654" w:type="pct"/>
          </w:tcPr>
          <w:p w14:paraId="138D95BD" w14:textId="77777777" w:rsidR="008A3746" w:rsidRPr="008A3746" w:rsidRDefault="008A3746" w:rsidP="008A3746">
            <w:pP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AU"/>
              </w:rPr>
            </w:pPr>
          </w:p>
        </w:tc>
      </w:tr>
      <w:tr w:rsidR="008A3746" w:rsidRPr="008A3746" w14:paraId="69A51FCE" w14:textId="77777777"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644F2C2D" w14:textId="3542A158" w:rsidR="008A3746" w:rsidRPr="008A3746" w:rsidRDefault="008A3746" w:rsidP="008A3746">
            <w:pPr>
              <w:rPr>
                <w:b w:val="0"/>
              </w:rPr>
            </w:pPr>
            <w:r w:rsidRPr="008A3746">
              <w:rPr>
                <w:b w:val="0"/>
              </w:rPr>
              <w:t>Len Mason</w:t>
            </w:r>
          </w:p>
        </w:tc>
        <w:tc>
          <w:tcPr>
            <w:tcW w:w="1637" w:type="pct"/>
          </w:tcPr>
          <w:p w14:paraId="4C5EA7E4" w14:textId="58348FDF" w:rsidR="008A3746" w:rsidRPr="008A3746" w:rsidRDefault="008A3746" w:rsidP="008A3746">
            <w:pPr>
              <w:cnfStyle w:val="000000000000" w:firstRow="0" w:lastRow="0" w:firstColumn="0" w:lastColumn="0" w:oddVBand="0" w:evenVBand="0" w:oddHBand="0" w:evenHBand="0" w:firstRowFirstColumn="0" w:firstRowLastColumn="0" w:lastRowFirstColumn="0" w:lastRowLastColumn="0"/>
            </w:pPr>
            <w:r w:rsidRPr="008A3746">
              <w:t>All Trades Queensland</w:t>
            </w:r>
          </w:p>
        </w:tc>
        <w:tc>
          <w:tcPr>
            <w:tcW w:w="1654" w:type="pct"/>
          </w:tcPr>
          <w:p w14:paraId="665BC518" w14:textId="77777777" w:rsidR="008A3746" w:rsidRPr="008A3746" w:rsidRDefault="008A3746" w:rsidP="008A3746">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p>
        </w:tc>
      </w:tr>
      <w:tr w:rsidR="008A3746" w:rsidRPr="008A3746" w14:paraId="5668E564" w14:textId="77777777" w:rsidTr="00371A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4F4550D3" w14:textId="73805538" w:rsidR="008A3746" w:rsidRPr="008A3746" w:rsidRDefault="008A3746" w:rsidP="008A3746">
            <w:pPr>
              <w:rPr>
                <w:rFonts w:asciiTheme="minorHAnsi" w:hAnsiTheme="minorHAnsi" w:cstheme="minorHAnsi"/>
                <w:b w:val="0"/>
                <w:sz w:val="20"/>
              </w:rPr>
            </w:pPr>
            <w:r w:rsidRPr="008A3746">
              <w:rPr>
                <w:rFonts w:asciiTheme="minorHAnsi" w:hAnsiTheme="minorHAnsi" w:cstheme="minorHAnsi"/>
                <w:b w:val="0"/>
                <w:sz w:val="20"/>
              </w:rPr>
              <w:t xml:space="preserve">Therese </w:t>
            </w:r>
            <w:proofErr w:type="spellStart"/>
            <w:r w:rsidRPr="008A3746">
              <w:rPr>
                <w:rFonts w:asciiTheme="minorHAnsi" w:eastAsia="Calibri" w:hAnsiTheme="minorHAnsi" w:cstheme="minorHAnsi"/>
                <w:b w:val="0"/>
                <w:bCs w:val="0"/>
                <w:sz w:val="20"/>
              </w:rPr>
              <w:t>Lauriola</w:t>
            </w:r>
            <w:proofErr w:type="spellEnd"/>
          </w:p>
        </w:tc>
        <w:tc>
          <w:tcPr>
            <w:tcW w:w="1637" w:type="pct"/>
          </w:tcPr>
          <w:p w14:paraId="313A808D" w14:textId="1D52452D" w:rsidR="008A3746" w:rsidRPr="008A3746" w:rsidRDefault="008A3746" w:rsidP="008A37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A3746">
              <w:rPr>
                <w:rFonts w:asciiTheme="minorHAnsi" w:hAnsiTheme="minorHAnsi" w:cstheme="minorHAnsi"/>
                <w:sz w:val="20"/>
              </w:rPr>
              <w:t>Master Painters NSW</w:t>
            </w:r>
          </w:p>
        </w:tc>
        <w:tc>
          <w:tcPr>
            <w:tcW w:w="1654" w:type="pct"/>
          </w:tcPr>
          <w:p w14:paraId="2C626928" w14:textId="77777777" w:rsidR="008A3746" w:rsidRPr="008A3746" w:rsidRDefault="008A3746" w:rsidP="008A374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lang w:eastAsia="en-AU"/>
              </w:rPr>
            </w:pPr>
          </w:p>
        </w:tc>
      </w:tr>
      <w:tr w:rsidR="008A3746" w:rsidRPr="008A3746" w14:paraId="5FD58B26" w14:textId="77777777" w:rsidTr="00371A5F">
        <w:trPr>
          <w:trHeight w:val="285"/>
        </w:trPr>
        <w:tc>
          <w:tcPr>
            <w:cnfStyle w:val="001000000000" w:firstRow="0" w:lastRow="0" w:firstColumn="1" w:lastColumn="0" w:oddVBand="0" w:evenVBand="0" w:oddHBand="0" w:evenHBand="0" w:firstRowFirstColumn="0" w:firstRowLastColumn="0" w:lastRowFirstColumn="0" w:lastRowLastColumn="0"/>
            <w:tcW w:w="1708" w:type="pct"/>
            <w:noWrap/>
          </w:tcPr>
          <w:p w14:paraId="15E0A84F" w14:textId="78347E53" w:rsidR="008A3746" w:rsidRPr="008A3746" w:rsidRDefault="008A3746" w:rsidP="008A3746">
            <w:pPr>
              <w:rPr>
                <w:b w:val="0"/>
              </w:rPr>
            </w:pPr>
            <w:r w:rsidRPr="008A3746">
              <w:rPr>
                <w:b w:val="0"/>
              </w:rPr>
              <w:t>John Newman</w:t>
            </w:r>
          </w:p>
        </w:tc>
        <w:tc>
          <w:tcPr>
            <w:tcW w:w="1637" w:type="pct"/>
          </w:tcPr>
          <w:p w14:paraId="66A5A2A8" w14:textId="10DF3216" w:rsidR="008A3746" w:rsidRPr="008A3746" w:rsidRDefault="008A3746" w:rsidP="008A3746">
            <w:pPr>
              <w:cnfStyle w:val="000000000000" w:firstRow="0" w:lastRow="0" w:firstColumn="0" w:lastColumn="0" w:oddVBand="0" w:evenVBand="0" w:oddHBand="0" w:evenHBand="0" w:firstRowFirstColumn="0" w:firstRowLastColumn="0" w:lastRowFirstColumn="0" w:lastRowLastColumn="0"/>
            </w:pPr>
            <w:r w:rsidRPr="008A3746">
              <w:t>Painting &amp; Decorating NSW</w:t>
            </w:r>
          </w:p>
        </w:tc>
        <w:tc>
          <w:tcPr>
            <w:tcW w:w="1654" w:type="pct"/>
          </w:tcPr>
          <w:p w14:paraId="7B5DFD91" w14:textId="77777777" w:rsidR="008A3746" w:rsidRPr="008A3746" w:rsidRDefault="008A3746" w:rsidP="008A3746">
            <w:pPr>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AU"/>
              </w:rPr>
            </w:pPr>
          </w:p>
        </w:tc>
      </w:tr>
    </w:tbl>
    <w:p w14:paraId="3B8ECD64" w14:textId="0CA97147" w:rsidR="008068D6" w:rsidRDefault="008068D6" w:rsidP="008068D6">
      <w:pPr>
        <w:spacing w:after="0" w:line="240" w:lineRule="auto"/>
        <w:rPr>
          <w:rFonts w:ascii="Calibri Light" w:eastAsiaTheme="majorEastAsia" w:hAnsi="Calibri Light" w:cstheme="majorBidi"/>
          <w:b/>
          <w:color w:val="808080" w:themeColor="background1" w:themeShade="80"/>
          <w:sz w:val="32"/>
          <w:szCs w:val="32"/>
        </w:rPr>
      </w:pPr>
    </w:p>
    <w:tbl>
      <w:tblPr>
        <w:tblStyle w:val="TableGrid"/>
        <w:tblW w:w="5334" w:type="pct"/>
        <w:tblLook w:val="04A0" w:firstRow="1" w:lastRow="0" w:firstColumn="1" w:lastColumn="0" w:noHBand="0" w:noVBand="1"/>
      </w:tblPr>
      <w:tblGrid>
        <w:gridCol w:w="2743"/>
        <w:gridCol w:w="6712"/>
        <w:gridCol w:w="5425"/>
      </w:tblGrid>
      <w:tr w:rsidR="00552E55" w:rsidRPr="00552E55" w14:paraId="06D7530A" w14:textId="77777777" w:rsidTr="006D4E2E">
        <w:trPr>
          <w:trHeight w:val="416"/>
        </w:trPr>
        <w:tc>
          <w:tcPr>
            <w:tcW w:w="922" w:type="pct"/>
            <w:shd w:val="clear" w:color="auto" w:fill="A6A6A6" w:themeFill="background1" w:themeFillShade="A6"/>
          </w:tcPr>
          <w:p w14:paraId="6027D86F" w14:textId="3830C0EC" w:rsidR="00552E55" w:rsidRPr="00552E55" w:rsidRDefault="00482FF7" w:rsidP="000E6D26">
            <w:pPr>
              <w:jc w:val="center"/>
              <w:rPr>
                <w:b/>
                <w:color w:val="FFFFFF" w:themeColor="background1"/>
                <w:szCs w:val="20"/>
              </w:rPr>
            </w:pPr>
            <w:r>
              <w:rPr>
                <w:b/>
                <w:color w:val="FFFFFF" w:themeColor="background1"/>
                <w:szCs w:val="20"/>
              </w:rPr>
              <w:t>Stakeholder</w:t>
            </w:r>
          </w:p>
        </w:tc>
        <w:tc>
          <w:tcPr>
            <w:tcW w:w="2255" w:type="pct"/>
            <w:shd w:val="clear" w:color="auto" w:fill="A6A6A6" w:themeFill="background1" w:themeFillShade="A6"/>
          </w:tcPr>
          <w:p w14:paraId="73A6F8E2" w14:textId="0ED05638" w:rsidR="00552E55" w:rsidRPr="00552E55" w:rsidRDefault="00482FF7" w:rsidP="000E6D26">
            <w:pPr>
              <w:jc w:val="center"/>
              <w:rPr>
                <w:b/>
                <w:color w:val="FFFFFF" w:themeColor="background1"/>
                <w:szCs w:val="20"/>
              </w:rPr>
            </w:pPr>
            <w:r>
              <w:rPr>
                <w:b/>
                <w:color w:val="FFFFFF" w:themeColor="background1"/>
                <w:szCs w:val="20"/>
              </w:rPr>
              <w:t>Details</w:t>
            </w:r>
          </w:p>
        </w:tc>
        <w:tc>
          <w:tcPr>
            <w:tcW w:w="1823" w:type="pct"/>
            <w:shd w:val="clear" w:color="auto" w:fill="A6A6A6" w:themeFill="background1" w:themeFillShade="A6"/>
          </w:tcPr>
          <w:p w14:paraId="67A6D8C8" w14:textId="4B737DD8" w:rsidR="00552E55" w:rsidRPr="00552E55" w:rsidRDefault="00482FF7" w:rsidP="000E6D26">
            <w:pPr>
              <w:jc w:val="center"/>
              <w:rPr>
                <w:b/>
                <w:color w:val="FFFFFF" w:themeColor="background1"/>
                <w:szCs w:val="20"/>
              </w:rPr>
            </w:pPr>
            <w:r>
              <w:rPr>
                <w:b/>
                <w:color w:val="FFFFFF" w:themeColor="background1"/>
                <w:szCs w:val="20"/>
              </w:rPr>
              <w:t>Contact Name</w:t>
            </w:r>
          </w:p>
        </w:tc>
      </w:tr>
      <w:tr w:rsidR="00552E55" w:rsidRPr="00552E55" w14:paraId="6C3CFBFC" w14:textId="77777777" w:rsidTr="006D4E2E">
        <w:trPr>
          <w:trHeight w:val="550"/>
        </w:trPr>
        <w:tc>
          <w:tcPr>
            <w:tcW w:w="922" w:type="pct"/>
          </w:tcPr>
          <w:p w14:paraId="0D996D12" w14:textId="77777777" w:rsidR="00552E55" w:rsidRPr="00552E55" w:rsidRDefault="00552E55" w:rsidP="000E6D26">
            <w:pPr>
              <w:rPr>
                <w:b/>
                <w:bCs/>
                <w:sz w:val="18"/>
                <w:szCs w:val="20"/>
              </w:rPr>
            </w:pPr>
            <w:r w:rsidRPr="00552E55">
              <w:rPr>
                <w:sz w:val="18"/>
                <w:szCs w:val="20"/>
              </w:rPr>
              <w:t>Skills Service Organisation</w:t>
            </w:r>
          </w:p>
        </w:tc>
        <w:tc>
          <w:tcPr>
            <w:tcW w:w="2255" w:type="pct"/>
          </w:tcPr>
          <w:p w14:paraId="51F9F520" w14:textId="77777777" w:rsidR="00552E55" w:rsidRPr="00552E55" w:rsidRDefault="00552E55" w:rsidP="000E6D26">
            <w:pPr>
              <w:rPr>
                <w:sz w:val="18"/>
                <w:szCs w:val="20"/>
              </w:rPr>
            </w:pPr>
            <w:r w:rsidRPr="00552E55">
              <w:rPr>
                <w:sz w:val="18"/>
                <w:szCs w:val="20"/>
              </w:rPr>
              <w:t>Artibus Innovation</w:t>
            </w:r>
          </w:p>
          <w:p w14:paraId="7D3D9F31" w14:textId="77777777" w:rsidR="00552E55" w:rsidRPr="00552E55" w:rsidRDefault="00552E55" w:rsidP="000E6D26">
            <w:pPr>
              <w:rPr>
                <w:sz w:val="18"/>
                <w:szCs w:val="20"/>
              </w:rPr>
            </w:pPr>
            <w:r w:rsidRPr="00552E55">
              <w:rPr>
                <w:sz w:val="18"/>
                <w:szCs w:val="20"/>
              </w:rPr>
              <w:t xml:space="preserve">Artibus Innovation Board </w:t>
            </w:r>
          </w:p>
        </w:tc>
        <w:tc>
          <w:tcPr>
            <w:tcW w:w="1823" w:type="pct"/>
          </w:tcPr>
          <w:p w14:paraId="40112172" w14:textId="77777777" w:rsidR="00552E55" w:rsidRPr="00552E55" w:rsidRDefault="00552E55" w:rsidP="000E6D26">
            <w:pPr>
              <w:rPr>
                <w:sz w:val="18"/>
                <w:szCs w:val="20"/>
              </w:rPr>
            </w:pPr>
            <w:r w:rsidRPr="00552E55">
              <w:rPr>
                <w:sz w:val="18"/>
                <w:szCs w:val="20"/>
              </w:rPr>
              <w:t>Richard Tait</w:t>
            </w:r>
          </w:p>
        </w:tc>
      </w:tr>
      <w:tr w:rsidR="00552E55" w:rsidRPr="00552E55" w14:paraId="31B2E220" w14:textId="77777777" w:rsidTr="006D4E2E">
        <w:trPr>
          <w:trHeight w:val="415"/>
        </w:trPr>
        <w:tc>
          <w:tcPr>
            <w:tcW w:w="922" w:type="pct"/>
          </w:tcPr>
          <w:p w14:paraId="7A9BF020" w14:textId="3C1C8881" w:rsidR="00552E55" w:rsidRPr="00552E55" w:rsidRDefault="00E64F30" w:rsidP="000E6D26">
            <w:pPr>
              <w:rPr>
                <w:b/>
                <w:bCs/>
                <w:sz w:val="18"/>
                <w:szCs w:val="20"/>
              </w:rPr>
            </w:pPr>
            <w:r>
              <w:rPr>
                <w:sz w:val="18"/>
                <w:szCs w:val="20"/>
              </w:rPr>
              <w:t>Construction I</w:t>
            </w:r>
            <w:r w:rsidR="00552E55" w:rsidRPr="00552E55">
              <w:rPr>
                <w:sz w:val="18"/>
                <w:szCs w:val="20"/>
              </w:rPr>
              <w:t>RC members</w:t>
            </w:r>
          </w:p>
        </w:tc>
        <w:tc>
          <w:tcPr>
            <w:tcW w:w="2255" w:type="pct"/>
          </w:tcPr>
          <w:p w14:paraId="4B57E5F3" w14:textId="77777777" w:rsidR="00552E55" w:rsidRPr="00552E55" w:rsidRDefault="00552E55" w:rsidP="000E6D26">
            <w:pPr>
              <w:rPr>
                <w:sz w:val="18"/>
                <w:szCs w:val="20"/>
              </w:rPr>
            </w:pPr>
            <w:r w:rsidRPr="00552E55">
              <w:rPr>
                <w:sz w:val="18"/>
                <w:szCs w:val="20"/>
              </w:rPr>
              <w:t xml:space="preserve">IRC Chair, Deputy </w:t>
            </w:r>
            <w:proofErr w:type="gramStart"/>
            <w:r w:rsidRPr="00552E55">
              <w:rPr>
                <w:sz w:val="18"/>
                <w:szCs w:val="20"/>
              </w:rPr>
              <w:t>Chair</w:t>
            </w:r>
            <w:proofErr w:type="gramEnd"/>
            <w:r w:rsidRPr="00552E55">
              <w:rPr>
                <w:sz w:val="18"/>
                <w:szCs w:val="20"/>
              </w:rPr>
              <w:t xml:space="preserve"> and membership</w:t>
            </w:r>
          </w:p>
        </w:tc>
        <w:tc>
          <w:tcPr>
            <w:tcW w:w="1823" w:type="pct"/>
          </w:tcPr>
          <w:p w14:paraId="061D6B88" w14:textId="2E28F142" w:rsidR="00552E55" w:rsidRPr="00552E55" w:rsidRDefault="00E64F30" w:rsidP="000E6D26">
            <w:pPr>
              <w:rPr>
                <w:sz w:val="18"/>
                <w:szCs w:val="20"/>
              </w:rPr>
            </w:pPr>
            <w:r>
              <w:rPr>
                <w:sz w:val="18"/>
                <w:szCs w:val="20"/>
              </w:rPr>
              <w:t>Robert Wilson</w:t>
            </w:r>
            <w:r w:rsidR="00552E55" w:rsidRPr="00552E55">
              <w:rPr>
                <w:sz w:val="18"/>
                <w:szCs w:val="20"/>
              </w:rPr>
              <w:t>, Chair</w:t>
            </w:r>
          </w:p>
        </w:tc>
      </w:tr>
      <w:tr w:rsidR="00552E55" w:rsidRPr="00552E55" w14:paraId="2DE5F5C1" w14:textId="77777777" w:rsidTr="006D4E2E">
        <w:tc>
          <w:tcPr>
            <w:tcW w:w="922" w:type="pct"/>
          </w:tcPr>
          <w:p w14:paraId="3699B56D" w14:textId="77777777" w:rsidR="00552E55" w:rsidRPr="00552E55" w:rsidRDefault="00552E55" w:rsidP="000E6D26">
            <w:pPr>
              <w:rPr>
                <w:b/>
                <w:sz w:val="18"/>
                <w:szCs w:val="20"/>
              </w:rPr>
            </w:pPr>
            <w:r w:rsidRPr="00552E55">
              <w:rPr>
                <w:sz w:val="18"/>
                <w:szCs w:val="20"/>
              </w:rPr>
              <w:t>IRC Principal</w:t>
            </w:r>
          </w:p>
        </w:tc>
        <w:tc>
          <w:tcPr>
            <w:tcW w:w="2255" w:type="pct"/>
          </w:tcPr>
          <w:p w14:paraId="41D1DB3B" w14:textId="77777777" w:rsidR="00552E55" w:rsidRPr="00552E55" w:rsidRDefault="00552E55" w:rsidP="000E6D26">
            <w:pPr>
              <w:rPr>
                <w:sz w:val="18"/>
                <w:szCs w:val="20"/>
              </w:rPr>
            </w:pPr>
            <w:r w:rsidRPr="00552E55">
              <w:rPr>
                <w:sz w:val="18"/>
                <w:szCs w:val="20"/>
              </w:rPr>
              <w:t>Detailed nominated chair</w:t>
            </w:r>
          </w:p>
        </w:tc>
        <w:tc>
          <w:tcPr>
            <w:tcW w:w="1823" w:type="pct"/>
          </w:tcPr>
          <w:p w14:paraId="2AD44EF6" w14:textId="4A95B48E" w:rsidR="00552E55" w:rsidRPr="00552E55" w:rsidRDefault="00552E55" w:rsidP="000E6D26">
            <w:pPr>
              <w:rPr>
                <w:sz w:val="18"/>
                <w:szCs w:val="20"/>
              </w:rPr>
            </w:pPr>
            <w:r w:rsidRPr="00552E55">
              <w:rPr>
                <w:sz w:val="18"/>
                <w:szCs w:val="20"/>
              </w:rPr>
              <w:t xml:space="preserve">Rebecca </w:t>
            </w:r>
            <w:proofErr w:type="spellStart"/>
            <w:r w:rsidR="00632A26">
              <w:rPr>
                <w:sz w:val="18"/>
                <w:szCs w:val="20"/>
              </w:rPr>
              <w:t>Bellette</w:t>
            </w:r>
            <w:proofErr w:type="spellEnd"/>
          </w:p>
        </w:tc>
      </w:tr>
      <w:tr w:rsidR="00552E55" w:rsidRPr="00552E55" w14:paraId="37074D5B" w14:textId="77777777" w:rsidTr="006D4E2E">
        <w:tc>
          <w:tcPr>
            <w:tcW w:w="922" w:type="pct"/>
          </w:tcPr>
          <w:p w14:paraId="6A11C467" w14:textId="77777777" w:rsidR="00552E55" w:rsidRPr="00552E55" w:rsidRDefault="00552E55" w:rsidP="000E6D26">
            <w:pPr>
              <w:rPr>
                <w:b/>
                <w:bCs/>
                <w:sz w:val="18"/>
                <w:szCs w:val="20"/>
              </w:rPr>
            </w:pPr>
            <w:r w:rsidRPr="00552E55">
              <w:rPr>
                <w:sz w:val="18"/>
                <w:szCs w:val="20"/>
              </w:rPr>
              <w:t>Other IRCs or SSOs</w:t>
            </w:r>
          </w:p>
        </w:tc>
        <w:tc>
          <w:tcPr>
            <w:tcW w:w="2255" w:type="pct"/>
          </w:tcPr>
          <w:p w14:paraId="46A894B6" w14:textId="77777777" w:rsidR="00552E55" w:rsidRPr="00552E55" w:rsidRDefault="00552E55" w:rsidP="000E6D26">
            <w:pPr>
              <w:rPr>
                <w:sz w:val="18"/>
                <w:szCs w:val="20"/>
              </w:rPr>
            </w:pPr>
            <w:r w:rsidRPr="00552E55">
              <w:rPr>
                <w:sz w:val="18"/>
                <w:szCs w:val="20"/>
              </w:rPr>
              <w:t xml:space="preserve">See </w:t>
            </w:r>
            <w:hyperlink r:id="rId17" w:history="1">
              <w:r w:rsidRPr="00552E55">
                <w:rPr>
                  <w:rStyle w:val="Hyperlink"/>
                  <w:rFonts w:cstheme="minorHAnsi"/>
                  <w:sz w:val="18"/>
                  <w:szCs w:val="20"/>
                </w:rPr>
                <w:t>https://docs.education.gov.au/node/39791</w:t>
              </w:r>
            </w:hyperlink>
            <w:r w:rsidRPr="00552E55">
              <w:rPr>
                <w:color w:val="000000"/>
                <w:sz w:val="18"/>
                <w:szCs w:val="20"/>
              </w:rPr>
              <w:t xml:space="preserve"> for SSOs</w:t>
            </w:r>
          </w:p>
          <w:p w14:paraId="4C5DD62B" w14:textId="77777777" w:rsidR="00552E55" w:rsidRPr="00552E55" w:rsidRDefault="00552E55" w:rsidP="000E6D26">
            <w:pPr>
              <w:rPr>
                <w:sz w:val="18"/>
                <w:szCs w:val="20"/>
              </w:rPr>
            </w:pPr>
            <w:r w:rsidRPr="00552E55">
              <w:rPr>
                <w:color w:val="000000"/>
                <w:sz w:val="18"/>
                <w:szCs w:val="20"/>
              </w:rPr>
              <w:t xml:space="preserve">See </w:t>
            </w:r>
            <w:hyperlink r:id="rId18" w:history="1">
              <w:r w:rsidRPr="00552E55">
                <w:rPr>
                  <w:rStyle w:val="Hyperlink"/>
                  <w:rFonts w:cstheme="minorHAnsi"/>
                  <w:sz w:val="18"/>
                  <w:szCs w:val="20"/>
                </w:rPr>
                <w:t>https://docs.education.gov.au/node/39421</w:t>
              </w:r>
            </w:hyperlink>
            <w:r w:rsidRPr="00552E55">
              <w:rPr>
                <w:color w:val="000000"/>
                <w:sz w:val="18"/>
                <w:szCs w:val="20"/>
              </w:rPr>
              <w:t xml:space="preserve"> for SSO’s and the IRCs and Training Packages they support.</w:t>
            </w:r>
          </w:p>
        </w:tc>
        <w:tc>
          <w:tcPr>
            <w:tcW w:w="1823" w:type="pct"/>
          </w:tcPr>
          <w:p w14:paraId="46EE1779" w14:textId="77777777" w:rsidR="00552E55" w:rsidRPr="00552E55" w:rsidRDefault="00552E55" w:rsidP="000E6D26">
            <w:pPr>
              <w:rPr>
                <w:sz w:val="18"/>
                <w:szCs w:val="20"/>
              </w:rPr>
            </w:pPr>
          </w:p>
        </w:tc>
      </w:tr>
      <w:tr w:rsidR="00552E55" w:rsidRPr="00552E55" w14:paraId="5B3DF164" w14:textId="77777777" w:rsidTr="006D4E2E">
        <w:trPr>
          <w:trHeight w:val="519"/>
        </w:trPr>
        <w:tc>
          <w:tcPr>
            <w:tcW w:w="922" w:type="pct"/>
          </w:tcPr>
          <w:p w14:paraId="2E2F7214" w14:textId="77777777" w:rsidR="00552E55" w:rsidRPr="00552E55" w:rsidRDefault="00552E55" w:rsidP="000E6D26">
            <w:pPr>
              <w:rPr>
                <w:b/>
                <w:bCs/>
                <w:sz w:val="18"/>
                <w:szCs w:val="20"/>
              </w:rPr>
            </w:pPr>
            <w:r w:rsidRPr="00552E55">
              <w:rPr>
                <w:sz w:val="18"/>
                <w:szCs w:val="20"/>
              </w:rPr>
              <w:t>Property Industry</w:t>
            </w:r>
          </w:p>
        </w:tc>
        <w:tc>
          <w:tcPr>
            <w:tcW w:w="2255" w:type="pct"/>
          </w:tcPr>
          <w:p w14:paraId="6D3830D2" w14:textId="77777777" w:rsidR="00552E55" w:rsidRPr="00552E55" w:rsidRDefault="00552E55" w:rsidP="000E6D26">
            <w:pPr>
              <w:rPr>
                <w:sz w:val="18"/>
                <w:szCs w:val="20"/>
              </w:rPr>
            </w:pPr>
            <w:r w:rsidRPr="00552E55">
              <w:rPr>
                <w:sz w:val="18"/>
                <w:szCs w:val="20"/>
              </w:rPr>
              <w:t>Employers</w:t>
            </w:r>
          </w:p>
          <w:p w14:paraId="1FB5D40A" w14:textId="77777777" w:rsidR="00552E55" w:rsidRPr="00552E55" w:rsidRDefault="00552E55" w:rsidP="000E6D26">
            <w:pPr>
              <w:rPr>
                <w:sz w:val="18"/>
                <w:szCs w:val="20"/>
              </w:rPr>
            </w:pPr>
            <w:r w:rsidRPr="00552E55">
              <w:rPr>
                <w:sz w:val="18"/>
                <w:szCs w:val="20"/>
              </w:rPr>
              <w:t>Employees</w:t>
            </w:r>
          </w:p>
        </w:tc>
        <w:tc>
          <w:tcPr>
            <w:tcW w:w="1823" w:type="pct"/>
          </w:tcPr>
          <w:p w14:paraId="1D943EE7" w14:textId="29912846" w:rsidR="00552E55" w:rsidRPr="00552E55" w:rsidRDefault="00632A26" w:rsidP="0081555B">
            <w:pPr>
              <w:rPr>
                <w:sz w:val="18"/>
                <w:szCs w:val="20"/>
              </w:rPr>
            </w:pPr>
            <w:r>
              <w:rPr>
                <w:sz w:val="18"/>
                <w:szCs w:val="20"/>
              </w:rPr>
              <w:t>Refer to table above</w:t>
            </w:r>
          </w:p>
        </w:tc>
      </w:tr>
      <w:tr w:rsidR="00552E55" w:rsidRPr="00552E55" w14:paraId="129EB833" w14:textId="77777777" w:rsidTr="006D4E2E">
        <w:trPr>
          <w:trHeight w:val="274"/>
        </w:trPr>
        <w:tc>
          <w:tcPr>
            <w:tcW w:w="922" w:type="pct"/>
          </w:tcPr>
          <w:p w14:paraId="7262827C" w14:textId="77777777" w:rsidR="00552E55" w:rsidRPr="00552E55" w:rsidRDefault="00552E55" w:rsidP="000E6D26">
            <w:pPr>
              <w:rPr>
                <w:b/>
                <w:bCs/>
                <w:sz w:val="18"/>
                <w:szCs w:val="20"/>
              </w:rPr>
            </w:pPr>
            <w:r w:rsidRPr="00552E55">
              <w:rPr>
                <w:sz w:val="18"/>
                <w:szCs w:val="20"/>
              </w:rPr>
              <w:t>Property Industry representatives (e.g. business and employee peak organisations (including unions))</w:t>
            </w:r>
          </w:p>
        </w:tc>
        <w:tc>
          <w:tcPr>
            <w:tcW w:w="2255" w:type="pct"/>
          </w:tcPr>
          <w:p w14:paraId="4834C43C" w14:textId="77777777" w:rsidR="00552E55" w:rsidRPr="00552E55" w:rsidRDefault="00552E55" w:rsidP="000E6D26">
            <w:pPr>
              <w:rPr>
                <w:i/>
                <w:sz w:val="18"/>
                <w:szCs w:val="20"/>
              </w:rPr>
            </w:pPr>
            <w:r w:rsidRPr="00552E55">
              <w:rPr>
                <w:i/>
                <w:sz w:val="18"/>
                <w:szCs w:val="20"/>
              </w:rPr>
              <w:t>Business/Trade Peak Bodies</w:t>
            </w:r>
          </w:p>
        </w:tc>
        <w:tc>
          <w:tcPr>
            <w:tcW w:w="1823" w:type="pct"/>
          </w:tcPr>
          <w:p w14:paraId="2B590EEF" w14:textId="33FCD901" w:rsidR="00552E55" w:rsidRPr="00552E55" w:rsidRDefault="00632A26" w:rsidP="0081555B">
            <w:pPr>
              <w:rPr>
                <w:sz w:val="18"/>
                <w:szCs w:val="20"/>
              </w:rPr>
            </w:pPr>
            <w:r>
              <w:rPr>
                <w:sz w:val="18"/>
                <w:szCs w:val="20"/>
              </w:rPr>
              <w:t>Refer to table above</w:t>
            </w:r>
          </w:p>
        </w:tc>
      </w:tr>
      <w:tr w:rsidR="00D469CA" w:rsidRPr="00552E55" w14:paraId="3E5FF691" w14:textId="77777777" w:rsidTr="006D4E2E">
        <w:trPr>
          <w:trHeight w:val="1868"/>
        </w:trPr>
        <w:tc>
          <w:tcPr>
            <w:tcW w:w="922" w:type="pct"/>
          </w:tcPr>
          <w:p w14:paraId="6E0D3A0A" w14:textId="77777777" w:rsidR="00D469CA" w:rsidRPr="00552E55" w:rsidRDefault="00D469CA" w:rsidP="000E6D26">
            <w:pPr>
              <w:rPr>
                <w:b/>
                <w:bCs/>
                <w:sz w:val="18"/>
                <w:szCs w:val="20"/>
              </w:rPr>
            </w:pPr>
            <w:r w:rsidRPr="00552E55">
              <w:rPr>
                <w:sz w:val="18"/>
                <w:szCs w:val="20"/>
              </w:rPr>
              <w:t>State Training Authorities (STAs)</w:t>
            </w:r>
          </w:p>
        </w:tc>
        <w:tc>
          <w:tcPr>
            <w:tcW w:w="4078" w:type="pct"/>
            <w:gridSpan w:val="2"/>
          </w:tcPr>
          <w:tbl>
            <w:tblPr>
              <w:tblStyle w:val="TableGrid"/>
              <w:tblW w:w="11911" w:type="dxa"/>
              <w:tblLook w:val="04A0" w:firstRow="1" w:lastRow="0" w:firstColumn="1" w:lastColumn="0" w:noHBand="0" w:noVBand="1"/>
            </w:tblPr>
            <w:tblGrid>
              <w:gridCol w:w="11911"/>
            </w:tblGrid>
            <w:tr w:rsidR="00D469CA" w14:paraId="3FC341D9" w14:textId="77777777" w:rsidTr="00D469CA">
              <w:tc>
                <w:tcPr>
                  <w:tcW w:w="11911" w:type="dxa"/>
                </w:tcPr>
                <w:p w14:paraId="2E2E42BE" w14:textId="37074687" w:rsidR="00D469CA" w:rsidRPr="00552E55" w:rsidRDefault="00D469CA" w:rsidP="00552E55">
                  <w:pPr>
                    <w:rPr>
                      <w:sz w:val="18"/>
                      <w:szCs w:val="20"/>
                    </w:rPr>
                  </w:pPr>
                  <w:r>
                    <w:rPr>
                      <w:sz w:val="18"/>
                      <w:szCs w:val="20"/>
                    </w:rPr>
                    <w:t xml:space="preserve">NT     </w:t>
                  </w:r>
                  <w:hyperlink r:id="rId19" w:history="1">
                    <w:proofErr w:type="spellStart"/>
                    <w:r w:rsidRPr="00552E55">
                      <w:rPr>
                        <w:rStyle w:val="Hyperlink"/>
                        <w:rFonts w:cstheme="minorHAnsi"/>
                        <w:sz w:val="18"/>
                        <w:szCs w:val="20"/>
                      </w:rPr>
                      <w:t>Dept</w:t>
                    </w:r>
                    <w:proofErr w:type="spellEnd"/>
                    <w:r w:rsidRPr="00552E55">
                      <w:rPr>
                        <w:rStyle w:val="Hyperlink"/>
                        <w:rFonts w:cstheme="minorHAnsi"/>
                        <w:sz w:val="18"/>
                        <w:szCs w:val="20"/>
                      </w:rPr>
                      <w:t xml:space="preserve"> of Trade, </w:t>
                    </w:r>
                    <w:proofErr w:type="gramStart"/>
                    <w:r w:rsidRPr="00552E55">
                      <w:rPr>
                        <w:rStyle w:val="Hyperlink"/>
                        <w:rFonts w:cstheme="minorHAnsi"/>
                        <w:sz w:val="18"/>
                        <w:szCs w:val="20"/>
                      </w:rPr>
                      <w:t>Business</w:t>
                    </w:r>
                    <w:proofErr w:type="gramEnd"/>
                    <w:r w:rsidRPr="00552E55">
                      <w:rPr>
                        <w:rStyle w:val="Hyperlink"/>
                        <w:rFonts w:cstheme="minorHAnsi"/>
                        <w:sz w:val="18"/>
                        <w:szCs w:val="20"/>
                      </w:rPr>
                      <w:t xml:space="preserve"> and Innovation</w:t>
                    </w:r>
                  </w:hyperlink>
                  <w:r>
                    <w:rPr>
                      <w:rStyle w:val="Hyperlink"/>
                      <w:rFonts w:cstheme="minorHAnsi"/>
                      <w:sz w:val="18"/>
                      <w:szCs w:val="20"/>
                    </w:rPr>
                    <w:t xml:space="preserve">, </w:t>
                  </w:r>
                  <w:r w:rsidRPr="00552E55">
                    <w:rPr>
                      <w:sz w:val="18"/>
                      <w:szCs w:val="20"/>
                    </w:rPr>
                    <w:t>Nelson Brown, Policy Officer, Skilling Policy and Data Unit, Employment and Skilling NT</w:t>
                  </w:r>
                </w:p>
              </w:tc>
            </w:tr>
            <w:tr w:rsidR="00D469CA" w14:paraId="6D5F4177" w14:textId="77777777" w:rsidTr="00D469CA">
              <w:tc>
                <w:tcPr>
                  <w:tcW w:w="11911" w:type="dxa"/>
                </w:tcPr>
                <w:p w14:paraId="40C1FEF8" w14:textId="77777777" w:rsidR="00D469CA" w:rsidRDefault="00D469CA" w:rsidP="00552E55">
                  <w:pPr>
                    <w:rPr>
                      <w:sz w:val="18"/>
                      <w:szCs w:val="20"/>
                    </w:rPr>
                  </w:pPr>
                  <w:r>
                    <w:rPr>
                      <w:sz w:val="18"/>
                      <w:szCs w:val="20"/>
                    </w:rPr>
                    <w:t xml:space="preserve">NSW </w:t>
                  </w:r>
                  <w:r w:rsidRPr="00552E55">
                    <w:rPr>
                      <w:sz w:val="18"/>
                      <w:szCs w:val="20"/>
                    </w:rPr>
                    <w:t xml:space="preserve"> </w:t>
                  </w:r>
                  <w:hyperlink r:id="rId20" w:history="1">
                    <w:proofErr w:type="spellStart"/>
                    <w:r w:rsidRPr="00552E55">
                      <w:rPr>
                        <w:rStyle w:val="Hyperlink"/>
                        <w:sz w:val="18"/>
                        <w:szCs w:val="20"/>
                      </w:rPr>
                      <w:t>NSW</w:t>
                    </w:r>
                    <w:proofErr w:type="spellEnd"/>
                    <w:r w:rsidRPr="00552E55">
                      <w:rPr>
                        <w:rStyle w:val="Hyperlink"/>
                        <w:sz w:val="18"/>
                        <w:szCs w:val="20"/>
                      </w:rPr>
                      <w:t xml:space="preserve"> Department of Industry</w:t>
                    </w:r>
                  </w:hyperlink>
                  <w:r>
                    <w:rPr>
                      <w:rStyle w:val="Hyperlink"/>
                      <w:sz w:val="18"/>
                      <w:szCs w:val="20"/>
                    </w:rPr>
                    <w:t xml:space="preserve">, </w:t>
                  </w:r>
                  <w:r w:rsidRPr="00552E55">
                    <w:rPr>
                      <w:sz w:val="18"/>
                      <w:szCs w:val="20"/>
                    </w:rPr>
                    <w:t>Marilyn Ng, NSW Department of Industry Policy Enablers &amp; Analytics</w:t>
                  </w:r>
                </w:p>
              </w:tc>
            </w:tr>
            <w:tr w:rsidR="00D469CA" w14:paraId="36774EF5" w14:textId="77777777" w:rsidTr="00D469CA">
              <w:tc>
                <w:tcPr>
                  <w:tcW w:w="11911" w:type="dxa"/>
                </w:tcPr>
                <w:p w14:paraId="7A5F561B" w14:textId="1F608CC8" w:rsidR="00D469CA" w:rsidRDefault="00D469CA" w:rsidP="00552E55">
                  <w:pPr>
                    <w:rPr>
                      <w:sz w:val="18"/>
                      <w:szCs w:val="20"/>
                    </w:rPr>
                  </w:pPr>
                  <w:r>
                    <w:rPr>
                      <w:sz w:val="18"/>
                      <w:szCs w:val="20"/>
                    </w:rPr>
                    <w:t xml:space="preserve">VIC    </w:t>
                  </w:r>
                  <w:hyperlink r:id="rId21" w:history="1">
                    <w:r w:rsidRPr="00552E55">
                      <w:rPr>
                        <w:rStyle w:val="Hyperlink"/>
                        <w:rFonts w:cstheme="minorHAnsi"/>
                        <w:sz w:val="18"/>
                        <w:szCs w:val="20"/>
                      </w:rPr>
                      <w:t>Department of Education and Training</w:t>
                    </w:r>
                  </w:hyperlink>
                  <w:r>
                    <w:rPr>
                      <w:rStyle w:val="Hyperlink"/>
                      <w:rFonts w:cstheme="minorHAnsi"/>
                      <w:sz w:val="18"/>
                      <w:szCs w:val="20"/>
                    </w:rPr>
                    <w:t xml:space="preserve">, </w:t>
                  </w:r>
                  <w:r>
                    <w:rPr>
                      <w:sz w:val="18"/>
                      <w:szCs w:val="20"/>
                    </w:rPr>
                    <w:t xml:space="preserve">Lee Carter, Manager and </w:t>
                  </w:r>
                  <w:r w:rsidRPr="00552E55">
                    <w:rPr>
                      <w:sz w:val="18"/>
                      <w:szCs w:val="20"/>
                    </w:rPr>
                    <w:t>Jacqui Spencer, Senior Project Officer</w:t>
                  </w:r>
                  <w:r>
                    <w:rPr>
                      <w:sz w:val="18"/>
                      <w:szCs w:val="20"/>
                    </w:rPr>
                    <w:t xml:space="preserve"> Training Products Unit at DET</w:t>
                  </w:r>
                </w:p>
              </w:tc>
            </w:tr>
            <w:tr w:rsidR="00D469CA" w14:paraId="60890CE2" w14:textId="77777777" w:rsidTr="00D469CA">
              <w:tc>
                <w:tcPr>
                  <w:tcW w:w="11911" w:type="dxa"/>
                </w:tcPr>
                <w:p w14:paraId="1A1CDE4E" w14:textId="79DC6E9A" w:rsidR="00D469CA" w:rsidRDefault="00D469CA" w:rsidP="00552E55">
                  <w:pPr>
                    <w:rPr>
                      <w:sz w:val="18"/>
                      <w:szCs w:val="20"/>
                    </w:rPr>
                  </w:pPr>
                  <w:r>
                    <w:rPr>
                      <w:sz w:val="18"/>
                      <w:szCs w:val="20"/>
                    </w:rPr>
                    <w:t xml:space="preserve">WA    </w:t>
                  </w:r>
                  <w:hyperlink r:id="rId22" w:history="1">
                    <w:r w:rsidRPr="00552E55">
                      <w:rPr>
                        <w:rStyle w:val="Hyperlink"/>
                        <w:rFonts w:cstheme="minorHAnsi"/>
                        <w:sz w:val="18"/>
                        <w:szCs w:val="20"/>
                      </w:rPr>
                      <w:t>Department Training and Workforce Development</w:t>
                    </w:r>
                  </w:hyperlink>
                  <w:r>
                    <w:rPr>
                      <w:rStyle w:val="Hyperlink"/>
                      <w:rFonts w:cstheme="minorHAnsi"/>
                      <w:sz w:val="18"/>
                      <w:szCs w:val="20"/>
                    </w:rPr>
                    <w:t xml:space="preserve">, </w:t>
                  </w:r>
                  <w:r w:rsidR="005029E0">
                    <w:rPr>
                      <w:sz w:val="18"/>
                      <w:szCs w:val="20"/>
                    </w:rPr>
                    <w:t>Lisa Barron, Department</w:t>
                  </w:r>
                  <w:r w:rsidRPr="00552E55">
                    <w:rPr>
                      <w:sz w:val="18"/>
                      <w:szCs w:val="20"/>
                    </w:rPr>
                    <w:t xml:space="preserve"> of </w:t>
                  </w:r>
                  <w:proofErr w:type="gramStart"/>
                  <w:r w:rsidRPr="00552E55">
                    <w:rPr>
                      <w:sz w:val="18"/>
                      <w:szCs w:val="20"/>
                    </w:rPr>
                    <w:t>Training</w:t>
                  </w:r>
                  <w:proofErr w:type="gramEnd"/>
                  <w:r w:rsidRPr="00552E55">
                    <w:rPr>
                      <w:sz w:val="18"/>
                      <w:szCs w:val="20"/>
                    </w:rPr>
                    <w:t xml:space="preserve"> and Workforce Development</w:t>
                  </w:r>
                </w:p>
              </w:tc>
            </w:tr>
            <w:tr w:rsidR="00D469CA" w14:paraId="262DC4FA" w14:textId="77777777" w:rsidTr="00D469CA">
              <w:tc>
                <w:tcPr>
                  <w:tcW w:w="11911" w:type="dxa"/>
                </w:tcPr>
                <w:p w14:paraId="5922C6B4" w14:textId="188C123E" w:rsidR="00D469CA" w:rsidRDefault="00D469CA" w:rsidP="00D469CA">
                  <w:pPr>
                    <w:rPr>
                      <w:sz w:val="18"/>
                      <w:szCs w:val="20"/>
                    </w:rPr>
                  </w:pPr>
                  <w:r>
                    <w:rPr>
                      <w:sz w:val="18"/>
                      <w:szCs w:val="20"/>
                    </w:rPr>
                    <w:t xml:space="preserve">QLD   </w:t>
                  </w:r>
                  <w:hyperlink r:id="rId23" w:history="1">
                    <w:r w:rsidRPr="00552E55">
                      <w:rPr>
                        <w:rStyle w:val="Hyperlink"/>
                        <w:rFonts w:cstheme="minorHAnsi"/>
                        <w:sz w:val="18"/>
                        <w:szCs w:val="20"/>
                      </w:rPr>
                      <w:t>Department of Education, Training</w:t>
                    </w:r>
                  </w:hyperlink>
                  <w:r>
                    <w:rPr>
                      <w:rStyle w:val="Hyperlink"/>
                      <w:rFonts w:cstheme="minorHAnsi"/>
                      <w:sz w:val="18"/>
                      <w:szCs w:val="20"/>
                    </w:rPr>
                    <w:t xml:space="preserve">, </w:t>
                  </w:r>
                  <w:r w:rsidRPr="00552E55">
                    <w:rPr>
                      <w:sz w:val="18"/>
                      <w:szCs w:val="20"/>
                    </w:rPr>
                    <w:t>Guy Valentine, Manager, Strategic Engagement, Skills</w:t>
                  </w:r>
                  <w:r>
                    <w:rPr>
                      <w:sz w:val="18"/>
                      <w:szCs w:val="20"/>
                    </w:rPr>
                    <w:t xml:space="preserve"> Investment</w:t>
                  </w:r>
                  <w:r w:rsidR="005029E0">
                    <w:rPr>
                      <w:sz w:val="18"/>
                      <w:szCs w:val="20"/>
                    </w:rPr>
                    <w:t>,</w:t>
                  </w:r>
                  <w:r>
                    <w:rPr>
                      <w:sz w:val="18"/>
                      <w:szCs w:val="20"/>
                    </w:rPr>
                    <w:t xml:space="preserve"> and Market Strategy</w:t>
                  </w:r>
                  <w:r w:rsidRPr="00552E55">
                    <w:rPr>
                      <w:sz w:val="18"/>
                      <w:szCs w:val="20"/>
                    </w:rPr>
                    <w:t>,</w:t>
                  </w:r>
                  <w:r>
                    <w:rPr>
                      <w:sz w:val="18"/>
                      <w:szCs w:val="20"/>
                    </w:rPr>
                    <w:t xml:space="preserve"> DET</w:t>
                  </w:r>
                </w:p>
              </w:tc>
            </w:tr>
            <w:tr w:rsidR="00D469CA" w14:paraId="732F81BA" w14:textId="77777777" w:rsidTr="00D469CA">
              <w:tc>
                <w:tcPr>
                  <w:tcW w:w="11911" w:type="dxa"/>
                </w:tcPr>
                <w:p w14:paraId="44EA7FA4" w14:textId="77777777" w:rsidR="00D469CA" w:rsidRPr="00552E55" w:rsidRDefault="00D469CA" w:rsidP="00552E55">
                  <w:pPr>
                    <w:rPr>
                      <w:rFonts w:cstheme="minorHAnsi"/>
                      <w:color w:val="0563C1" w:themeColor="hyperlink"/>
                      <w:sz w:val="18"/>
                      <w:szCs w:val="20"/>
                      <w:u w:val="single"/>
                    </w:rPr>
                  </w:pPr>
                  <w:r>
                    <w:rPr>
                      <w:sz w:val="18"/>
                      <w:szCs w:val="20"/>
                    </w:rPr>
                    <w:t xml:space="preserve">ACT   </w:t>
                  </w:r>
                  <w:hyperlink r:id="rId24" w:history="1">
                    <w:r w:rsidRPr="00552E55">
                      <w:rPr>
                        <w:rStyle w:val="Hyperlink"/>
                        <w:sz w:val="18"/>
                        <w:szCs w:val="20"/>
                      </w:rPr>
                      <w:t>Skills Canberra</w:t>
                    </w:r>
                  </w:hyperlink>
                  <w:r>
                    <w:rPr>
                      <w:rStyle w:val="Hyperlink"/>
                      <w:sz w:val="18"/>
                      <w:szCs w:val="20"/>
                    </w:rPr>
                    <w:t xml:space="preserve">, </w:t>
                  </w:r>
                  <w:r w:rsidRPr="00552E55">
                    <w:rPr>
                      <w:sz w:val="18"/>
                      <w:szCs w:val="20"/>
                    </w:rPr>
                    <w:t xml:space="preserve">Jodie </w:t>
                  </w:r>
                  <w:proofErr w:type="spellStart"/>
                  <w:r w:rsidRPr="00552E55">
                    <w:rPr>
                      <w:sz w:val="18"/>
                      <w:szCs w:val="20"/>
                    </w:rPr>
                    <w:t>Kafer</w:t>
                  </w:r>
                  <w:proofErr w:type="spellEnd"/>
                  <w:r w:rsidRPr="00552E55">
                    <w:rPr>
                      <w:sz w:val="18"/>
                      <w:szCs w:val="20"/>
                    </w:rPr>
                    <w:t>, Manager, Governance and Assurance, Skills Canberra</w:t>
                  </w:r>
                </w:p>
              </w:tc>
            </w:tr>
            <w:tr w:rsidR="00D469CA" w14:paraId="4CB7DD77" w14:textId="77777777" w:rsidTr="00D469CA">
              <w:tc>
                <w:tcPr>
                  <w:tcW w:w="11911" w:type="dxa"/>
                </w:tcPr>
                <w:p w14:paraId="0090C3E5" w14:textId="77777777" w:rsidR="00D469CA" w:rsidRDefault="00D469CA" w:rsidP="00552E55">
                  <w:pPr>
                    <w:rPr>
                      <w:sz w:val="18"/>
                      <w:szCs w:val="20"/>
                    </w:rPr>
                  </w:pPr>
                  <w:r>
                    <w:rPr>
                      <w:sz w:val="18"/>
                      <w:szCs w:val="20"/>
                    </w:rPr>
                    <w:t xml:space="preserve">SA     </w:t>
                  </w:r>
                  <w:hyperlink r:id="rId25" w:history="1">
                    <w:r w:rsidRPr="00552E55">
                      <w:rPr>
                        <w:rStyle w:val="Hyperlink"/>
                        <w:rFonts w:cstheme="minorHAnsi"/>
                        <w:sz w:val="18"/>
                        <w:szCs w:val="20"/>
                      </w:rPr>
                      <w:t>Department of State Development</w:t>
                    </w:r>
                  </w:hyperlink>
                  <w:r>
                    <w:rPr>
                      <w:rStyle w:val="Hyperlink"/>
                      <w:rFonts w:cstheme="minorHAnsi"/>
                      <w:sz w:val="18"/>
                      <w:szCs w:val="20"/>
                    </w:rPr>
                    <w:t xml:space="preserve">, </w:t>
                  </w:r>
                  <w:r w:rsidRPr="00552E55">
                    <w:rPr>
                      <w:sz w:val="18"/>
                      <w:szCs w:val="20"/>
                    </w:rPr>
                    <w:t>Leonie Cooke, Department of State Development</w:t>
                  </w:r>
                </w:p>
              </w:tc>
            </w:tr>
            <w:tr w:rsidR="00D469CA" w14:paraId="618C3DF9" w14:textId="77777777" w:rsidTr="00D469CA">
              <w:tc>
                <w:tcPr>
                  <w:tcW w:w="11911" w:type="dxa"/>
                </w:tcPr>
                <w:p w14:paraId="44B7FDB1" w14:textId="77777777" w:rsidR="00D469CA" w:rsidRDefault="00D469CA" w:rsidP="00552E55">
                  <w:pPr>
                    <w:rPr>
                      <w:sz w:val="18"/>
                      <w:szCs w:val="20"/>
                    </w:rPr>
                  </w:pPr>
                  <w:r>
                    <w:rPr>
                      <w:sz w:val="18"/>
                      <w:szCs w:val="20"/>
                    </w:rPr>
                    <w:t xml:space="preserve">TAS   </w:t>
                  </w:r>
                  <w:hyperlink r:id="rId26" w:history="1">
                    <w:r w:rsidRPr="00CB0754">
                      <w:rPr>
                        <w:rStyle w:val="Hyperlink"/>
                        <w:sz w:val="18"/>
                        <w:szCs w:val="20"/>
                      </w:rPr>
                      <w:t>Skills Tasmania, Department of State Growth</w:t>
                    </w:r>
                  </w:hyperlink>
                  <w:r>
                    <w:rPr>
                      <w:sz w:val="18"/>
                      <w:szCs w:val="20"/>
                    </w:rPr>
                    <w:t xml:space="preserve">, </w:t>
                  </w:r>
                  <w:r w:rsidRPr="00552E55">
                    <w:rPr>
                      <w:sz w:val="18"/>
                      <w:szCs w:val="20"/>
                    </w:rPr>
                    <w:t>Linda Seaborn, Skills Tasmania</w:t>
                  </w:r>
                </w:p>
              </w:tc>
            </w:tr>
          </w:tbl>
          <w:p w14:paraId="4E9ED50B" w14:textId="6A0DC5D2" w:rsidR="00D469CA" w:rsidRPr="00552E55" w:rsidRDefault="00D469CA" w:rsidP="00D469CA">
            <w:pPr>
              <w:rPr>
                <w:sz w:val="18"/>
                <w:szCs w:val="20"/>
              </w:rPr>
            </w:pPr>
          </w:p>
        </w:tc>
      </w:tr>
      <w:tr w:rsidR="00552E55" w:rsidRPr="00552E55" w14:paraId="1B44F043" w14:textId="77777777" w:rsidTr="006D4E2E">
        <w:tc>
          <w:tcPr>
            <w:tcW w:w="922" w:type="pct"/>
          </w:tcPr>
          <w:p w14:paraId="0282DDEA" w14:textId="77777777" w:rsidR="00552E55" w:rsidRPr="00552E55" w:rsidRDefault="00552E55" w:rsidP="000E6D26">
            <w:pPr>
              <w:rPr>
                <w:b/>
                <w:bCs/>
                <w:sz w:val="18"/>
                <w:szCs w:val="20"/>
              </w:rPr>
            </w:pPr>
            <w:r w:rsidRPr="00552E55">
              <w:rPr>
                <w:sz w:val="18"/>
                <w:szCs w:val="20"/>
              </w:rPr>
              <w:t>Relevant industry regulators and their representative cross jurisdictional organisations or committees</w:t>
            </w:r>
          </w:p>
        </w:tc>
        <w:tc>
          <w:tcPr>
            <w:tcW w:w="2255" w:type="pct"/>
          </w:tcPr>
          <w:p w14:paraId="71880730" w14:textId="77777777" w:rsidR="00552E55" w:rsidRPr="00552E55" w:rsidRDefault="00552E55" w:rsidP="00552E55">
            <w:pPr>
              <w:numPr>
                <w:ilvl w:val="0"/>
                <w:numId w:val="41"/>
              </w:numPr>
              <w:rPr>
                <w:sz w:val="18"/>
                <w:szCs w:val="20"/>
              </w:rPr>
            </w:pPr>
            <w:r w:rsidRPr="00552E55">
              <w:rPr>
                <w:sz w:val="18"/>
                <w:szCs w:val="20"/>
              </w:rPr>
              <w:t>Relevant State and Territory Health and Safety Regulators and Licensing Regulators</w:t>
            </w:r>
          </w:p>
          <w:p w14:paraId="0A88AA97" w14:textId="77777777" w:rsidR="00552E55" w:rsidRPr="00552E55" w:rsidRDefault="00552E55" w:rsidP="00552E55">
            <w:pPr>
              <w:numPr>
                <w:ilvl w:val="0"/>
                <w:numId w:val="41"/>
              </w:numPr>
              <w:rPr>
                <w:sz w:val="18"/>
                <w:szCs w:val="20"/>
              </w:rPr>
            </w:pPr>
            <w:r w:rsidRPr="00552E55">
              <w:rPr>
                <w:sz w:val="18"/>
                <w:szCs w:val="20"/>
              </w:rPr>
              <w:t>Australian Skills Quality Authority</w:t>
            </w:r>
          </w:p>
          <w:p w14:paraId="3805077F" w14:textId="77777777" w:rsidR="00552E55" w:rsidRPr="00552E55" w:rsidRDefault="00552E55" w:rsidP="000E6D26">
            <w:pPr>
              <w:rPr>
                <w:sz w:val="18"/>
                <w:szCs w:val="20"/>
              </w:rPr>
            </w:pPr>
          </w:p>
        </w:tc>
        <w:tc>
          <w:tcPr>
            <w:tcW w:w="1823" w:type="pct"/>
          </w:tcPr>
          <w:p w14:paraId="03F6468A" w14:textId="017228DC" w:rsidR="00552E55" w:rsidRDefault="00632A26" w:rsidP="000E6D26">
            <w:pPr>
              <w:pStyle w:val="ListParagraph"/>
              <w:ind w:left="360"/>
              <w:rPr>
                <w:sz w:val="18"/>
                <w:szCs w:val="20"/>
              </w:rPr>
            </w:pPr>
            <w:r>
              <w:rPr>
                <w:sz w:val="18"/>
                <w:szCs w:val="20"/>
              </w:rPr>
              <w:t>Department of Fair Trading NSW</w:t>
            </w:r>
          </w:p>
          <w:p w14:paraId="3A570885" w14:textId="77777777" w:rsidR="00632A26" w:rsidRDefault="00010ABF" w:rsidP="000E6D26">
            <w:pPr>
              <w:pStyle w:val="ListParagraph"/>
              <w:ind w:left="360"/>
              <w:rPr>
                <w:sz w:val="18"/>
                <w:szCs w:val="20"/>
              </w:rPr>
            </w:pPr>
            <w:r>
              <w:rPr>
                <w:sz w:val="18"/>
                <w:szCs w:val="20"/>
              </w:rPr>
              <w:t>Queensland Building and Construction Commission (QBCC)</w:t>
            </w:r>
          </w:p>
          <w:p w14:paraId="1A7387B0" w14:textId="77777777" w:rsidR="00010ABF" w:rsidRDefault="00010ABF" w:rsidP="000E6D26">
            <w:pPr>
              <w:pStyle w:val="ListParagraph"/>
              <w:ind w:left="360"/>
              <w:rPr>
                <w:sz w:val="18"/>
                <w:szCs w:val="20"/>
              </w:rPr>
            </w:pPr>
            <w:r>
              <w:rPr>
                <w:sz w:val="18"/>
                <w:szCs w:val="20"/>
              </w:rPr>
              <w:t>Victorian Building Authority (VBA)</w:t>
            </w:r>
          </w:p>
          <w:p w14:paraId="33FD6629" w14:textId="24B6EB1B" w:rsidR="00010ABF" w:rsidRPr="00552E55" w:rsidRDefault="00010ABF" w:rsidP="000E6D26">
            <w:pPr>
              <w:pStyle w:val="ListParagraph"/>
              <w:ind w:left="360"/>
              <w:rPr>
                <w:sz w:val="18"/>
                <w:szCs w:val="20"/>
              </w:rPr>
            </w:pPr>
            <w:r>
              <w:rPr>
                <w:sz w:val="18"/>
                <w:szCs w:val="20"/>
              </w:rPr>
              <w:t>Consumer and Bu</w:t>
            </w:r>
            <w:r w:rsidR="00710BB0">
              <w:rPr>
                <w:sz w:val="18"/>
                <w:szCs w:val="20"/>
              </w:rPr>
              <w:t>siness Services South Australia</w:t>
            </w:r>
          </w:p>
        </w:tc>
      </w:tr>
      <w:tr w:rsidR="00552E55" w:rsidRPr="00552E55" w14:paraId="5EAD4B7B" w14:textId="77777777" w:rsidTr="006D4E2E">
        <w:tc>
          <w:tcPr>
            <w:tcW w:w="922" w:type="pct"/>
          </w:tcPr>
          <w:p w14:paraId="3EC20B1D" w14:textId="77777777" w:rsidR="00552E55" w:rsidRPr="00552E55" w:rsidRDefault="00552E55" w:rsidP="000E6D26">
            <w:pPr>
              <w:rPr>
                <w:b/>
                <w:bCs/>
                <w:sz w:val="18"/>
                <w:szCs w:val="20"/>
              </w:rPr>
            </w:pPr>
            <w:r w:rsidRPr="00552E55">
              <w:rPr>
                <w:sz w:val="18"/>
                <w:szCs w:val="20"/>
              </w:rPr>
              <w:lastRenderedPageBreak/>
              <w:t xml:space="preserve">Registered Training Organisations (RTOs), RTO staff and RTO representative organisations </w:t>
            </w:r>
          </w:p>
        </w:tc>
        <w:tc>
          <w:tcPr>
            <w:tcW w:w="2255" w:type="pct"/>
          </w:tcPr>
          <w:p w14:paraId="35312A08" w14:textId="77777777" w:rsidR="00552E55" w:rsidRPr="00552E55" w:rsidRDefault="00552E55" w:rsidP="000E6D26">
            <w:pPr>
              <w:rPr>
                <w:sz w:val="18"/>
                <w:szCs w:val="20"/>
              </w:rPr>
            </w:pPr>
            <w:r w:rsidRPr="00552E55">
              <w:rPr>
                <w:sz w:val="18"/>
                <w:szCs w:val="20"/>
              </w:rPr>
              <w:t xml:space="preserve">See </w:t>
            </w:r>
            <w:hyperlink r:id="rId27" w:history="1">
              <w:r w:rsidRPr="00552E55">
                <w:rPr>
                  <w:rStyle w:val="Hyperlink"/>
                  <w:rFonts w:cstheme="minorHAnsi"/>
                  <w:sz w:val="18"/>
                  <w:szCs w:val="20"/>
                </w:rPr>
                <w:t>www.training.gov.au</w:t>
              </w:r>
            </w:hyperlink>
            <w:r w:rsidRPr="00552E55">
              <w:rPr>
                <w:sz w:val="18"/>
                <w:szCs w:val="20"/>
              </w:rPr>
              <w:t xml:space="preserve"> </w:t>
            </w:r>
          </w:p>
          <w:p w14:paraId="3A264E39" w14:textId="20244D1D" w:rsidR="00552E55" w:rsidRPr="00552E55" w:rsidRDefault="00552E55" w:rsidP="000E6D26">
            <w:pPr>
              <w:rPr>
                <w:sz w:val="18"/>
                <w:szCs w:val="20"/>
              </w:rPr>
            </w:pPr>
            <w:r w:rsidRPr="00552E55">
              <w:rPr>
                <w:sz w:val="18"/>
                <w:szCs w:val="20"/>
              </w:rPr>
              <w:t xml:space="preserve">All RTOs that have </w:t>
            </w:r>
            <w:r w:rsidR="00221D3B">
              <w:rPr>
                <w:sz w:val="18"/>
                <w:szCs w:val="20"/>
              </w:rPr>
              <w:t>painting and decorating</w:t>
            </w:r>
            <w:r w:rsidRPr="00552E55">
              <w:rPr>
                <w:sz w:val="18"/>
                <w:szCs w:val="20"/>
              </w:rPr>
              <w:t xml:space="preserve"> on their scope.</w:t>
            </w:r>
          </w:p>
          <w:p w14:paraId="6A93A7F6" w14:textId="77777777" w:rsidR="00552E55" w:rsidRPr="00552E55" w:rsidRDefault="00552E55" w:rsidP="000E6D26">
            <w:pPr>
              <w:rPr>
                <w:sz w:val="18"/>
                <w:szCs w:val="20"/>
              </w:rPr>
            </w:pPr>
          </w:p>
          <w:p w14:paraId="3D9F7E9B" w14:textId="2CA60068" w:rsidR="00552E55" w:rsidRPr="00552E55" w:rsidRDefault="00552E55" w:rsidP="000E6D26">
            <w:pPr>
              <w:rPr>
                <w:sz w:val="18"/>
                <w:szCs w:val="20"/>
              </w:rPr>
            </w:pPr>
            <w:r w:rsidRPr="00552E55">
              <w:rPr>
                <w:sz w:val="18"/>
                <w:szCs w:val="20"/>
              </w:rPr>
              <w:t xml:space="preserve">Direct Interest – all RTOs currently delivering CPC certification in </w:t>
            </w:r>
            <w:r w:rsidR="00221D3B">
              <w:rPr>
                <w:sz w:val="18"/>
                <w:szCs w:val="20"/>
              </w:rPr>
              <w:t xml:space="preserve">Painting and Decorating, </w:t>
            </w:r>
            <w:r w:rsidRPr="00552E55">
              <w:rPr>
                <w:sz w:val="18"/>
                <w:szCs w:val="20"/>
              </w:rPr>
              <w:t>and the Training Package qualifications within their scope of registration.</w:t>
            </w:r>
          </w:p>
          <w:p w14:paraId="2AC8CBEA" w14:textId="77777777" w:rsidR="00552E55" w:rsidRPr="00552E55" w:rsidRDefault="00552E55" w:rsidP="000E6D26">
            <w:pPr>
              <w:rPr>
                <w:sz w:val="18"/>
                <w:szCs w:val="20"/>
              </w:rPr>
            </w:pPr>
          </w:p>
        </w:tc>
        <w:tc>
          <w:tcPr>
            <w:tcW w:w="1823" w:type="pct"/>
          </w:tcPr>
          <w:p w14:paraId="74438E0C" w14:textId="5884904B" w:rsidR="00552E55" w:rsidRPr="00552E55" w:rsidRDefault="00710BB0" w:rsidP="0081555B">
            <w:pPr>
              <w:rPr>
                <w:sz w:val="18"/>
                <w:szCs w:val="20"/>
              </w:rPr>
            </w:pPr>
            <w:r>
              <w:rPr>
                <w:sz w:val="18"/>
                <w:szCs w:val="20"/>
              </w:rPr>
              <w:t>Refer to table above</w:t>
            </w:r>
          </w:p>
        </w:tc>
      </w:tr>
      <w:tr w:rsidR="00552E55" w:rsidRPr="00552E55" w14:paraId="23CC670F" w14:textId="77777777" w:rsidTr="006D4E2E">
        <w:tc>
          <w:tcPr>
            <w:tcW w:w="922" w:type="pct"/>
          </w:tcPr>
          <w:p w14:paraId="3935A7E4" w14:textId="77777777" w:rsidR="00552E55" w:rsidRPr="00552E55" w:rsidRDefault="00552E55" w:rsidP="000E6D26">
            <w:pPr>
              <w:rPr>
                <w:b/>
                <w:bCs/>
                <w:sz w:val="18"/>
                <w:szCs w:val="20"/>
              </w:rPr>
            </w:pPr>
            <w:r w:rsidRPr="00552E55">
              <w:rPr>
                <w:sz w:val="18"/>
                <w:szCs w:val="20"/>
              </w:rPr>
              <w:t xml:space="preserve">Law enforcement bodies </w:t>
            </w:r>
          </w:p>
        </w:tc>
        <w:tc>
          <w:tcPr>
            <w:tcW w:w="2255" w:type="pct"/>
          </w:tcPr>
          <w:p w14:paraId="5A76B97B" w14:textId="77777777" w:rsidR="00552E55" w:rsidRPr="00552E55" w:rsidRDefault="00552E55" w:rsidP="00552E55">
            <w:pPr>
              <w:numPr>
                <w:ilvl w:val="0"/>
                <w:numId w:val="40"/>
              </w:numPr>
              <w:rPr>
                <w:sz w:val="18"/>
                <w:szCs w:val="20"/>
              </w:rPr>
            </w:pPr>
            <w:r w:rsidRPr="00552E55">
              <w:rPr>
                <w:sz w:val="18"/>
                <w:szCs w:val="20"/>
              </w:rPr>
              <w:t>State and Territory VET Regulators</w:t>
            </w:r>
          </w:p>
          <w:p w14:paraId="17B693DB" w14:textId="77777777" w:rsidR="00552E55" w:rsidRPr="00552E55" w:rsidRDefault="00552E55" w:rsidP="00552E55">
            <w:pPr>
              <w:numPr>
                <w:ilvl w:val="0"/>
                <w:numId w:val="40"/>
              </w:numPr>
              <w:rPr>
                <w:sz w:val="18"/>
                <w:szCs w:val="20"/>
              </w:rPr>
            </w:pPr>
            <w:r w:rsidRPr="00552E55">
              <w:rPr>
                <w:sz w:val="18"/>
                <w:szCs w:val="20"/>
              </w:rPr>
              <w:t>Australian Skills Quality Authority</w:t>
            </w:r>
          </w:p>
          <w:p w14:paraId="5252E8D0" w14:textId="77777777" w:rsidR="00552E55" w:rsidRPr="00552E55" w:rsidRDefault="00552E55" w:rsidP="00552E55">
            <w:pPr>
              <w:numPr>
                <w:ilvl w:val="0"/>
                <w:numId w:val="40"/>
              </w:numPr>
              <w:rPr>
                <w:sz w:val="18"/>
                <w:szCs w:val="20"/>
              </w:rPr>
            </w:pPr>
            <w:r w:rsidRPr="00552E55">
              <w:rPr>
                <w:sz w:val="18"/>
                <w:szCs w:val="20"/>
              </w:rPr>
              <w:t>Victorian Registration and Qualifications Authority</w:t>
            </w:r>
          </w:p>
          <w:p w14:paraId="51BA4C80" w14:textId="77777777" w:rsidR="00552E55" w:rsidRPr="00552E55" w:rsidRDefault="00552E55" w:rsidP="00552E55">
            <w:pPr>
              <w:numPr>
                <w:ilvl w:val="0"/>
                <w:numId w:val="40"/>
              </w:numPr>
              <w:rPr>
                <w:sz w:val="18"/>
                <w:szCs w:val="20"/>
              </w:rPr>
            </w:pPr>
            <w:r w:rsidRPr="00552E55">
              <w:rPr>
                <w:sz w:val="18"/>
                <w:szCs w:val="20"/>
              </w:rPr>
              <w:t>Training and Accreditation Council Western Australia</w:t>
            </w:r>
          </w:p>
        </w:tc>
        <w:tc>
          <w:tcPr>
            <w:tcW w:w="1823" w:type="pct"/>
          </w:tcPr>
          <w:p w14:paraId="7315BBA4" w14:textId="77777777" w:rsidR="00552E55" w:rsidRPr="00552E55" w:rsidRDefault="00552E55" w:rsidP="000E6D26">
            <w:pPr>
              <w:rPr>
                <w:sz w:val="18"/>
                <w:szCs w:val="20"/>
              </w:rPr>
            </w:pPr>
          </w:p>
        </w:tc>
      </w:tr>
    </w:tbl>
    <w:p w14:paraId="78998360" w14:textId="77777777" w:rsidR="00E34398" w:rsidRDefault="00E34398" w:rsidP="008068D6">
      <w:pPr>
        <w:spacing w:after="0" w:line="240" w:lineRule="auto"/>
        <w:rPr>
          <w:rFonts w:ascii="Calibri Light" w:eastAsiaTheme="majorEastAsia" w:hAnsi="Calibri Light" w:cstheme="majorBidi"/>
          <w:b/>
          <w:color w:val="808080" w:themeColor="background1" w:themeShade="80"/>
          <w:sz w:val="32"/>
          <w:szCs w:val="32"/>
        </w:rPr>
        <w:sectPr w:rsidR="00E34398" w:rsidSect="00285845">
          <w:pgSz w:w="16838" w:h="11906" w:orient="landscape"/>
          <w:pgMar w:top="1440" w:right="1440" w:bottom="1440" w:left="1440" w:header="708" w:footer="708" w:gutter="0"/>
          <w:cols w:space="708"/>
          <w:docGrid w:linePitch="360"/>
        </w:sectPr>
      </w:pPr>
    </w:p>
    <w:p w14:paraId="5B6B5714" w14:textId="3B080CAA" w:rsidR="00E34398" w:rsidRDefault="00E34398" w:rsidP="0058585E">
      <w:pPr>
        <w:pStyle w:val="Heading2"/>
      </w:pPr>
      <w:bookmarkStart w:id="88" w:name="_Toc496460809"/>
      <w:r>
        <w:lastRenderedPageBreak/>
        <w:t xml:space="preserve">Appendix </w:t>
      </w:r>
      <w:r w:rsidR="003F6A87">
        <w:t>B</w:t>
      </w:r>
      <w:r w:rsidR="004504A3">
        <w:t>: Project Register Stakeholder Feedback</w:t>
      </w:r>
      <w:bookmarkEnd w:id="88"/>
    </w:p>
    <w:p w14:paraId="3984716B" w14:textId="3C4AA552" w:rsidR="00E34398" w:rsidRDefault="0058585E" w:rsidP="0049563C">
      <w:pPr>
        <w:pStyle w:val="Heading3"/>
      </w:pPr>
      <w:bookmarkStart w:id="89" w:name="_Toc496460810"/>
      <w:r>
        <w:t xml:space="preserve">MPA </w:t>
      </w:r>
      <w:r w:rsidR="00E34398">
        <w:t xml:space="preserve">Stakeholder </w:t>
      </w:r>
      <w:r>
        <w:t xml:space="preserve">Unit Review </w:t>
      </w:r>
      <w:r w:rsidR="00E34398">
        <w:t>Feedback</w:t>
      </w:r>
      <w:bookmarkEnd w:id="89"/>
    </w:p>
    <w:tbl>
      <w:tblPr>
        <w:tblStyle w:val="TableGrid"/>
        <w:tblW w:w="0" w:type="auto"/>
        <w:tblLook w:val="04A0" w:firstRow="1" w:lastRow="0" w:firstColumn="1" w:lastColumn="0" w:noHBand="0" w:noVBand="1"/>
      </w:tblPr>
      <w:tblGrid>
        <w:gridCol w:w="9016"/>
      </w:tblGrid>
      <w:tr w:rsidR="0057758F" w14:paraId="3E90921E" w14:textId="77777777" w:rsidTr="00E34398">
        <w:tc>
          <w:tcPr>
            <w:tcW w:w="9016" w:type="dxa"/>
          </w:tcPr>
          <w:p w14:paraId="5893F0FA" w14:textId="1644E6A3" w:rsidR="0057758F" w:rsidRPr="00E34398" w:rsidRDefault="0057758F" w:rsidP="00E34398">
            <w:r w:rsidRPr="0057758F">
              <w:t>CPCCPD2011A Handle painting and decorating materials</w:t>
            </w:r>
          </w:p>
        </w:tc>
      </w:tr>
      <w:tr w:rsidR="0057758F" w14:paraId="520C4D9D" w14:textId="77777777" w:rsidTr="00E34398">
        <w:tc>
          <w:tcPr>
            <w:tcW w:w="9016" w:type="dxa"/>
          </w:tcPr>
          <w:p w14:paraId="537759D5" w14:textId="77777777" w:rsidR="0057758F" w:rsidRDefault="0057758F" w:rsidP="0057758F">
            <w:pPr>
              <w:pStyle w:val="ListParagraph"/>
              <w:numPr>
                <w:ilvl w:val="0"/>
                <w:numId w:val="22"/>
              </w:numPr>
            </w:pPr>
            <w:r>
              <w:t xml:space="preserve">Elements 2 and 3 have the same title: Identify, </w:t>
            </w:r>
            <w:proofErr w:type="gramStart"/>
            <w:r>
              <w:t>handle</w:t>
            </w:r>
            <w:proofErr w:type="gramEnd"/>
            <w:r>
              <w:t xml:space="preserve"> and store painting and decorating materials.  </w:t>
            </w:r>
          </w:p>
          <w:p w14:paraId="24BE32F2" w14:textId="77777777" w:rsidR="0057758F" w:rsidRDefault="0057758F" w:rsidP="0057758F">
            <w:pPr>
              <w:pStyle w:val="ListParagraph"/>
              <w:numPr>
                <w:ilvl w:val="0"/>
                <w:numId w:val="22"/>
              </w:numPr>
            </w:pPr>
            <w:r>
              <w:t>Element 2 covers the identify and handle portion where Element 3 is about storage. They should either be merged together to create 1 element or separated into:</w:t>
            </w:r>
          </w:p>
          <w:p w14:paraId="2FB53D57" w14:textId="77777777" w:rsidR="0057758F" w:rsidRDefault="0057758F" w:rsidP="0057758F">
            <w:pPr>
              <w:pStyle w:val="ListParagraph"/>
              <w:numPr>
                <w:ilvl w:val="0"/>
                <w:numId w:val="22"/>
              </w:numPr>
            </w:pPr>
            <w:r>
              <w:t>Element 2 – Identify and handle painting and decorating materials</w:t>
            </w:r>
          </w:p>
          <w:p w14:paraId="264C23F6" w14:textId="56FEFAC3" w:rsidR="0057758F" w:rsidRPr="00E34398" w:rsidRDefault="0057758F" w:rsidP="0057758F">
            <w:pPr>
              <w:pStyle w:val="ListParagraph"/>
              <w:numPr>
                <w:ilvl w:val="0"/>
                <w:numId w:val="22"/>
              </w:numPr>
            </w:pPr>
            <w:r>
              <w:t>Element 3 – Store painting and decorating materials</w:t>
            </w:r>
          </w:p>
        </w:tc>
      </w:tr>
      <w:tr w:rsidR="0057758F" w14:paraId="392A18FF" w14:textId="77777777" w:rsidTr="00E34398">
        <w:tc>
          <w:tcPr>
            <w:tcW w:w="9016" w:type="dxa"/>
          </w:tcPr>
          <w:p w14:paraId="5D7A5560" w14:textId="0C2E596C" w:rsidR="0057758F" w:rsidRPr="00E34398" w:rsidRDefault="0057758F" w:rsidP="00E34398">
            <w:r w:rsidRPr="0057758F">
              <w:t>CPCCPD2012A Use painting and decorating tools and equipment</w:t>
            </w:r>
          </w:p>
        </w:tc>
      </w:tr>
      <w:tr w:rsidR="0057758F" w14:paraId="27A3E80D" w14:textId="77777777" w:rsidTr="00E34398">
        <w:tc>
          <w:tcPr>
            <w:tcW w:w="9016" w:type="dxa"/>
          </w:tcPr>
          <w:p w14:paraId="2CE6701A" w14:textId="77777777" w:rsidR="0057758F" w:rsidRDefault="0057758F" w:rsidP="0057758F">
            <w:r>
              <w:t xml:space="preserve">One of the critical aspects for this unit is to: </w:t>
            </w:r>
          </w:p>
          <w:p w14:paraId="1F675669" w14:textId="68CCB98F" w:rsidR="0057758F" w:rsidRDefault="0057758F" w:rsidP="0057758F">
            <w:pPr>
              <w:pStyle w:val="ListParagraph"/>
              <w:numPr>
                <w:ilvl w:val="0"/>
                <w:numId w:val="23"/>
              </w:numPr>
            </w:pPr>
            <w:r>
              <w:t>Use, operate and maintain conventional and airless spray equipment</w:t>
            </w:r>
          </w:p>
          <w:p w14:paraId="5A6AC020" w14:textId="77777777" w:rsidR="0057758F" w:rsidRDefault="0057758F" w:rsidP="0057758F">
            <w:pPr>
              <w:pStyle w:val="ListParagraph"/>
              <w:ind w:left="1080"/>
            </w:pPr>
            <w:r>
              <w:t>We feel that as a level 2 unit, the use of spray equipment, particularly airless, is quite dangerous and beyond the capabilities of a new student (</w:t>
            </w:r>
            <w:proofErr w:type="spellStart"/>
            <w:r>
              <w:t>eg</w:t>
            </w:r>
            <w:proofErr w:type="spellEnd"/>
            <w:r>
              <w:t xml:space="preserve"> Pre-App or 1st year apprentice).  There is a high risk of fluid injection when using these machines which can lead to some very serious injuries and spray equipment can also be very fragile and expensive to replace.  On top of this the time allocation for this unit to encompass for a student to learn to operate, use &amp; maintain such equipment on top of the other requirements is unrealistic. </w:t>
            </w:r>
          </w:p>
          <w:p w14:paraId="4C597E7D" w14:textId="77777777" w:rsidR="0057758F" w:rsidRDefault="0057758F" w:rsidP="0057758F">
            <w:pPr>
              <w:pStyle w:val="ListParagraph"/>
              <w:numPr>
                <w:ilvl w:val="0"/>
                <w:numId w:val="23"/>
              </w:numPr>
            </w:pPr>
            <w:r>
              <w:t>There is a dedicated spray unit (CPCCPD3024A) where students learn the use of this equipment at a more appropriate time in their apprenticeship (</w:t>
            </w:r>
            <w:proofErr w:type="spellStart"/>
            <w:r>
              <w:t>ie</w:t>
            </w:r>
            <w:proofErr w:type="spellEnd"/>
            <w:r>
              <w:t xml:space="preserve"> 2nd or 3rd year) &amp; as such it is not required to be “buddied up/included” in the CPCCPD2012A unit.  We feel that the inclusion of spray units should be removed from the CPCCPD2012A unit altogether.  </w:t>
            </w:r>
          </w:p>
          <w:p w14:paraId="2ABB2AC5" w14:textId="77777777" w:rsidR="0057758F" w:rsidRDefault="0057758F" w:rsidP="0057758F">
            <w:pPr>
              <w:pStyle w:val="ListParagraph"/>
              <w:numPr>
                <w:ilvl w:val="0"/>
                <w:numId w:val="23"/>
              </w:numPr>
            </w:pPr>
            <w:r>
              <w:t>We also feel that the use of power washing/water blasting equipment is a more appropriate inclusion in the above unit as this equipment is often used in preparing surfaces in our industry and should be included in the assessment conditions, not just as an afterthought in the range statement.</w:t>
            </w:r>
          </w:p>
          <w:p w14:paraId="182D946D" w14:textId="6D4A4889" w:rsidR="0057758F" w:rsidRPr="00E34398" w:rsidRDefault="0057758F" w:rsidP="0057758F">
            <w:pPr>
              <w:pStyle w:val="ListParagraph"/>
              <w:numPr>
                <w:ilvl w:val="0"/>
                <w:numId w:val="23"/>
              </w:numPr>
            </w:pPr>
            <w:r>
              <w:t>critical aspects:</w:t>
            </w:r>
            <w:r>
              <w:tab/>
              <w:t xml:space="preserve">Use and maintain the mandatory tools listed in the range statement. There are no ‘mandatory’ tools listed in the range </w:t>
            </w:r>
            <w:proofErr w:type="gramStart"/>
            <w:r>
              <w:t>statement?..</w:t>
            </w:r>
            <w:proofErr w:type="gramEnd"/>
            <w:r>
              <w:t xml:space="preserve"> there is however a ‘Tools and Equipment include:’.  This includes equipment like mechanical sanders and contradicts another of the critical aspects: Use and maintain at least two of the mechanical sanding equipment types listed in the range statement</w:t>
            </w:r>
          </w:p>
        </w:tc>
      </w:tr>
      <w:tr w:rsidR="00E34398" w14:paraId="376521F9" w14:textId="77777777" w:rsidTr="00E34398">
        <w:tc>
          <w:tcPr>
            <w:tcW w:w="9016" w:type="dxa"/>
          </w:tcPr>
          <w:p w14:paraId="61A5F998" w14:textId="50BFE3BF" w:rsidR="00E34398" w:rsidRDefault="00E34398" w:rsidP="00E34398">
            <w:r w:rsidRPr="00E34398">
              <w:t>CPCCPD3021A Prepare surfaces for painting</w:t>
            </w:r>
          </w:p>
        </w:tc>
      </w:tr>
      <w:tr w:rsidR="00E34398" w14:paraId="3368B645" w14:textId="77777777" w:rsidTr="00E34398">
        <w:tc>
          <w:tcPr>
            <w:tcW w:w="9016" w:type="dxa"/>
          </w:tcPr>
          <w:p w14:paraId="2F5510C6" w14:textId="3B250E5C" w:rsidR="00E34398" w:rsidRDefault="00E34398" w:rsidP="00E34398">
            <w:r>
              <w:t>critical aspects:</w:t>
            </w:r>
          </w:p>
          <w:p w14:paraId="6D7139BE" w14:textId="4E7E6AD4" w:rsidR="00E34398" w:rsidRDefault="00E34398" w:rsidP="00E34398">
            <w:r>
              <w:t>Prepare a minimum of four surfaces for painting to specification:</w:t>
            </w:r>
          </w:p>
          <w:p w14:paraId="2BC1289C" w14:textId="0E10064B" w:rsidR="00E34398" w:rsidRDefault="00E34398" w:rsidP="00E34398">
            <w:pPr>
              <w:pStyle w:val="ListParagraph"/>
              <w:numPr>
                <w:ilvl w:val="0"/>
                <w:numId w:val="15"/>
              </w:numPr>
              <w:ind w:left="743"/>
            </w:pPr>
            <w:r>
              <w:t>one being a new gyprock surface of a minimum 8 square metres and one new surface of a minimum of 1 square metre or 8 lineal metres</w:t>
            </w:r>
          </w:p>
          <w:p w14:paraId="2C3FA271" w14:textId="7132991D" w:rsidR="00E34398" w:rsidRDefault="00E34398" w:rsidP="00E34398">
            <w:pPr>
              <w:pStyle w:val="ListParagraph"/>
              <w:ind w:left="743"/>
            </w:pPr>
            <w:r>
              <w:t>three being previously coated surfaces with one being an external timber surface, one an internal surface and one a metal or masonry surface</w:t>
            </w:r>
          </w:p>
          <w:p w14:paraId="2047A49E" w14:textId="4E0771FA" w:rsidR="00E34398" w:rsidRDefault="00E34398" w:rsidP="00E34398">
            <w:pPr>
              <w:pStyle w:val="ListParagraph"/>
            </w:pPr>
            <w:r>
              <w:t xml:space="preserve">In Western Australia the main construction material we paint is hard set plaster walls, not “gyprock” (gyprock is </w:t>
            </w:r>
            <w:proofErr w:type="gramStart"/>
            <w:r>
              <w:t>actually a</w:t>
            </w:r>
            <w:proofErr w:type="gramEnd"/>
            <w:r>
              <w:t xml:space="preserve"> “brand name” for plasterboard).  The preparation of a new gyprock surface involves checking that the joins are flush, sweeping/dusting down the surface &amp; applying an appropriate sealer.  The requirement is also that each student must prepare 8 square metres of (new) gyprock…To continually find/build new gyprock surfaces would be a very costly exercise when you run multiple classes of 15 students doing this unit over a year. I would not imagine any RTO could continually supply/install new gyprock surfaces for each student each time this unit was run.</w:t>
            </w:r>
          </w:p>
          <w:p w14:paraId="7782F386" w14:textId="77777777" w:rsidR="00E34398" w:rsidRDefault="00E34398" w:rsidP="00E34398">
            <w:pPr>
              <w:pStyle w:val="ListParagraph"/>
              <w:numPr>
                <w:ilvl w:val="0"/>
                <w:numId w:val="16"/>
              </w:numPr>
              <w:ind w:hanging="720"/>
            </w:pPr>
            <w:r>
              <w:lastRenderedPageBreak/>
              <w:t xml:space="preserve">There are many surfaces that can be prepared in a similar way as above and feel that the word gyprock should be removed from this critical </w:t>
            </w:r>
            <w:proofErr w:type="gramStart"/>
            <w:r>
              <w:t>aspect</w:t>
            </w:r>
            <w:proofErr w:type="gramEnd"/>
            <w:r>
              <w:t xml:space="preserve"> so it simply states:  one being a new surface of a minimum 8 square metres. (as such, other wall substrates could be prepared rather than only gyprock)</w:t>
            </w:r>
          </w:p>
          <w:p w14:paraId="75C5495F" w14:textId="503898EE" w:rsidR="00E34398" w:rsidRDefault="00E34398" w:rsidP="00E34398">
            <w:r>
              <w:t>critical aspect:</w:t>
            </w:r>
          </w:p>
          <w:p w14:paraId="1BF0BD41" w14:textId="4C0570B4" w:rsidR="00E34398" w:rsidRDefault="00E34398" w:rsidP="00E34398">
            <w:r>
              <w:t xml:space="preserve"> Remove wallpaper from a room, cubicle or equivalent and prepare the surface for painting</w:t>
            </w:r>
          </w:p>
          <w:p w14:paraId="144D6067" w14:textId="77777777" w:rsidR="00E34398" w:rsidRDefault="00E34398" w:rsidP="00E34398">
            <w:pPr>
              <w:pStyle w:val="ListParagraph"/>
              <w:numPr>
                <w:ilvl w:val="0"/>
                <w:numId w:val="15"/>
              </w:numPr>
            </w:pPr>
            <w:r>
              <w:t>While we feel that this is an important part of preparing a surface, this however should be included in the specific wallpaper unit itself.  The Prepare Surfaces for Painting unit is one that is covered early on the qualification and from a logistical standpoint, having to hang wallpaper so each student can strip a room or cubicle each becomes very costly and time consuming when they can do this exact activity during the specific wallpaper unit.</w:t>
            </w:r>
          </w:p>
          <w:p w14:paraId="3DD51A8F" w14:textId="777814CC" w:rsidR="00E34398" w:rsidRDefault="00E34398" w:rsidP="00E34398">
            <w:pPr>
              <w:pStyle w:val="ListParagraph"/>
              <w:numPr>
                <w:ilvl w:val="0"/>
                <w:numId w:val="15"/>
              </w:numPr>
            </w:pPr>
            <w:r>
              <w:t>I don’t think anyone in the industry would be completing the “Prep surfaces” unit as a stand-alone unit without completing the Wallpaper unit at a later stage so this task would be done/assessed during the apprenticeship anyway.</w:t>
            </w:r>
          </w:p>
        </w:tc>
      </w:tr>
      <w:tr w:rsidR="00E34398" w14:paraId="55011D9D" w14:textId="77777777" w:rsidTr="00E34398">
        <w:tc>
          <w:tcPr>
            <w:tcW w:w="9016" w:type="dxa"/>
          </w:tcPr>
          <w:p w14:paraId="53253222" w14:textId="460EC93A" w:rsidR="00E34398" w:rsidRDefault="00E34398" w:rsidP="00E34398">
            <w:r w:rsidRPr="00E34398">
              <w:lastRenderedPageBreak/>
              <w:t>CPCCPD3022A Apply paint by brush and roller</w:t>
            </w:r>
          </w:p>
        </w:tc>
      </w:tr>
      <w:tr w:rsidR="00E34398" w14:paraId="124CB846" w14:textId="77777777" w:rsidTr="00E34398">
        <w:tc>
          <w:tcPr>
            <w:tcW w:w="9016" w:type="dxa"/>
          </w:tcPr>
          <w:p w14:paraId="41389CE8" w14:textId="77777777" w:rsidR="00E34398" w:rsidRDefault="00E34398" w:rsidP="00E34398">
            <w:r>
              <w:t>Element 2 – Prepare work area and materials</w:t>
            </w:r>
          </w:p>
          <w:p w14:paraId="7105FDB7" w14:textId="3F6DF5E2" w:rsidR="00E34398" w:rsidRDefault="00E34398" w:rsidP="00E34398">
            <w:pPr>
              <w:pStyle w:val="ListParagraph"/>
              <w:numPr>
                <w:ilvl w:val="0"/>
                <w:numId w:val="17"/>
              </w:numPr>
            </w:pPr>
            <w:r>
              <w:t xml:space="preserve">PC 2.7. Correct amounts of paint material are prepared to specified ratio and drying time in accordance with manufacturer recommendations and specifications </w:t>
            </w:r>
            <w:proofErr w:type="gramStart"/>
            <w:r>
              <w:t>The</w:t>
            </w:r>
            <w:proofErr w:type="gramEnd"/>
            <w:r>
              <w:t xml:space="preserve"> drying time of the paint doesn’t fit in here as this element is before paint has even been applied to the surface.</w:t>
            </w:r>
          </w:p>
          <w:p w14:paraId="0DE35443" w14:textId="77777777" w:rsidR="00E34398" w:rsidRDefault="00E34398" w:rsidP="00E34398">
            <w:r>
              <w:t>Element 4 – Finish the application</w:t>
            </w:r>
          </w:p>
          <w:p w14:paraId="65244EB4" w14:textId="77777777" w:rsidR="00E34398" w:rsidRDefault="00E34398" w:rsidP="00E34398">
            <w:pPr>
              <w:pStyle w:val="ListParagraph"/>
              <w:numPr>
                <w:ilvl w:val="0"/>
                <w:numId w:val="18"/>
              </w:numPr>
            </w:pPr>
            <w:r>
              <w:t>PC 4.1. Finished paint surface is cured using curing method in accordance with manufacturer recommendations and job specifications.</w:t>
            </w:r>
          </w:p>
          <w:p w14:paraId="3CEC2A5B" w14:textId="77777777" w:rsidR="00E34398" w:rsidRDefault="00E34398" w:rsidP="00E34398">
            <w:pPr>
              <w:pStyle w:val="ListParagraph"/>
              <w:numPr>
                <w:ilvl w:val="0"/>
                <w:numId w:val="18"/>
              </w:numPr>
            </w:pPr>
            <w:r>
              <w:t>PC 4.2. Finished paint surface is tested using testing procedures in accordance with manufacturer recommendations and job specifications</w:t>
            </w:r>
          </w:p>
          <w:p w14:paraId="26D9F304" w14:textId="3D290588" w:rsidR="00E34398" w:rsidRDefault="00E34398" w:rsidP="0057758F">
            <w:pPr>
              <w:pStyle w:val="ListParagraph"/>
              <w:numPr>
                <w:ilvl w:val="0"/>
                <w:numId w:val="18"/>
              </w:numPr>
            </w:pPr>
            <w:r>
              <w:t xml:space="preserve">These don’t seem to fit and could be tweaked.  Curing is when the paint </w:t>
            </w:r>
            <w:proofErr w:type="gramStart"/>
            <w:r>
              <w:t>hardens</w:t>
            </w:r>
            <w:proofErr w:type="gramEnd"/>
            <w:r>
              <w:t xml:space="preserve"> and we don’t understand how you would select a ‘curing method’ let alone assess a student on this?  The curing process is not an activity that a student </w:t>
            </w:r>
            <w:proofErr w:type="gramStart"/>
            <w:r>
              <w:t>actually completes</w:t>
            </w:r>
            <w:proofErr w:type="gramEnd"/>
            <w:r>
              <w:t xml:space="preserve"> though we appreciate that knowledge of curing methods needs to be covered in this unit.  Also in 4.2, the finished paint surface is tested references a wet film gauge in the range statement.  This tool needs to be used on wet paint and will not work on cured paint.  Element 4.2 could be combined with, or placed after Element 3.1.</w:t>
            </w:r>
          </w:p>
        </w:tc>
      </w:tr>
      <w:tr w:rsidR="00E34398" w14:paraId="2D2405B7" w14:textId="77777777" w:rsidTr="00E34398">
        <w:tc>
          <w:tcPr>
            <w:tcW w:w="9016" w:type="dxa"/>
          </w:tcPr>
          <w:p w14:paraId="24460469" w14:textId="7CD7A667" w:rsidR="00E34398" w:rsidRDefault="00EB3A76" w:rsidP="00E34398">
            <w:r w:rsidRPr="00EB3A76">
              <w:t>CPCCPD3030B Apply protective paint coating systems</w:t>
            </w:r>
          </w:p>
        </w:tc>
      </w:tr>
      <w:tr w:rsidR="00E34398" w14:paraId="33D5DBF7" w14:textId="77777777" w:rsidTr="00E34398">
        <w:tc>
          <w:tcPr>
            <w:tcW w:w="9016" w:type="dxa"/>
          </w:tcPr>
          <w:p w14:paraId="59FC0197" w14:textId="7C3611DF" w:rsidR="00E34398" w:rsidRDefault="00EB3A76" w:rsidP="00EB3A76">
            <w:pPr>
              <w:pStyle w:val="ListParagraph"/>
              <w:numPr>
                <w:ilvl w:val="0"/>
                <w:numId w:val="19"/>
              </w:numPr>
            </w:pPr>
            <w:r w:rsidRPr="00EB3A76">
              <w:t>The paint coatings in the range statement can be updated with more protective coatings than the 4 listed.</w:t>
            </w:r>
          </w:p>
        </w:tc>
      </w:tr>
      <w:tr w:rsidR="00E34398" w14:paraId="5E74E566" w14:textId="77777777" w:rsidTr="00E34398">
        <w:tc>
          <w:tcPr>
            <w:tcW w:w="9016" w:type="dxa"/>
          </w:tcPr>
          <w:p w14:paraId="2E6471F7" w14:textId="7D92B3DB" w:rsidR="00E34398" w:rsidRDefault="00EB3A76" w:rsidP="00E34398">
            <w:r w:rsidRPr="00EB3A76">
              <w:t>CPCCPD3032A Apply advanced wallpaper techniques</w:t>
            </w:r>
          </w:p>
        </w:tc>
      </w:tr>
      <w:tr w:rsidR="00E34398" w14:paraId="74C1F90C" w14:textId="77777777" w:rsidTr="00E34398">
        <w:tc>
          <w:tcPr>
            <w:tcW w:w="9016" w:type="dxa"/>
          </w:tcPr>
          <w:p w14:paraId="45915DA2" w14:textId="4A4A7A3D" w:rsidR="00E34398" w:rsidRDefault="00EB3A76" w:rsidP="00EB3A76">
            <w:pPr>
              <w:pStyle w:val="ListParagraph"/>
              <w:numPr>
                <w:ilvl w:val="0"/>
                <w:numId w:val="19"/>
              </w:numPr>
            </w:pPr>
            <w:r w:rsidRPr="00EB3A76">
              <w:t>There is no Element 5.  The unit skips from Element 4 to Element 6.</w:t>
            </w:r>
          </w:p>
        </w:tc>
      </w:tr>
      <w:tr w:rsidR="00EB3A76" w14:paraId="33D236C5" w14:textId="77777777" w:rsidTr="00E34398">
        <w:tc>
          <w:tcPr>
            <w:tcW w:w="9016" w:type="dxa"/>
          </w:tcPr>
          <w:p w14:paraId="55839404" w14:textId="18BA7319" w:rsidR="00EB3A76" w:rsidRPr="00EB3A76" w:rsidRDefault="00EB3A76" w:rsidP="00EB3A76">
            <w:r w:rsidRPr="00EB3A76">
              <w:t>CPCCPD3034A Apply advanced decorative paint finishes</w:t>
            </w:r>
          </w:p>
        </w:tc>
      </w:tr>
      <w:tr w:rsidR="00EB3A76" w14:paraId="23275B44" w14:textId="77777777" w:rsidTr="00E34398">
        <w:tc>
          <w:tcPr>
            <w:tcW w:w="9016" w:type="dxa"/>
          </w:tcPr>
          <w:p w14:paraId="725CA781" w14:textId="77777777" w:rsidR="00EB3A76" w:rsidRDefault="00EB3A76" w:rsidP="00EB3A76">
            <w:r>
              <w:t>In Element 6 – ‘Apply advanced lining and special finishes and techniques’</w:t>
            </w:r>
          </w:p>
          <w:p w14:paraId="6792E22B" w14:textId="77777777" w:rsidR="00EB3A76" w:rsidRDefault="00EB3A76" w:rsidP="00EB3A76">
            <w:pPr>
              <w:pStyle w:val="ListParagraph"/>
              <w:numPr>
                <w:ilvl w:val="0"/>
                <w:numId w:val="19"/>
              </w:numPr>
            </w:pPr>
            <w:r>
              <w:t xml:space="preserve">6.1. Complex pattern lining and textures, including Gris </w:t>
            </w:r>
            <w:proofErr w:type="spellStart"/>
            <w:r>
              <w:t>Lais</w:t>
            </w:r>
            <w:proofErr w:type="spellEnd"/>
            <w:r>
              <w:t xml:space="preserve"> are applied to appropriate surfaces for decorative purposes as specified</w:t>
            </w:r>
          </w:p>
          <w:p w14:paraId="08FB7174" w14:textId="77777777" w:rsidR="00EB3A76" w:rsidRDefault="00EB3A76" w:rsidP="00EB3A76">
            <w:pPr>
              <w:pStyle w:val="ListParagraph"/>
              <w:numPr>
                <w:ilvl w:val="0"/>
                <w:numId w:val="19"/>
              </w:numPr>
            </w:pPr>
            <w:r>
              <w:t>6.2. Gold leaf and other metallic finishes such as aluminium and bronze are applied to complex surfaces for decorative purposes.</w:t>
            </w:r>
          </w:p>
          <w:p w14:paraId="313C1CD9" w14:textId="77777777" w:rsidR="00EB3A76" w:rsidRDefault="00EB3A76" w:rsidP="00EB3A76">
            <w:pPr>
              <w:pStyle w:val="ListParagraph"/>
              <w:numPr>
                <w:ilvl w:val="0"/>
                <w:numId w:val="19"/>
              </w:numPr>
            </w:pPr>
            <w:r>
              <w:t>6.3. Gilding and gilding powder in mediums are applied to selected surfaces.</w:t>
            </w:r>
          </w:p>
          <w:p w14:paraId="6A2B8307" w14:textId="77777777" w:rsidR="00EB3A76" w:rsidRDefault="00EB3A76" w:rsidP="00EB3A76">
            <w:pPr>
              <w:pStyle w:val="ListParagraph"/>
              <w:numPr>
                <w:ilvl w:val="0"/>
                <w:numId w:val="19"/>
              </w:numPr>
            </w:pPr>
            <w:r>
              <w:t>6.4. Finishing techniques are applied, including waxes and other suitable finishes.</w:t>
            </w:r>
          </w:p>
          <w:p w14:paraId="07F2C6C8" w14:textId="77777777" w:rsidR="00EB3A76" w:rsidRDefault="00EB3A76" w:rsidP="00EB3A76">
            <w:pPr>
              <w:pStyle w:val="ListParagraph"/>
              <w:numPr>
                <w:ilvl w:val="0"/>
                <w:numId w:val="19"/>
              </w:numPr>
            </w:pPr>
            <w:r>
              <w:t>6.5. Trowelled decorative finishes, including Stucco Venezia are applied using a range of tools and techniques</w:t>
            </w:r>
          </w:p>
          <w:p w14:paraId="75B6914D" w14:textId="41A96814" w:rsidR="00EB3A76" w:rsidRDefault="00EB3A76" w:rsidP="00EB3A76">
            <w:pPr>
              <w:pStyle w:val="ListParagraph"/>
              <w:numPr>
                <w:ilvl w:val="0"/>
                <w:numId w:val="19"/>
              </w:numPr>
            </w:pPr>
            <w:r>
              <w:t xml:space="preserve">In 6.1 the term Gris </w:t>
            </w:r>
            <w:proofErr w:type="spellStart"/>
            <w:r>
              <w:t>Lais</w:t>
            </w:r>
            <w:proofErr w:type="spellEnd"/>
            <w:r>
              <w:t xml:space="preserve"> is mentioned but we are not sure what this relates </w:t>
            </w:r>
            <w:proofErr w:type="gramStart"/>
            <w:r>
              <w:t>to?...</w:t>
            </w:r>
            <w:proofErr w:type="gramEnd"/>
            <w:r>
              <w:t xml:space="preserve">, an internet search for this term showed no results.  This was mentioned many years ago </w:t>
            </w:r>
            <w:r>
              <w:lastRenderedPageBreak/>
              <w:t xml:space="preserve">with CPCISC and a response was never given.  We have consulted many industry experts in Western Australia who have also never heard this term.  </w:t>
            </w:r>
          </w:p>
          <w:p w14:paraId="4C2DAA68" w14:textId="77777777" w:rsidR="00EB3A76" w:rsidRDefault="00EB3A76" w:rsidP="00EB3A76">
            <w:pPr>
              <w:pStyle w:val="ListParagraph"/>
              <w:numPr>
                <w:ilvl w:val="0"/>
                <w:numId w:val="19"/>
              </w:numPr>
            </w:pPr>
            <w:r>
              <w:t xml:space="preserve">In 6.2, gold leafing is incredibly expensive and a delicate and difficult skill to master. Even very experienced decorators struggle with this skill on flatter surfaces let alone a “complex surface”.  This is very difficult to teach and have a student achieve a decent result in a short time frame.  </w:t>
            </w:r>
          </w:p>
          <w:p w14:paraId="12AC500F" w14:textId="6BAA22F6" w:rsidR="00EB3A76" w:rsidRDefault="00EB3A76" w:rsidP="00EB3A76">
            <w:pPr>
              <w:pStyle w:val="ListParagraph"/>
              <w:numPr>
                <w:ilvl w:val="0"/>
                <w:numId w:val="19"/>
              </w:numPr>
            </w:pPr>
            <w:r>
              <w:t xml:space="preserve">Our opinion is that gold leafing should be removed from the unit and gilding powders/mediums remain.  </w:t>
            </w:r>
          </w:p>
          <w:p w14:paraId="5DDCD891" w14:textId="0F95D978" w:rsidR="00EB3A76" w:rsidRDefault="00EB3A76" w:rsidP="00EB3A76">
            <w:pPr>
              <w:pStyle w:val="ListParagraph"/>
              <w:numPr>
                <w:ilvl w:val="0"/>
                <w:numId w:val="19"/>
              </w:numPr>
            </w:pPr>
            <w:r>
              <w:t xml:space="preserve">In 6.5, trowelled decorative finishes </w:t>
            </w:r>
            <w:proofErr w:type="gramStart"/>
            <w:r>
              <w:t>is</w:t>
            </w:r>
            <w:proofErr w:type="gramEnd"/>
            <w:r>
              <w:t xml:space="preserve"> more of a flushing/plastering trade skill.  It is </w:t>
            </w:r>
            <w:proofErr w:type="gramStart"/>
            <w:r>
              <w:t>similar to</w:t>
            </w:r>
            <w:proofErr w:type="gramEnd"/>
            <w:r>
              <w:t xml:space="preserve"> gold leafing in that achieving a suitable finish in such a short period of time when many students may never have used a trowel before is very difficult. In WA very few Painting Contractors </w:t>
            </w:r>
            <w:proofErr w:type="gramStart"/>
            <w:r>
              <w:t>actually even</w:t>
            </w:r>
            <w:proofErr w:type="gramEnd"/>
            <w:r>
              <w:t xml:space="preserve"> perform this type of work.</w:t>
            </w:r>
          </w:p>
          <w:p w14:paraId="0F7B3BA7" w14:textId="0E74F522" w:rsidR="00EB3A76" w:rsidRDefault="00EB3A76" w:rsidP="00EB3A76">
            <w:r>
              <w:t>In Element 7 – Create large scale decorative projects</w:t>
            </w:r>
          </w:p>
          <w:p w14:paraId="3B344546" w14:textId="47976ADA" w:rsidR="00EB3A76" w:rsidRDefault="00EB3A76" w:rsidP="00EB3A76">
            <w:pPr>
              <w:pStyle w:val="ListParagraph"/>
              <w:numPr>
                <w:ilvl w:val="0"/>
                <w:numId w:val="20"/>
              </w:numPr>
            </w:pPr>
            <w:r>
              <w:t xml:space="preserve">7.2. Murals and trompe </w:t>
            </w:r>
            <w:proofErr w:type="spellStart"/>
            <w:r>
              <w:t>l'eoi</w:t>
            </w:r>
            <w:proofErr w:type="spellEnd"/>
            <w:r>
              <w:t xml:space="preserve"> projects are completed to specification</w:t>
            </w:r>
          </w:p>
          <w:p w14:paraId="77A7CE89" w14:textId="1A3C5169" w:rsidR="00EB3A76" w:rsidRDefault="00EB3A76" w:rsidP="00EB3A76">
            <w:pPr>
              <w:pStyle w:val="ListParagraph"/>
              <w:numPr>
                <w:ilvl w:val="0"/>
                <w:numId w:val="20"/>
              </w:numPr>
            </w:pPr>
            <w:r>
              <w:t xml:space="preserve">Trompe </w:t>
            </w:r>
            <w:proofErr w:type="spellStart"/>
            <w:r>
              <w:t>l’eoi</w:t>
            </w:r>
            <w:proofErr w:type="spellEnd"/>
            <w:r>
              <w:t xml:space="preserve"> is the incorrect spelling and should read Trompe l’oeil which translates to optical illusion.  </w:t>
            </w:r>
          </w:p>
          <w:p w14:paraId="450670EF" w14:textId="7BAB6430" w:rsidR="00EB3A76" w:rsidRPr="00EB3A76" w:rsidRDefault="00EB3A76" w:rsidP="00EB3A76">
            <w:pPr>
              <w:pStyle w:val="ListParagraph"/>
              <w:numPr>
                <w:ilvl w:val="0"/>
                <w:numId w:val="20"/>
              </w:numPr>
            </w:pPr>
            <w:r>
              <w:t xml:space="preserve">On another note with this unit, the critical aspects require a student to complete only 3 decorative effects (marble, wood graining and multi-plate stencilling) but </w:t>
            </w:r>
            <w:proofErr w:type="gramStart"/>
            <w:r>
              <w:t>reading through</w:t>
            </w:r>
            <w:proofErr w:type="gramEnd"/>
            <w:r>
              <w:t xml:space="preserve"> the Elements and Performance Criteria there appears to be quite a few more effects that a student must demonstrate.</w:t>
            </w:r>
          </w:p>
        </w:tc>
      </w:tr>
      <w:tr w:rsidR="00EB3A76" w14:paraId="73FE88A5" w14:textId="77777777" w:rsidTr="00E34398">
        <w:tc>
          <w:tcPr>
            <w:tcW w:w="9016" w:type="dxa"/>
          </w:tcPr>
          <w:p w14:paraId="4558D2BA" w14:textId="77777777" w:rsidR="004D3BE9" w:rsidRDefault="004D3BE9" w:rsidP="004D3BE9">
            <w:r>
              <w:lastRenderedPageBreak/>
              <w:t>We feel that these units contain a good amount of information and do not require changing.</w:t>
            </w:r>
          </w:p>
          <w:p w14:paraId="386C8196" w14:textId="77777777" w:rsidR="004D3BE9" w:rsidRDefault="004D3BE9" w:rsidP="004D3BE9">
            <w:pPr>
              <w:pStyle w:val="ListParagraph"/>
              <w:numPr>
                <w:ilvl w:val="0"/>
                <w:numId w:val="21"/>
              </w:numPr>
            </w:pPr>
            <w:r>
              <w:t xml:space="preserve">CPCCPD2013A Remove and replace doors and door and window components </w:t>
            </w:r>
          </w:p>
          <w:p w14:paraId="35B416A8" w14:textId="77777777" w:rsidR="004D3BE9" w:rsidRDefault="004D3BE9" w:rsidP="004D3BE9">
            <w:pPr>
              <w:pStyle w:val="ListParagraph"/>
              <w:numPr>
                <w:ilvl w:val="0"/>
                <w:numId w:val="21"/>
              </w:numPr>
            </w:pPr>
            <w:r>
              <w:t xml:space="preserve">CPCCPD3023A Apply texture coat paint finishes by brush, </w:t>
            </w:r>
            <w:proofErr w:type="gramStart"/>
            <w:r>
              <w:t>roller</w:t>
            </w:r>
            <w:proofErr w:type="gramEnd"/>
            <w:r>
              <w:t xml:space="preserve"> and spray</w:t>
            </w:r>
          </w:p>
          <w:p w14:paraId="58D60997" w14:textId="77777777" w:rsidR="004D3BE9" w:rsidRDefault="004D3BE9" w:rsidP="004D3BE9">
            <w:pPr>
              <w:pStyle w:val="ListParagraph"/>
              <w:numPr>
                <w:ilvl w:val="0"/>
                <w:numId w:val="21"/>
              </w:numPr>
            </w:pPr>
            <w:r>
              <w:t>CPCCPD3024A Apply paint by spray</w:t>
            </w:r>
          </w:p>
          <w:p w14:paraId="263AC88A" w14:textId="77777777" w:rsidR="004D3BE9" w:rsidRDefault="004D3BE9" w:rsidP="004D3BE9">
            <w:pPr>
              <w:pStyle w:val="ListParagraph"/>
              <w:numPr>
                <w:ilvl w:val="0"/>
                <w:numId w:val="21"/>
              </w:numPr>
            </w:pPr>
            <w:r>
              <w:t>CPCCPD3025A Match specified paint colour</w:t>
            </w:r>
          </w:p>
          <w:p w14:paraId="382C1214" w14:textId="77777777" w:rsidR="004D3BE9" w:rsidRDefault="004D3BE9" w:rsidP="004D3BE9">
            <w:pPr>
              <w:pStyle w:val="ListParagraph"/>
              <w:numPr>
                <w:ilvl w:val="0"/>
                <w:numId w:val="21"/>
              </w:numPr>
            </w:pPr>
            <w:r>
              <w:t>CPCCPD3026A Apply stains and clear timber finishes</w:t>
            </w:r>
          </w:p>
          <w:p w14:paraId="0DBE48BC" w14:textId="77777777" w:rsidR="004D3BE9" w:rsidRDefault="004D3BE9" w:rsidP="004D3BE9">
            <w:pPr>
              <w:pStyle w:val="ListParagraph"/>
              <w:numPr>
                <w:ilvl w:val="0"/>
                <w:numId w:val="21"/>
              </w:numPr>
            </w:pPr>
            <w:r>
              <w:t>CPCCPD3027A Apply wallpaper</w:t>
            </w:r>
          </w:p>
          <w:p w14:paraId="57F90201" w14:textId="77777777" w:rsidR="004D3BE9" w:rsidRDefault="004D3BE9" w:rsidP="004D3BE9">
            <w:pPr>
              <w:pStyle w:val="ListParagraph"/>
              <w:numPr>
                <w:ilvl w:val="0"/>
                <w:numId w:val="21"/>
              </w:numPr>
            </w:pPr>
            <w:r>
              <w:t>CPCCPD3028A Apply decorative paint finishes</w:t>
            </w:r>
          </w:p>
          <w:p w14:paraId="06CEB290" w14:textId="77777777" w:rsidR="004D3BE9" w:rsidRDefault="004D3BE9" w:rsidP="004D3BE9">
            <w:pPr>
              <w:pStyle w:val="ListParagraph"/>
              <w:numPr>
                <w:ilvl w:val="0"/>
                <w:numId w:val="21"/>
              </w:numPr>
            </w:pPr>
            <w:r>
              <w:t>CPCCPD3029A Remove graffiti and apply protective coatings</w:t>
            </w:r>
          </w:p>
          <w:p w14:paraId="27654B17" w14:textId="42A4FBC1" w:rsidR="00EB3A76" w:rsidRPr="00EB3A76" w:rsidRDefault="004D3BE9" w:rsidP="004D3BE9">
            <w:pPr>
              <w:pStyle w:val="ListParagraph"/>
              <w:numPr>
                <w:ilvl w:val="0"/>
                <w:numId w:val="21"/>
              </w:numPr>
            </w:pPr>
            <w:r>
              <w:t>CPCCPD3031A Implement safe lead paint and asbestos work practices in the painting industry</w:t>
            </w:r>
          </w:p>
        </w:tc>
      </w:tr>
      <w:tr w:rsidR="00EB3A76" w14:paraId="6E45E99E" w14:textId="77777777" w:rsidTr="00E34398">
        <w:tc>
          <w:tcPr>
            <w:tcW w:w="9016" w:type="dxa"/>
          </w:tcPr>
          <w:p w14:paraId="38952809" w14:textId="77777777" w:rsidR="0057758F" w:rsidRDefault="0057758F" w:rsidP="0057758F">
            <w:r>
              <w:t xml:space="preserve">The required skills for each of these units are virtually the same and are very generic.  We have seen some of the new stream lined units of competency and like how the new format of required skills are specific to each unit and hope that this continues with the Painting and Decorating units.  </w:t>
            </w:r>
          </w:p>
          <w:p w14:paraId="28F586ED" w14:textId="4D2DA694" w:rsidR="00EB3A76" w:rsidRPr="00EB3A76" w:rsidRDefault="0057758F" w:rsidP="0057758F">
            <w:r>
              <w:t>We feel that the required knowledge is generally good and does not need to be adjusted.</w:t>
            </w:r>
          </w:p>
        </w:tc>
      </w:tr>
    </w:tbl>
    <w:p w14:paraId="5EDAC451" w14:textId="0319A30C" w:rsidR="00E34398" w:rsidRDefault="00E34398" w:rsidP="00E34398"/>
    <w:p w14:paraId="1AC93F6A" w14:textId="77777777" w:rsidR="00340CB5" w:rsidRDefault="00340CB5" w:rsidP="0049563C">
      <w:pPr>
        <w:pStyle w:val="Heading3"/>
        <w:sectPr w:rsidR="00340CB5" w:rsidSect="00E71F80">
          <w:pgSz w:w="11906" w:h="16838"/>
          <w:pgMar w:top="1440" w:right="1440" w:bottom="1440" w:left="1440" w:header="708" w:footer="708" w:gutter="0"/>
          <w:cols w:space="708"/>
          <w:docGrid w:linePitch="360"/>
        </w:sectPr>
      </w:pPr>
    </w:p>
    <w:p w14:paraId="5AEC3220" w14:textId="342C49CE" w:rsidR="008039A6" w:rsidRPr="00340CB5" w:rsidRDefault="003A2F0A" w:rsidP="0049563C">
      <w:pPr>
        <w:pStyle w:val="Heading3"/>
      </w:pPr>
      <w:bookmarkStart w:id="90" w:name="_Toc496460811"/>
      <w:r w:rsidRPr="00340CB5">
        <w:lastRenderedPageBreak/>
        <w:t xml:space="preserve">BMA Consulting 2104 </w:t>
      </w:r>
      <w:r w:rsidR="008039A6" w:rsidRPr="00340CB5">
        <w:t>CPC30611 Review</w:t>
      </w:r>
      <w:bookmarkEnd w:id="90"/>
    </w:p>
    <w:p w14:paraId="324BC9B2" w14:textId="48A5D18F" w:rsidR="008039A6" w:rsidRDefault="008039A6" w:rsidP="008039A6">
      <w:r>
        <w:t>The following report was developed in response to the request of BMA consulting for the upcoming review of the Painting &amp; Decorating Training Package CPC30611 review:</w:t>
      </w:r>
    </w:p>
    <w:p w14:paraId="208583DD" w14:textId="77777777" w:rsidR="008039A6" w:rsidRDefault="008039A6" w:rsidP="008039A6">
      <w:r>
        <w:t xml:space="preserve">This report has been put together by representatives from TAFE institutes of Victoria, New South Wales, South Australia and in conjunction with the Master Painters Association being the peek industry body representing the Painting Industry in Australia. The Victorian Painting &amp; Decorating TAFE Teachers network has for the past two years been discussing and validating the current Cert III. Along with Industry, Employers and Apprentice’s, Master Painters </w:t>
      </w:r>
      <w:proofErr w:type="gramStart"/>
      <w:r>
        <w:t>Victoria</w:t>
      </w:r>
      <w:proofErr w:type="gramEnd"/>
      <w:r>
        <w:t xml:space="preserve"> and Manufacturers we have identified areas where the training package could be improved to provide a stronger more relevant tool for the training and assessment of our future work force. Over the course of this validation period it became evident that the package could be improved.</w:t>
      </w:r>
    </w:p>
    <w:p w14:paraId="3D2072BA" w14:textId="77777777" w:rsidR="008039A6" w:rsidRDefault="008039A6" w:rsidP="008039A6"/>
    <w:p w14:paraId="20DE2150" w14:textId="77777777" w:rsidR="008039A6" w:rsidRDefault="008039A6" w:rsidP="008039A6">
      <w:r>
        <w:t xml:space="preserve">Many in the industry stated the content of units in the training package was very repetitious in the performance criteria and that the critical aspects in the evidence guide did not match the required knowledge or represent the range statement. The removal of the generic dot points from all critical aspects and the relocation of these should be moved to the front of the document and the remaining dot points should be enhanced to include reference to the required skills and knowledge. Each required knowledge dot point must be </w:t>
      </w:r>
      <w:proofErr w:type="gramStart"/>
      <w:r>
        <w:t>examined</w:t>
      </w:r>
      <w:proofErr w:type="gramEnd"/>
      <w:r>
        <w:t xml:space="preserve"> and an appropriate number of questions applied.</w:t>
      </w:r>
    </w:p>
    <w:p w14:paraId="0D064A61" w14:textId="77777777" w:rsidR="008039A6" w:rsidRDefault="008039A6" w:rsidP="008039A6">
      <w:r>
        <w:t xml:space="preserve">We would suggest removal of further generic information from each unit of competency namely: Context of and specific resources and assessments and method of assessment. This information could be included in the Training Package preamble with a statement to state that it applies to all units of competency. The Required Skills component of each Unit of competency is very generic in its structure; it doesn’t speak to the real skills that are achieved from having been successfully trained in the Unit of Competency. The required skills heading should contain more defined detail of the observable assessment of skills. The package had an inconsistent description of the requirements and of tasks in the critical aspects and that it appeared to not fully cover a comprehensive assessment of the unit. </w:t>
      </w:r>
    </w:p>
    <w:p w14:paraId="15F6E817" w14:textId="77777777" w:rsidR="008039A6" w:rsidRDefault="008039A6" w:rsidP="008039A6">
      <w:r>
        <w:t>Many noted that the package has an over stated reflection to new work and should have a far greater reflection on repainting of old work.</w:t>
      </w:r>
    </w:p>
    <w:p w14:paraId="3C3287D5" w14:textId="77777777" w:rsidR="008039A6" w:rsidRDefault="008039A6" w:rsidP="008039A6">
      <w:r>
        <w:t>The Victorian Painting &amp; Decorating TAFE Teachers network held their annual state conference in Ballarat over the second week of June and along with representatives from TAFE institutes of New South Wales and South Australia the following recommendations have been developed and further indorsed by Master Painters Association Victoria &amp; Tasmania.</w:t>
      </w:r>
    </w:p>
    <w:p w14:paraId="7083E79E" w14:textId="2C64E09D" w:rsidR="00302B0C" w:rsidRDefault="008039A6" w:rsidP="008039A6">
      <w:r>
        <w:t xml:space="preserve">It is also hoped that if further consultation or clarification is required that both Master Painters Association Victoria &amp; Tasmania and The Victorian Painting &amp; Decorating TAFE Teachers network in conjunction with SA </w:t>
      </w:r>
      <w:proofErr w:type="spellStart"/>
      <w:r>
        <w:t>Tafe</w:t>
      </w:r>
      <w:proofErr w:type="spellEnd"/>
      <w:r>
        <w:t xml:space="preserve"> and NSW </w:t>
      </w:r>
      <w:proofErr w:type="spellStart"/>
      <w:r>
        <w:t>Tafe</w:t>
      </w:r>
      <w:proofErr w:type="spellEnd"/>
      <w:r>
        <w:t xml:space="preserve"> would be contacted.</w:t>
      </w:r>
    </w:p>
    <w:p w14:paraId="512976D8" w14:textId="77777777" w:rsidR="00340CB5" w:rsidRDefault="00340CB5" w:rsidP="008039A6">
      <w:pPr>
        <w:rPr>
          <w:b/>
        </w:rPr>
        <w:sectPr w:rsidR="00340CB5" w:rsidSect="00E71F80">
          <w:pgSz w:w="11906" w:h="16838"/>
          <w:pgMar w:top="1440" w:right="1440" w:bottom="1440" w:left="1440" w:header="708" w:footer="708" w:gutter="0"/>
          <w:cols w:space="708"/>
          <w:docGrid w:linePitch="360"/>
        </w:sectPr>
      </w:pPr>
    </w:p>
    <w:p w14:paraId="3509A8D3" w14:textId="359285F2" w:rsidR="003A2F0A" w:rsidRPr="003A2F0A" w:rsidRDefault="003A2F0A" w:rsidP="008039A6">
      <w:pPr>
        <w:rPr>
          <w:b/>
        </w:rPr>
      </w:pPr>
      <w:r w:rsidRPr="003A2F0A">
        <w:rPr>
          <w:b/>
        </w:rPr>
        <w:lastRenderedPageBreak/>
        <w:t>Recommendations:</w:t>
      </w:r>
    </w:p>
    <w:tbl>
      <w:tblPr>
        <w:tblStyle w:val="TableGrid"/>
        <w:tblW w:w="0" w:type="auto"/>
        <w:tblLook w:val="04A0" w:firstRow="1" w:lastRow="0" w:firstColumn="1" w:lastColumn="0" w:noHBand="0" w:noVBand="1"/>
      </w:tblPr>
      <w:tblGrid>
        <w:gridCol w:w="9016"/>
      </w:tblGrid>
      <w:tr w:rsidR="008039A6" w14:paraId="4C9C73C6" w14:textId="77777777" w:rsidTr="008039A6">
        <w:tc>
          <w:tcPr>
            <w:tcW w:w="9016" w:type="dxa"/>
          </w:tcPr>
          <w:p w14:paraId="77B42AD6" w14:textId="77777777" w:rsidR="008039A6" w:rsidRDefault="008039A6" w:rsidP="008039A6">
            <w:r>
              <w:t>CPCCPD2012A Use painting and decorating tools and equipment</w:t>
            </w:r>
          </w:p>
          <w:p w14:paraId="55DC5E0F" w14:textId="77777777" w:rsidR="008039A6" w:rsidRDefault="008039A6" w:rsidP="003A2F0A">
            <w:pPr>
              <w:pStyle w:val="ListParagraph"/>
              <w:numPr>
                <w:ilvl w:val="0"/>
                <w:numId w:val="24"/>
              </w:numPr>
            </w:pPr>
            <w:r>
              <w:t xml:space="preserve">The group have major concerns with the inclusion of any reference to spray equipment within this unit. This unit would be allocated to a </w:t>
            </w:r>
            <w:proofErr w:type="gramStart"/>
            <w:r>
              <w:t>first year</w:t>
            </w:r>
            <w:proofErr w:type="gramEnd"/>
            <w:r>
              <w:t xml:space="preserve"> apprentice and to include the term “use, operate and maintain” suggests they are to be assessed prior to completing the spray unit of an airless spray machine.</w:t>
            </w:r>
          </w:p>
          <w:p w14:paraId="3C7AC320" w14:textId="02114B48" w:rsidR="008039A6" w:rsidRDefault="008039A6" w:rsidP="003A2F0A">
            <w:pPr>
              <w:pStyle w:val="ListParagraph"/>
              <w:numPr>
                <w:ilvl w:val="0"/>
                <w:numId w:val="24"/>
              </w:numPr>
            </w:pPr>
            <w:r>
              <w:t xml:space="preserve">Remove - We recommend that all reference of spray painting be removed and added to the spray unit, due to </w:t>
            </w:r>
            <w:proofErr w:type="gramStart"/>
            <w:r>
              <w:t>being</w:t>
            </w:r>
            <w:proofErr w:type="gramEnd"/>
            <w:r>
              <w:t xml:space="preserve"> a duplication of assessment as it is assessed in the spray painting unit.</w:t>
            </w:r>
          </w:p>
        </w:tc>
      </w:tr>
      <w:tr w:rsidR="008039A6" w14:paraId="3C7725FE" w14:textId="77777777" w:rsidTr="008039A6">
        <w:tc>
          <w:tcPr>
            <w:tcW w:w="9016" w:type="dxa"/>
          </w:tcPr>
          <w:p w14:paraId="4B03BF00" w14:textId="77777777" w:rsidR="003A2F0A" w:rsidRDefault="003A2F0A" w:rsidP="003A2F0A">
            <w:r>
              <w:t>CPCCPD3024</w:t>
            </w:r>
            <w:proofErr w:type="gramStart"/>
            <w:r>
              <w:t>A  Apply</w:t>
            </w:r>
            <w:proofErr w:type="gramEnd"/>
            <w:r>
              <w:t xml:space="preserve"> paint by spray</w:t>
            </w:r>
          </w:p>
          <w:p w14:paraId="69C33CE9" w14:textId="77777777" w:rsidR="003A2F0A" w:rsidRDefault="003A2F0A" w:rsidP="003A2F0A">
            <w:pPr>
              <w:pStyle w:val="ListParagraph"/>
              <w:numPr>
                <w:ilvl w:val="0"/>
                <w:numId w:val="25"/>
              </w:numPr>
            </w:pPr>
            <w:r>
              <w:t>This unit is out of date with current trends and equipment within the industry. It is recommended that</w:t>
            </w:r>
          </w:p>
          <w:p w14:paraId="0204B5A7" w14:textId="77777777" w:rsidR="003A2F0A" w:rsidRDefault="003A2F0A" w:rsidP="003A2F0A">
            <w:pPr>
              <w:pStyle w:val="ListParagraph"/>
              <w:numPr>
                <w:ilvl w:val="0"/>
                <w:numId w:val="25"/>
              </w:numPr>
            </w:pPr>
            <w:r>
              <w:t>Addition - The range statement must include Air assisted airless spray equipment.</w:t>
            </w:r>
          </w:p>
          <w:p w14:paraId="09B97694" w14:textId="77777777" w:rsidR="003A2F0A" w:rsidRDefault="003A2F0A" w:rsidP="003A2F0A">
            <w:pPr>
              <w:pStyle w:val="ListParagraph"/>
              <w:numPr>
                <w:ilvl w:val="0"/>
                <w:numId w:val="25"/>
              </w:numPr>
            </w:pPr>
            <w:r>
              <w:t>Addition - The required knowledge must include reference to injection injury.</w:t>
            </w:r>
          </w:p>
          <w:p w14:paraId="2B06B402" w14:textId="77777777" w:rsidR="003A2F0A" w:rsidRDefault="003A2F0A" w:rsidP="003A2F0A">
            <w:pPr>
              <w:pStyle w:val="ListParagraph"/>
              <w:numPr>
                <w:ilvl w:val="0"/>
                <w:numId w:val="25"/>
              </w:numPr>
            </w:pPr>
            <w:r>
              <w:t>Addition - The required knowledge must include reference to back rolling.</w:t>
            </w:r>
          </w:p>
          <w:p w14:paraId="3B346997" w14:textId="77777777" w:rsidR="003A2F0A" w:rsidRDefault="003A2F0A" w:rsidP="003A2F0A">
            <w:pPr>
              <w:pStyle w:val="ListParagraph"/>
              <w:numPr>
                <w:ilvl w:val="0"/>
                <w:numId w:val="25"/>
              </w:numPr>
            </w:pPr>
            <w:r>
              <w:t>Remove - The removal of electrostatic spray equipment</w:t>
            </w:r>
          </w:p>
          <w:p w14:paraId="64C38B46" w14:textId="77777777" w:rsidR="003A2F0A" w:rsidRDefault="003A2F0A" w:rsidP="003A2F0A">
            <w:pPr>
              <w:pStyle w:val="ListParagraph"/>
              <w:numPr>
                <w:ilvl w:val="0"/>
                <w:numId w:val="25"/>
              </w:numPr>
            </w:pPr>
            <w:r>
              <w:t>Modify - Under heading spray systems add the words “one of each” after the word “Include”</w:t>
            </w:r>
          </w:p>
          <w:p w14:paraId="3CC2F49D" w14:textId="77777777" w:rsidR="003A2F0A" w:rsidRDefault="003A2F0A" w:rsidP="003A2F0A">
            <w:pPr>
              <w:pStyle w:val="ListParagraph"/>
              <w:numPr>
                <w:ilvl w:val="0"/>
                <w:numId w:val="25"/>
              </w:numPr>
            </w:pPr>
            <w:r>
              <w:t xml:space="preserve">Modify - Under heading spray equipment, </w:t>
            </w:r>
            <w:proofErr w:type="gramStart"/>
            <w:r>
              <w:t>accessories</w:t>
            </w:r>
            <w:proofErr w:type="gramEnd"/>
            <w:r>
              <w:t xml:space="preserve"> and lines the word “diaphragm” should read “diaphragm spray unit”</w:t>
            </w:r>
          </w:p>
          <w:p w14:paraId="1E2F125D" w14:textId="77777777" w:rsidR="003A2F0A" w:rsidRDefault="003A2F0A" w:rsidP="003A2F0A">
            <w:pPr>
              <w:pStyle w:val="ListParagraph"/>
              <w:numPr>
                <w:ilvl w:val="0"/>
                <w:numId w:val="25"/>
              </w:numPr>
            </w:pPr>
            <w:r>
              <w:t>Amendments to the Critical Aspects of Evidence</w:t>
            </w:r>
          </w:p>
          <w:p w14:paraId="0EE03FC6" w14:textId="77777777" w:rsidR="003A2F0A" w:rsidRDefault="003A2F0A" w:rsidP="003A2F0A">
            <w:pPr>
              <w:pStyle w:val="ListParagraph"/>
              <w:numPr>
                <w:ilvl w:val="0"/>
                <w:numId w:val="25"/>
              </w:numPr>
            </w:pPr>
            <w:r>
              <w:t>Addition - Spray one flush and one four panel door with an air assisted airless spray gun.</w:t>
            </w:r>
          </w:p>
          <w:p w14:paraId="291241E8" w14:textId="4BFB3511" w:rsidR="008039A6" w:rsidRDefault="003A2F0A" w:rsidP="003A2F0A">
            <w:pPr>
              <w:pStyle w:val="ListParagraph"/>
              <w:numPr>
                <w:ilvl w:val="0"/>
                <w:numId w:val="25"/>
              </w:numPr>
            </w:pPr>
            <w:r>
              <w:t>Modify - “Airless applicant of acrylic paint” to “Airless application of acrylic paints to a minimum of two thousand square metres” and include back rolling to three surfaces being plaster, masonry and concrete</w:t>
            </w:r>
          </w:p>
        </w:tc>
      </w:tr>
      <w:tr w:rsidR="008039A6" w14:paraId="13A8360D" w14:textId="77777777" w:rsidTr="008039A6">
        <w:tc>
          <w:tcPr>
            <w:tcW w:w="9016" w:type="dxa"/>
          </w:tcPr>
          <w:p w14:paraId="0BCAA521" w14:textId="77777777" w:rsidR="003A2F0A" w:rsidRDefault="003A2F0A" w:rsidP="003A2F0A">
            <w:r>
              <w:t>CPCCPD 3012A Prepare surfaces for painting</w:t>
            </w:r>
          </w:p>
          <w:p w14:paraId="782DAB84" w14:textId="77777777" w:rsidR="003A2F0A" w:rsidRDefault="003A2F0A" w:rsidP="003A2F0A">
            <w:pPr>
              <w:pStyle w:val="ListParagraph"/>
              <w:numPr>
                <w:ilvl w:val="0"/>
                <w:numId w:val="26"/>
              </w:numPr>
            </w:pPr>
            <w:r>
              <w:t xml:space="preserve">The evidence </w:t>
            </w:r>
            <w:proofErr w:type="gramStart"/>
            <w:r>
              <w:t>guide</w:t>
            </w:r>
            <w:proofErr w:type="gramEnd"/>
            <w:r>
              <w:t xml:space="preserve"> and critical aspects do not reflect the required skills and knowledge. The required skills and knowledge talks of corrosion and protection of metals and the critical aspects states “one metal or masonry surface” it is our view that both should be a must do. </w:t>
            </w:r>
          </w:p>
          <w:p w14:paraId="0B19E091" w14:textId="77777777" w:rsidR="003A2F0A" w:rsidRDefault="003A2F0A" w:rsidP="003A2F0A">
            <w:pPr>
              <w:pStyle w:val="ListParagraph"/>
              <w:numPr>
                <w:ilvl w:val="0"/>
                <w:numId w:val="26"/>
              </w:numPr>
            </w:pPr>
            <w:r>
              <w:t>The evidence guide also states that “Assessment is to comply with relevant regulatory or Australian standard’s requirements”. This should also include the manufacturer requirements and industry standards for the surface coating industry</w:t>
            </w:r>
          </w:p>
          <w:p w14:paraId="7AC8C6A8" w14:textId="77777777" w:rsidR="003A2F0A" w:rsidRDefault="003A2F0A" w:rsidP="003A2F0A">
            <w:pPr>
              <w:pStyle w:val="ListParagraph"/>
              <w:numPr>
                <w:ilvl w:val="0"/>
                <w:numId w:val="26"/>
              </w:numPr>
            </w:pPr>
            <w:r>
              <w:t>Addition - Manufacturer requirements.</w:t>
            </w:r>
          </w:p>
          <w:p w14:paraId="037A0CC7" w14:textId="77777777" w:rsidR="003A2F0A" w:rsidRDefault="003A2F0A" w:rsidP="003A2F0A">
            <w:pPr>
              <w:pStyle w:val="ListParagraph"/>
              <w:numPr>
                <w:ilvl w:val="0"/>
                <w:numId w:val="26"/>
              </w:numPr>
            </w:pPr>
            <w:r>
              <w:t xml:space="preserve">Addition - Surfaces to be prepared to include one ferrous, one </w:t>
            </w:r>
            <w:proofErr w:type="spellStart"/>
            <w:proofErr w:type="gramStart"/>
            <w:r>
              <w:t>non ferrous</w:t>
            </w:r>
            <w:proofErr w:type="spellEnd"/>
            <w:proofErr w:type="gramEnd"/>
            <w:r>
              <w:t xml:space="preserve"> metal surface &amp; to include two square metres of one masonry surface.    </w:t>
            </w:r>
          </w:p>
          <w:p w14:paraId="7C48D793" w14:textId="77777777" w:rsidR="003A2F0A" w:rsidRDefault="003A2F0A" w:rsidP="003A2F0A">
            <w:pPr>
              <w:pStyle w:val="ListParagraph"/>
              <w:numPr>
                <w:ilvl w:val="0"/>
                <w:numId w:val="26"/>
              </w:numPr>
            </w:pPr>
            <w:r>
              <w:t>Addition - Use the mandatory tools listed in the range statement.</w:t>
            </w:r>
          </w:p>
          <w:p w14:paraId="118325D4" w14:textId="77777777" w:rsidR="003A2F0A" w:rsidRDefault="003A2F0A" w:rsidP="003A2F0A">
            <w:pPr>
              <w:pStyle w:val="ListParagraph"/>
              <w:numPr>
                <w:ilvl w:val="0"/>
                <w:numId w:val="26"/>
              </w:numPr>
            </w:pPr>
            <w:r>
              <w:t>Addition - to the required skills and knowledge procedures, product and techniques associated with the identification and removal of kalsomine</w:t>
            </w:r>
          </w:p>
          <w:p w14:paraId="6F4F0091" w14:textId="77777777" w:rsidR="003A2F0A" w:rsidRDefault="003A2F0A" w:rsidP="003A2F0A">
            <w:pPr>
              <w:pStyle w:val="ListParagraph"/>
              <w:numPr>
                <w:ilvl w:val="0"/>
                <w:numId w:val="26"/>
              </w:numPr>
            </w:pPr>
            <w:r>
              <w:t>Modify - where it says paint application testing procedures it should read paint film thickness testing procedures</w:t>
            </w:r>
          </w:p>
          <w:p w14:paraId="44D5B09D" w14:textId="77777777" w:rsidR="003A2F0A" w:rsidRDefault="003A2F0A" w:rsidP="003A2F0A">
            <w:pPr>
              <w:pStyle w:val="ListParagraph"/>
              <w:numPr>
                <w:ilvl w:val="0"/>
                <w:numId w:val="26"/>
              </w:numPr>
            </w:pPr>
            <w:r>
              <w:t>Addition - Light Organic Surface Preservatives (LOSP)</w:t>
            </w:r>
          </w:p>
          <w:p w14:paraId="54E54D47" w14:textId="77777777" w:rsidR="003A2F0A" w:rsidRDefault="003A2F0A" w:rsidP="003A2F0A">
            <w:pPr>
              <w:pStyle w:val="ListParagraph"/>
              <w:numPr>
                <w:ilvl w:val="0"/>
                <w:numId w:val="26"/>
              </w:numPr>
            </w:pPr>
            <w:r>
              <w:t>Amendments to the Critical Aspects of Evidence</w:t>
            </w:r>
          </w:p>
          <w:p w14:paraId="7BD27940" w14:textId="77777777" w:rsidR="003A2F0A" w:rsidRDefault="003A2F0A" w:rsidP="003A2F0A">
            <w:pPr>
              <w:pStyle w:val="ListParagraph"/>
              <w:numPr>
                <w:ilvl w:val="0"/>
                <w:numId w:val="26"/>
              </w:numPr>
            </w:pPr>
            <w:r>
              <w:t xml:space="preserve">Modify - The reference to the surface prep of Gyprock should be increased from 8 square metres to 80 square metres, the reference to 1 square metre should be increased to 20 square metres and the reference to the 8 lineal metres be increased to 80 lineal metres and to include an interior and exterior corner of skirting </w:t>
            </w:r>
          </w:p>
          <w:p w14:paraId="548291FF" w14:textId="77777777" w:rsidR="003A2F0A" w:rsidRDefault="003A2F0A" w:rsidP="003A2F0A">
            <w:pPr>
              <w:pStyle w:val="ListParagraph"/>
              <w:numPr>
                <w:ilvl w:val="0"/>
                <w:numId w:val="26"/>
              </w:numPr>
            </w:pPr>
            <w:r>
              <w:t>Prepare a minimum of 7 surfaces for painting specifications</w:t>
            </w:r>
          </w:p>
          <w:p w14:paraId="41F94A67" w14:textId="3027C652" w:rsidR="008039A6" w:rsidRDefault="003A2F0A" w:rsidP="003A2F0A">
            <w:pPr>
              <w:pStyle w:val="ListParagraph"/>
              <w:numPr>
                <w:ilvl w:val="0"/>
                <w:numId w:val="26"/>
              </w:numPr>
            </w:pPr>
            <w:r>
              <w:t xml:space="preserve">Instead of 3 it should be 5 previously coated surfaces with the addition of one ferrous metal and one </w:t>
            </w:r>
            <w:proofErr w:type="spellStart"/>
            <w:proofErr w:type="gramStart"/>
            <w:r>
              <w:t>non ferrous</w:t>
            </w:r>
            <w:proofErr w:type="spellEnd"/>
            <w:proofErr w:type="gramEnd"/>
            <w:r>
              <w:t xml:space="preserve"> metal and one masonry surface.  </w:t>
            </w:r>
          </w:p>
        </w:tc>
      </w:tr>
      <w:tr w:rsidR="008039A6" w14:paraId="04A7CDF4" w14:textId="77777777" w:rsidTr="008039A6">
        <w:tc>
          <w:tcPr>
            <w:tcW w:w="9016" w:type="dxa"/>
          </w:tcPr>
          <w:p w14:paraId="2D752484" w14:textId="77777777" w:rsidR="003A2F0A" w:rsidRDefault="003A2F0A" w:rsidP="003A2F0A">
            <w:r>
              <w:lastRenderedPageBreak/>
              <w:t>CPCCPD 3028A Apply decorative finishes</w:t>
            </w:r>
          </w:p>
          <w:p w14:paraId="0206A1A4" w14:textId="77777777" w:rsidR="003A2F0A" w:rsidRDefault="003A2F0A" w:rsidP="003A2F0A">
            <w:pPr>
              <w:pStyle w:val="ListParagraph"/>
              <w:numPr>
                <w:ilvl w:val="0"/>
                <w:numId w:val="27"/>
              </w:numPr>
            </w:pPr>
            <w:r>
              <w:t>The critical aspects do not relate directly to the required knowledge or the range statement.</w:t>
            </w:r>
          </w:p>
          <w:p w14:paraId="5373C135" w14:textId="77777777" w:rsidR="003A2F0A" w:rsidRDefault="003A2F0A" w:rsidP="003A2F0A">
            <w:pPr>
              <w:pStyle w:val="ListParagraph"/>
              <w:numPr>
                <w:ilvl w:val="0"/>
                <w:numId w:val="27"/>
              </w:numPr>
            </w:pPr>
            <w:r>
              <w:t>Dot point 10 in the critical aspects is confusing and is open to misrepresentation.</w:t>
            </w:r>
          </w:p>
          <w:p w14:paraId="1AC7E3AD" w14:textId="77777777" w:rsidR="003A2F0A" w:rsidRDefault="003A2F0A" w:rsidP="003A2F0A">
            <w:pPr>
              <w:pStyle w:val="ListParagraph"/>
              <w:numPr>
                <w:ilvl w:val="0"/>
                <w:numId w:val="27"/>
              </w:numPr>
            </w:pPr>
            <w:r>
              <w:t>“A minimum of two (one traditional and one modern) special effects including imitation marbling, imitation wood graining and basic gilding”</w:t>
            </w:r>
          </w:p>
          <w:p w14:paraId="01763107" w14:textId="77777777" w:rsidR="003A2F0A" w:rsidRDefault="003A2F0A" w:rsidP="003A2F0A">
            <w:pPr>
              <w:pStyle w:val="ListParagraph"/>
              <w:numPr>
                <w:ilvl w:val="0"/>
                <w:numId w:val="27"/>
              </w:numPr>
            </w:pPr>
            <w:r>
              <w:t>This should be more specific in what is required and the size of project for assessment.</w:t>
            </w:r>
          </w:p>
          <w:p w14:paraId="2E439078" w14:textId="77777777" w:rsidR="003A2F0A" w:rsidRDefault="003A2F0A" w:rsidP="003A2F0A">
            <w:pPr>
              <w:pStyle w:val="ListParagraph"/>
              <w:numPr>
                <w:ilvl w:val="0"/>
                <w:numId w:val="27"/>
              </w:numPr>
            </w:pPr>
            <w:r>
              <w:t>Addition - To Dot point one: A mirror finishes to one flat panel and one four panel door.</w:t>
            </w:r>
          </w:p>
          <w:p w14:paraId="285D0946" w14:textId="6172569E" w:rsidR="003A2F0A" w:rsidRDefault="003A2F0A" w:rsidP="003A2F0A">
            <w:pPr>
              <w:pStyle w:val="ListParagraph"/>
              <w:numPr>
                <w:ilvl w:val="0"/>
                <w:numId w:val="27"/>
              </w:numPr>
            </w:pPr>
            <w:r>
              <w:t>The range statement should include reference to the requirement for lining by brush (lining fitch) as demonstrated in the elements and performance criteria, &amp; critical aspects.</w:t>
            </w:r>
          </w:p>
          <w:p w14:paraId="7E7AF3C6" w14:textId="4C02A078" w:rsidR="003A2F0A" w:rsidRDefault="003A2F0A" w:rsidP="003A2F0A">
            <w:pPr>
              <w:pStyle w:val="ListParagraph"/>
              <w:numPr>
                <w:ilvl w:val="0"/>
                <w:numId w:val="27"/>
              </w:numPr>
            </w:pPr>
            <w:r>
              <w:t>Amendments to the Critical Aspects of Evidence</w:t>
            </w:r>
          </w:p>
          <w:p w14:paraId="372E4207" w14:textId="4DE6EA4A" w:rsidR="008039A6" w:rsidRDefault="003A2F0A" w:rsidP="003A2F0A">
            <w:pPr>
              <w:pStyle w:val="ListParagraph"/>
              <w:numPr>
                <w:ilvl w:val="0"/>
                <w:numId w:val="27"/>
              </w:numPr>
            </w:pPr>
            <w:r>
              <w:t xml:space="preserve">Under dot point 10 </w:t>
            </w:r>
            <w:proofErr w:type="gramStart"/>
            <w:r>
              <w:t>removal</w:t>
            </w:r>
            <w:proofErr w:type="gramEnd"/>
            <w:r>
              <w:t xml:space="preserve"> of (1 traditional and one modern) and add in its place the words “two each of the following”</w:t>
            </w:r>
          </w:p>
        </w:tc>
      </w:tr>
      <w:tr w:rsidR="008039A6" w14:paraId="49C052B7" w14:textId="77777777" w:rsidTr="008039A6">
        <w:tc>
          <w:tcPr>
            <w:tcW w:w="9016" w:type="dxa"/>
          </w:tcPr>
          <w:p w14:paraId="1E911BE7" w14:textId="77777777" w:rsidR="003A2F0A" w:rsidRDefault="003A2F0A" w:rsidP="003A2F0A">
            <w:r>
              <w:t>CPCCPD3027A Apply wallpaper</w:t>
            </w:r>
          </w:p>
          <w:p w14:paraId="3494C117" w14:textId="3FE82E68" w:rsidR="008039A6" w:rsidRDefault="003A2F0A" w:rsidP="003A2F0A">
            <w:pPr>
              <w:pStyle w:val="ListParagraph"/>
              <w:numPr>
                <w:ilvl w:val="0"/>
                <w:numId w:val="28"/>
              </w:numPr>
            </w:pPr>
            <w:r>
              <w:t>Addition - Apply wallpaper to a ceiling for a minimum length of three metre’s and by three strips wide.</w:t>
            </w:r>
          </w:p>
        </w:tc>
      </w:tr>
      <w:tr w:rsidR="008039A6" w14:paraId="075AF7F0" w14:textId="77777777" w:rsidTr="008039A6">
        <w:tc>
          <w:tcPr>
            <w:tcW w:w="9016" w:type="dxa"/>
          </w:tcPr>
          <w:p w14:paraId="74054F60" w14:textId="77777777" w:rsidR="003A2F0A" w:rsidRDefault="003A2F0A" w:rsidP="003A2F0A">
            <w:r>
              <w:t>CPCCPD3025A Match specified paint colour</w:t>
            </w:r>
          </w:p>
          <w:p w14:paraId="0AC30D17" w14:textId="77777777" w:rsidR="003A2F0A" w:rsidRDefault="003A2F0A" w:rsidP="003A2F0A">
            <w:pPr>
              <w:pStyle w:val="ListParagraph"/>
              <w:numPr>
                <w:ilvl w:val="0"/>
                <w:numId w:val="28"/>
              </w:numPr>
            </w:pPr>
            <w:r>
              <w:t xml:space="preserve">Modify - the unit name should read “Colour interpretation” Painters &amp; Decorators don’t just match a colour. </w:t>
            </w:r>
          </w:p>
          <w:p w14:paraId="7C3AE391" w14:textId="1F2E83BD" w:rsidR="003A2F0A" w:rsidRDefault="003A2F0A" w:rsidP="003A2F0A">
            <w:pPr>
              <w:pStyle w:val="ListParagraph"/>
              <w:numPr>
                <w:ilvl w:val="0"/>
                <w:numId w:val="28"/>
              </w:numPr>
            </w:pPr>
            <w:r>
              <w:t>Many will discuss colour with a client and provide colour schemes prior to the job and therefore should have a basic understanding how colour works. The current name suggests all they will do is match a specified colour.</w:t>
            </w:r>
          </w:p>
          <w:p w14:paraId="7BE87CC3" w14:textId="6F55B2FE" w:rsidR="003A2F0A" w:rsidRDefault="003A2F0A" w:rsidP="003A2F0A">
            <w:pPr>
              <w:pStyle w:val="ListParagraph"/>
              <w:numPr>
                <w:ilvl w:val="0"/>
                <w:numId w:val="28"/>
              </w:numPr>
            </w:pPr>
            <w:r>
              <w:t xml:space="preserve">Required skills and knowledge. </w:t>
            </w:r>
          </w:p>
          <w:p w14:paraId="210743D8" w14:textId="77777777" w:rsidR="003A2F0A" w:rsidRDefault="003A2F0A" w:rsidP="003A2F0A">
            <w:pPr>
              <w:pStyle w:val="ListParagraph"/>
              <w:numPr>
                <w:ilvl w:val="0"/>
                <w:numId w:val="28"/>
              </w:numPr>
            </w:pPr>
            <w:r>
              <w:t>Addition - The understanding of advancing and receding colour schemes.</w:t>
            </w:r>
          </w:p>
          <w:p w14:paraId="2EC28AD0" w14:textId="77777777" w:rsidR="003A2F0A" w:rsidRDefault="003A2F0A" w:rsidP="003A2F0A">
            <w:pPr>
              <w:pStyle w:val="ListParagraph"/>
              <w:numPr>
                <w:ilvl w:val="0"/>
                <w:numId w:val="28"/>
              </w:numPr>
            </w:pPr>
            <w:r>
              <w:t>Addition - Tints, tones, pastels and shades and their effect in relation to colour</w:t>
            </w:r>
          </w:p>
          <w:p w14:paraId="78542321" w14:textId="77777777" w:rsidR="003A2F0A" w:rsidRDefault="003A2F0A" w:rsidP="003A2F0A">
            <w:pPr>
              <w:pStyle w:val="ListParagraph"/>
              <w:numPr>
                <w:ilvl w:val="0"/>
                <w:numId w:val="28"/>
              </w:numPr>
            </w:pPr>
            <w:r>
              <w:t xml:space="preserve">Addition - The term and use of a tint </w:t>
            </w:r>
            <w:proofErr w:type="gramStart"/>
            <w:r>
              <w:t>base .</w:t>
            </w:r>
            <w:proofErr w:type="gramEnd"/>
          </w:p>
          <w:p w14:paraId="4ED49376" w14:textId="77777777" w:rsidR="003A2F0A" w:rsidRDefault="003A2F0A" w:rsidP="003A2F0A">
            <w:pPr>
              <w:pStyle w:val="ListParagraph"/>
              <w:numPr>
                <w:ilvl w:val="0"/>
                <w:numId w:val="28"/>
              </w:numPr>
            </w:pPr>
            <w:r>
              <w:t>Addition - An understanding of paint tinters (you can’t match a colour if you do not know this)</w:t>
            </w:r>
          </w:p>
          <w:p w14:paraId="4C29F40D" w14:textId="77777777" w:rsidR="003A2F0A" w:rsidRDefault="003A2F0A" w:rsidP="003A2F0A">
            <w:pPr>
              <w:pStyle w:val="ListParagraph"/>
              <w:numPr>
                <w:ilvl w:val="0"/>
                <w:numId w:val="28"/>
              </w:numPr>
            </w:pPr>
            <w:r>
              <w:t>Remove - reference to Presentation of paint formulas. (Formulas are used by paint suppliers in a shop)</w:t>
            </w:r>
          </w:p>
          <w:p w14:paraId="00847CEE" w14:textId="77777777" w:rsidR="003A2F0A" w:rsidRDefault="003A2F0A" w:rsidP="003A2F0A">
            <w:pPr>
              <w:pStyle w:val="ListParagraph"/>
              <w:numPr>
                <w:ilvl w:val="0"/>
                <w:numId w:val="28"/>
              </w:numPr>
            </w:pPr>
            <w:r>
              <w:t>Remove - Under tools and equipment heading the colourant dispenser reference to be removed</w:t>
            </w:r>
          </w:p>
          <w:p w14:paraId="75B960A5" w14:textId="77777777" w:rsidR="003A2F0A" w:rsidRDefault="003A2F0A" w:rsidP="003A2F0A">
            <w:pPr>
              <w:pStyle w:val="ListParagraph"/>
              <w:numPr>
                <w:ilvl w:val="0"/>
                <w:numId w:val="28"/>
              </w:numPr>
            </w:pPr>
            <w:r>
              <w:t>Amendments to the Critical Aspects of Evidence</w:t>
            </w:r>
          </w:p>
          <w:p w14:paraId="63BD7DE5" w14:textId="77777777" w:rsidR="003A2F0A" w:rsidRDefault="003A2F0A" w:rsidP="003A2F0A">
            <w:pPr>
              <w:pStyle w:val="ListParagraph"/>
              <w:numPr>
                <w:ilvl w:val="0"/>
                <w:numId w:val="28"/>
              </w:numPr>
            </w:pPr>
            <w:r>
              <w:t>Addition - Design 1 Heritage colour scheme with no less than five colours.</w:t>
            </w:r>
          </w:p>
          <w:p w14:paraId="72321BA2" w14:textId="7793AB68" w:rsidR="008039A6" w:rsidRDefault="003A2F0A" w:rsidP="003A2F0A">
            <w:pPr>
              <w:pStyle w:val="ListParagraph"/>
              <w:numPr>
                <w:ilvl w:val="0"/>
                <w:numId w:val="28"/>
              </w:numPr>
            </w:pPr>
            <w:r>
              <w:t>Addition - Colour match two solvent based and two acrylic based paints to sample with the use of three colour tints in each colour to be matched.</w:t>
            </w:r>
          </w:p>
        </w:tc>
      </w:tr>
      <w:tr w:rsidR="008039A6" w14:paraId="6B83CBB0" w14:textId="77777777" w:rsidTr="008039A6">
        <w:tc>
          <w:tcPr>
            <w:tcW w:w="9016" w:type="dxa"/>
          </w:tcPr>
          <w:p w14:paraId="571B4DDA" w14:textId="77777777" w:rsidR="003A2F0A" w:rsidRDefault="003A2F0A" w:rsidP="003A2F0A">
            <w:r>
              <w:t>CPCCPD3031</w:t>
            </w:r>
            <w:proofErr w:type="gramStart"/>
            <w:r>
              <w:t>A  Implement</w:t>
            </w:r>
            <w:proofErr w:type="gramEnd"/>
            <w:r>
              <w:t xml:space="preserve"> safe lead paint and asbestos work practices in the painting industry</w:t>
            </w:r>
          </w:p>
          <w:p w14:paraId="4D868D78" w14:textId="77777777" w:rsidR="003A2F0A" w:rsidRDefault="003A2F0A" w:rsidP="003A2F0A">
            <w:pPr>
              <w:pStyle w:val="ListParagraph"/>
              <w:numPr>
                <w:ilvl w:val="0"/>
                <w:numId w:val="29"/>
              </w:numPr>
            </w:pPr>
            <w:r>
              <w:t>Amendments to the Critical Aspects of Evidence</w:t>
            </w:r>
          </w:p>
          <w:p w14:paraId="3DEE164D" w14:textId="77777777" w:rsidR="003A2F0A" w:rsidRDefault="003A2F0A" w:rsidP="003A2F0A">
            <w:pPr>
              <w:pStyle w:val="ListParagraph"/>
              <w:numPr>
                <w:ilvl w:val="0"/>
                <w:numId w:val="29"/>
              </w:numPr>
            </w:pPr>
            <w:r>
              <w:t>Modify - Last dot point reads “paint systems to contain lead or asbestos”, amend the word “contain” to “encapsulate”.</w:t>
            </w:r>
          </w:p>
          <w:p w14:paraId="71DA5C6A" w14:textId="77777777" w:rsidR="003A2F0A" w:rsidRDefault="003A2F0A" w:rsidP="003A2F0A">
            <w:pPr>
              <w:pStyle w:val="ListParagraph"/>
              <w:numPr>
                <w:ilvl w:val="0"/>
                <w:numId w:val="29"/>
              </w:numPr>
            </w:pPr>
            <w:r>
              <w:t xml:space="preserve">Required skills and knowledge.   </w:t>
            </w:r>
          </w:p>
          <w:p w14:paraId="6118438B" w14:textId="77777777" w:rsidR="003A2F0A" w:rsidRDefault="003A2F0A" w:rsidP="003A2F0A">
            <w:pPr>
              <w:pStyle w:val="ListParagraph"/>
              <w:numPr>
                <w:ilvl w:val="0"/>
                <w:numId w:val="29"/>
              </w:numPr>
            </w:pPr>
            <w:r>
              <w:t>Addition - Identify modern day paints containing lead.</w:t>
            </w:r>
          </w:p>
          <w:p w14:paraId="7AE42135" w14:textId="77777777" w:rsidR="003A2F0A" w:rsidRDefault="003A2F0A" w:rsidP="003A2F0A">
            <w:pPr>
              <w:pStyle w:val="ListParagraph"/>
              <w:numPr>
                <w:ilvl w:val="0"/>
                <w:numId w:val="29"/>
              </w:numPr>
            </w:pPr>
            <w:r>
              <w:t>Addition - of testing for presence of lead</w:t>
            </w:r>
          </w:p>
          <w:p w14:paraId="1CDAD5CF" w14:textId="77777777" w:rsidR="003A2F0A" w:rsidRDefault="003A2F0A" w:rsidP="003A2F0A">
            <w:pPr>
              <w:pStyle w:val="ListParagraph"/>
              <w:numPr>
                <w:ilvl w:val="0"/>
                <w:numId w:val="29"/>
              </w:numPr>
            </w:pPr>
            <w:r>
              <w:t>Under the tools and equipment heading</w:t>
            </w:r>
          </w:p>
          <w:p w14:paraId="12491AE0" w14:textId="77777777" w:rsidR="003A2F0A" w:rsidRDefault="003A2F0A" w:rsidP="003A2F0A">
            <w:pPr>
              <w:pStyle w:val="ListParagraph"/>
              <w:numPr>
                <w:ilvl w:val="0"/>
                <w:numId w:val="29"/>
              </w:numPr>
            </w:pPr>
            <w:r>
              <w:t>Remove - reference to heat guns from entire unit of competency</w:t>
            </w:r>
          </w:p>
          <w:p w14:paraId="1998D174" w14:textId="77777777" w:rsidR="003A2F0A" w:rsidRDefault="003A2F0A" w:rsidP="003A2F0A">
            <w:pPr>
              <w:pStyle w:val="ListParagraph"/>
              <w:numPr>
                <w:ilvl w:val="0"/>
                <w:numId w:val="29"/>
              </w:numPr>
            </w:pPr>
            <w:r>
              <w:t>Remove - processes heading</w:t>
            </w:r>
          </w:p>
          <w:p w14:paraId="16A80CF6" w14:textId="77777777" w:rsidR="003A2F0A" w:rsidRDefault="003A2F0A" w:rsidP="003A2F0A">
            <w:pPr>
              <w:pStyle w:val="ListParagraph"/>
              <w:numPr>
                <w:ilvl w:val="0"/>
                <w:numId w:val="29"/>
              </w:numPr>
            </w:pPr>
            <w:r>
              <w:t>Remove - “sanders” and change “Use of HEPA vacuum equipped sanders”</w:t>
            </w:r>
          </w:p>
          <w:p w14:paraId="4805E739" w14:textId="77777777" w:rsidR="003A2F0A" w:rsidRDefault="003A2F0A" w:rsidP="003A2F0A">
            <w:pPr>
              <w:pStyle w:val="ListParagraph"/>
              <w:numPr>
                <w:ilvl w:val="0"/>
                <w:numId w:val="29"/>
              </w:numPr>
            </w:pPr>
            <w:r>
              <w:lastRenderedPageBreak/>
              <w:t xml:space="preserve">Currently says types and specifications of lead based paints and the manufacturer recommendations for removal. </w:t>
            </w:r>
          </w:p>
          <w:p w14:paraId="258455D8" w14:textId="77777777" w:rsidR="003A2F0A" w:rsidRDefault="003A2F0A" w:rsidP="003A2F0A">
            <w:pPr>
              <w:pStyle w:val="ListParagraph"/>
              <w:numPr>
                <w:ilvl w:val="0"/>
                <w:numId w:val="29"/>
              </w:numPr>
            </w:pPr>
            <w:r>
              <w:t>Modify - to say types and specifications of lead based paints with a new dot point to say industry standards recommendations for the safe removal of lead and asbestos.</w:t>
            </w:r>
          </w:p>
          <w:p w14:paraId="47E65CD2" w14:textId="60DDF4AB" w:rsidR="008039A6" w:rsidRDefault="003A2F0A" w:rsidP="003A2F0A">
            <w:pPr>
              <w:pStyle w:val="ListParagraph"/>
              <w:numPr>
                <w:ilvl w:val="0"/>
                <w:numId w:val="29"/>
              </w:numPr>
            </w:pPr>
            <w:r>
              <w:t>Addition - awareness of current regulatory requirements and industry standards for lead and asbestos.</w:t>
            </w:r>
          </w:p>
        </w:tc>
      </w:tr>
      <w:tr w:rsidR="008039A6" w14:paraId="7B0B1011" w14:textId="77777777" w:rsidTr="008039A6">
        <w:tc>
          <w:tcPr>
            <w:tcW w:w="9016" w:type="dxa"/>
          </w:tcPr>
          <w:p w14:paraId="0A42097F" w14:textId="48C3C4EA" w:rsidR="003A2F0A" w:rsidRDefault="003A2F0A" w:rsidP="003A2F0A">
            <w:r>
              <w:lastRenderedPageBreak/>
              <w:t>CPCCPD3030B Apply protective paint coating systems</w:t>
            </w:r>
          </w:p>
          <w:p w14:paraId="2272F227" w14:textId="77777777" w:rsidR="003A2F0A" w:rsidRDefault="003A2F0A" w:rsidP="003A2F0A">
            <w:pPr>
              <w:pStyle w:val="ListParagraph"/>
              <w:numPr>
                <w:ilvl w:val="0"/>
                <w:numId w:val="30"/>
              </w:numPr>
            </w:pPr>
            <w:r>
              <w:t xml:space="preserve">It is in the opinion of the group that the evidence guide is restrictive and should reflect a greater emphasis on the materials in the range statement, and further that the description of the evidence guide is not adequate in its reflection of an assessment. </w:t>
            </w:r>
          </w:p>
          <w:p w14:paraId="2EC091AB" w14:textId="77777777" w:rsidR="003A2F0A" w:rsidRDefault="003A2F0A" w:rsidP="003A2F0A">
            <w:pPr>
              <w:pStyle w:val="ListParagraph"/>
              <w:numPr>
                <w:ilvl w:val="0"/>
                <w:numId w:val="30"/>
              </w:numPr>
            </w:pPr>
            <w:r>
              <w:t>Modify - the title of unit to Apply Industrial Paint Coating Systems</w:t>
            </w:r>
          </w:p>
          <w:p w14:paraId="2CA11C3F" w14:textId="77777777" w:rsidR="003A2F0A" w:rsidRDefault="003A2F0A" w:rsidP="003A2F0A">
            <w:pPr>
              <w:pStyle w:val="ListParagraph"/>
              <w:numPr>
                <w:ilvl w:val="0"/>
                <w:numId w:val="30"/>
              </w:numPr>
            </w:pPr>
            <w:r>
              <w:t xml:space="preserve">Modify - Dot point six in the evidence guide to read </w:t>
            </w:r>
          </w:p>
          <w:p w14:paraId="3BC56F89" w14:textId="77777777" w:rsidR="003A2F0A" w:rsidRDefault="003A2F0A" w:rsidP="003A2F0A">
            <w:pPr>
              <w:pStyle w:val="ListParagraph"/>
              <w:numPr>
                <w:ilvl w:val="0"/>
                <w:numId w:val="30"/>
              </w:numPr>
            </w:pPr>
            <w:r>
              <w:t xml:space="preserve">“Prepare an application of a minimum of four protective paint coatings, two </w:t>
            </w:r>
            <w:proofErr w:type="gramStart"/>
            <w:r>
              <w:t>water</w:t>
            </w:r>
            <w:proofErr w:type="gramEnd"/>
            <w:r>
              <w:t xml:space="preserve"> based and two solvent based of a minimum of two square metres.”</w:t>
            </w:r>
          </w:p>
          <w:p w14:paraId="20549BA9" w14:textId="77777777" w:rsidR="003A2F0A" w:rsidRDefault="003A2F0A" w:rsidP="003A2F0A">
            <w:pPr>
              <w:pStyle w:val="ListParagraph"/>
              <w:numPr>
                <w:ilvl w:val="0"/>
                <w:numId w:val="30"/>
              </w:numPr>
            </w:pPr>
            <w:r>
              <w:t>Addition - Application must be applied to one metal and one masonry surface.</w:t>
            </w:r>
          </w:p>
          <w:p w14:paraId="3A2A1241" w14:textId="68E46168" w:rsidR="008039A6" w:rsidRDefault="003A2F0A" w:rsidP="003A2F0A">
            <w:pPr>
              <w:pStyle w:val="ListParagraph"/>
              <w:numPr>
                <w:ilvl w:val="0"/>
                <w:numId w:val="30"/>
              </w:numPr>
            </w:pPr>
            <w:r>
              <w:t>Coatings to include water based/solvent based coatings and to include single and 2 pack coatings</w:t>
            </w:r>
          </w:p>
        </w:tc>
      </w:tr>
      <w:tr w:rsidR="003A2F0A" w14:paraId="6801CF60" w14:textId="77777777" w:rsidTr="008039A6">
        <w:tc>
          <w:tcPr>
            <w:tcW w:w="9016" w:type="dxa"/>
          </w:tcPr>
          <w:p w14:paraId="3DA299D8" w14:textId="77777777" w:rsidR="003A2F0A" w:rsidRDefault="003A2F0A" w:rsidP="003A2F0A">
            <w:r>
              <w:t>CPCCPD3023</w:t>
            </w:r>
            <w:proofErr w:type="gramStart"/>
            <w:r>
              <w:t>A  Apply</w:t>
            </w:r>
            <w:proofErr w:type="gramEnd"/>
            <w:r>
              <w:t xml:space="preserve"> texture coat paint finishes by brush roller and spray</w:t>
            </w:r>
          </w:p>
          <w:p w14:paraId="24FF0F7C" w14:textId="21F4B70E" w:rsidR="003A2F0A" w:rsidRDefault="003A2F0A" w:rsidP="003A2F0A">
            <w:pPr>
              <w:pStyle w:val="ListParagraph"/>
              <w:numPr>
                <w:ilvl w:val="0"/>
                <w:numId w:val="31"/>
              </w:numPr>
            </w:pPr>
            <w:r>
              <w:t>Addition - The addition of Mitts should be included in the range statement, under tools and equipment to reflect current industry practice</w:t>
            </w:r>
          </w:p>
        </w:tc>
      </w:tr>
      <w:tr w:rsidR="003A2F0A" w14:paraId="12A2687E" w14:textId="77777777" w:rsidTr="008039A6">
        <w:tc>
          <w:tcPr>
            <w:tcW w:w="9016" w:type="dxa"/>
          </w:tcPr>
          <w:p w14:paraId="7CB91497" w14:textId="77777777" w:rsidR="003A2F0A" w:rsidRDefault="003A2F0A" w:rsidP="003A2F0A">
            <w:r>
              <w:t xml:space="preserve">CPCCPD3026A Apply Stain and Clear </w:t>
            </w:r>
            <w:proofErr w:type="gramStart"/>
            <w:r>
              <w:t>timber</w:t>
            </w:r>
            <w:proofErr w:type="gramEnd"/>
            <w:r>
              <w:t xml:space="preserve"> Finishes</w:t>
            </w:r>
          </w:p>
          <w:p w14:paraId="6357EBCD" w14:textId="77777777" w:rsidR="003A2F0A" w:rsidRDefault="003A2F0A" w:rsidP="003A2F0A">
            <w:pPr>
              <w:pStyle w:val="ListParagraph"/>
              <w:numPr>
                <w:ilvl w:val="0"/>
                <w:numId w:val="31"/>
              </w:numPr>
            </w:pPr>
            <w:r>
              <w:t>Amendments to the Critical Aspects of Evidence</w:t>
            </w:r>
          </w:p>
          <w:p w14:paraId="3EFDF68F" w14:textId="77777777" w:rsidR="003A2F0A" w:rsidRDefault="003A2F0A" w:rsidP="003A2F0A">
            <w:pPr>
              <w:pStyle w:val="ListParagraph"/>
              <w:numPr>
                <w:ilvl w:val="0"/>
                <w:numId w:val="31"/>
              </w:numPr>
            </w:pPr>
            <w:r>
              <w:t>Modify - Dot point 7 currently states: “Apply at least one stain and one clear finish to 2 previously treated timber surfaces with each stain and clear finish application to not be less than 2 square metres or 2 linear metres in each case”</w:t>
            </w:r>
          </w:p>
          <w:p w14:paraId="2FE892AF" w14:textId="77777777" w:rsidR="003A2F0A" w:rsidRDefault="003A2F0A" w:rsidP="003A2F0A">
            <w:pPr>
              <w:pStyle w:val="ListParagraph"/>
              <w:numPr>
                <w:ilvl w:val="0"/>
                <w:numId w:val="31"/>
              </w:numPr>
            </w:pPr>
            <w:r>
              <w:t xml:space="preserve">Recommendation: Apply at least one stain and one sanding sealer, 2 clear finishes to a new timber surface. </w:t>
            </w:r>
          </w:p>
          <w:p w14:paraId="08500909" w14:textId="77777777" w:rsidR="003A2F0A" w:rsidRDefault="003A2F0A" w:rsidP="003A2F0A">
            <w:pPr>
              <w:pStyle w:val="ListParagraph"/>
              <w:numPr>
                <w:ilvl w:val="0"/>
                <w:numId w:val="31"/>
              </w:numPr>
            </w:pPr>
            <w:r>
              <w:t>Apply 2 clear finishes to 2 previously treated timber surfaces.</w:t>
            </w:r>
          </w:p>
          <w:p w14:paraId="26C5F05A" w14:textId="0177605C" w:rsidR="003A2F0A" w:rsidRDefault="003A2F0A" w:rsidP="003A2F0A">
            <w:pPr>
              <w:pStyle w:val="ListParagraph"/>
              <w:numPr>
                <w:ilvl w:val="0"/>
                <w:numId w:val="31"/>
              </w:numPr>
            </w:pPr>
            <w:r>
              <w:t>To be not less than 2 square metres or 2 linear metres in each case</w:t>
            </w:r>
          </w:p>
        </w:tc>
      </w:tr>
      <w:tr w:rsidR="003A2F0A" w14:paraId="592BB650" w14:textId="77777777" w:rsidTr="008039A6">
        <w:tc>
          <w:tcPr>
            <w:tcW w:w="9016" w:type="dxa"/>
          </w:tcPr>
          <w:p w14:paraId="7391E13F" w14:textId="5156FD88" w:rsidR="003A2F0A" w:rsidRDefault="003A2F0A" w:rsidP="003A2F0A">
            <w:r>
              <w:t xml:space="preserve">CPCCCPD3022A Apply Paint </w:t>
            </w:r>
            <w:proofErr w:type="gramStart"/>
            <w:r>
              <w:t>By</w:t>
            </w:r>
            <w:proofErr w:type="gramEnd"/>
            <w:r>
              <w:t xml:space="preserve"> Brush and Roller</w:t>
            </w:r>
          </w:p>
          <w:p w14:paraId="1498D1A4" w14:textId="213BE5D0" w:rsidR="003A2F0A" w:rsidRDefault="003A2F0A" w:rsidP="003A2F0A">
            <w:pPr>
              <w:pStyle w:val="ListParagraph"/>
              <w:numPr>
                <w:ilvl w:val="0"/>
                <w:numId w:val="32"/>
              </w:numPr>
            </w:pPr>
            <w:r>
              <w:t>Amendments to the Critical Aspects of Evidence</w:t>
            </w:r>
          </w:p>
          <w:p w14:paraId="71917F09" w14:textId="12B8C76D" w:rsidR="003A2F0A" w:rsidRDefault="003A2F0A" w:rsidP="003A2F0A">
            <w:pPr>
              <w:pStyle w:val="ListParagraph"/>
              <w:numPr>
                <w:ilvl w:val="0"/>
                <w:numId w:val="32"/>
              </w:numPr>
            </w:pPr>
            <w:r>
              <w:t xml:space="preserve">Modify - Dot point 6 – sub dot point 2 the reference to 6 square metre be increased to 1000 square metres </w:t>
            </w:r>
            <w:proofErr w:type="gramStart"/>
            <w:r>
              <w:t>by  application</w:t>
            </w:r>
            <w:proofErr w:type="gramEnd"/>
            <w:r>
              <w:t xml:space="preserve"> with roller and 1000 square meters with a brush.</w:t>
            </w:r>
          </w:p>
          <w:p w14:paraId="63CDCAD8" w14:textId="738BA872" w:rsidR="003A2F0A" w:rsidRDefault="003A2F0A" w:rsidP="003A2F0A">
            <w:pPr>
              <w:pStyle w:val="ListParagraph"/>
              <w:numPr>
                <w:ilvl w:val="0"/>
                <w:numId w:val="32"/>
              </w:numPr>
            </w:pPr>
            <w:r>
              <w:t>Addition - Sub dot point 4 with reference to flush panel door needs to be amended to include (by brush) with the inclusion of a further sub dot point (a flush panel door by roller)</w:t>
            </w:r>
          </w:p>
          <w:p w14:paraId="32439218" w14:textId="20FB2B89" w:rsidR="003A2F0A" w:rsidRDefault="003A2F0A" w:rsidP="003A2F0A">
            <w:pPr>
              <w:pStyle w:val="ListParagraph"/>
              <w:numPr>
                <w:ilvl w:val="0"/>
                <w:numId w:val="32"/>
              </w:numPr>
            </w:pPr>
            <w:r>
              <w:t xml:space="preserve">Addition - Sub dot point 1 change from 4 to 9 different surface types being - Plaster, Solid Plaster, Timber, Render, Cement Sheet Bricks Masonry </w:t>
            </w:r>
            <w:proofErr w:type="gramStart"/>
            <w:r>
              <w:t>Concrete</w:t>
            </w:r>
            <w:proofErr w:type="gramEnd"/>
            <w:r>
              <w:t xml:space="preserve"> and Metal.</w:t>
            </w:r>
          </w:p>
          <w:p w14:paraId="2986041F" w14:textId="2F02AFB1" w:rsidR="003A2F0A" w:rsidRDefault="003A2F0A" w:rsidP="003A2F0A">
            <w:pPr>
              <w:pStyle w:val="ListParagraph"/>
              <w:numPr>
                <w:ilvl w:val="0"/>
                <w:numId w:val="32"/>
              </w:numPr>
            </w:pPr>
            <w:r>
              <w:t>Range Statement</w:t>
            </w:r>
          </w:p>
          <w:p w14:paraId="0F0E8E28" w14:textId="75710E72" w:rsidR="003A2F0A" w:rsidRDefault="003A2F0A" w:rsidP="003A2F0A">
            <w:pPr>
              <w:pStyle w:val="ListParagraph"/>
              <w:numPr>
                <w:ilvl w:val="0"/>
                <w:numId w:val="32"/>
              </w:numPr>
            </w:pPr>
            <w:r>
              <w:t xml:space="preserve">Addition - Under </w:t>
            </w:r>
            <w:proofErr w:type="gramStart"/>
            <w:r>
              <w:t>heading</w:t>
            </w:r>
            <w:proofErr w:type="gramEnd"/>
            <w:r>
              <w:t xml:space="preserve"> Tools and Equipment inclusion of roller trays and roller sleeves</w:t>
            </w:r>
          </w:p>
          <w:p w14:paraId="3C4D71F7" w14:textId="4EA490F2" w:rsidR="003A2F0A" w:rsidRDefault="003A2F0A" w:rsidP="003A2F0A">
            <w:pPr>
              <w:pStyle w:val="ListParagraph"/>
              <w:numPr>
                <w:ilvl w:val="0"/>
                <w:numId w:val="32"/>
              </w:numPr>
            </w:pPr>
            <w:r>
              <w:t>Modify - Relocate dusters from heading “may include” to heading “include”</w:t>
            </w:r>
          </w:p>
          <w:p w14:paraId="375FB3AD" w14:textId="58FB9E86" w:rsidR="003A2F0A" w:rsidRDefault="003A2F0A" w:rsidP="003A2F0A">
            <w:pPr>
              <w:pStyle w:val="ListParagraph"/>
              <w:numPr>
                <w:ilvl w:val="0"/>
                <w:numId w:val="32"/>
              </w:numPr>
            </w:pPr>
            <w:r>
              <w:t>Remove - From the may include list remove reference to flame</w:t>
            </w:r>
          </w:p>
          <w:p w14:paraId="68A97913" w14:textId="4074D4A9" w:rsidR="003A2F0A" w:rsidRDefault="003A2F0A" w:rsidP="003A2F0A">
            <w:pPr>
              <w:pStyle w:val="ListParagraph"/>
              <w:numPr>
                <w:ilvl w:val="0"/>
                <w:numId w:val="32"/>
              </w:numPr>
            </w:pPr>
            <w:r>
              <w:t xml:space="preserve">Required skills and knowledge.   </w:t>
            </w:r>
          </w:p>
          <w:p w14:paraId="1E8B1830" w14:textId="4896C137" w:rsidR="003A2F0A" w:rsidRDefault="003A2F0A" w:rsidP="003A2F0A">
            <w:pPr>
              <w:pStyle w:val="ListParagraph"/>
              <w:numPr>
                <w:ilvl w:val="0"/>
                <w:numId w:val="32"/>
              </w:numPr>
            </w:pPr>
            <w:r>
              <w:t>Addition - correct sequence of application of paint to doors and windows</w:t>
            </w:r>
          </w:p>
        </w:tc>
      </w:tr>
    </w:tbl>
    <w:p w14:paraId="463CBBB9" w14:textId="77777777" w:rsidR="008039A6" w:rsidRDefault="008039A6" w:rsidP="008039A6"/>
    <w:sectPr w:rsidR="008039A6" w:rsidSect="00E71F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CC52" w14:textId="77777777" w:rsidR="00CF1526" w:rsidRDefault="00CF1526" w:rsidP="00CB6588">
      <w:pPr>
        <w:spacing w:after="0" w:line="240" w:lineRule="auto"/>
      </w:pPr>
      <w:r>
        <w:separator/>
      </w:r>
    </w:p>
  </w:endnote>
  <w:endnote w:type="continuationSeparator" w:id="0">
    <w:p w14:paraId="510F8EE2" w14:textId="77777777" w:rsidR="00CF1526" w:rsidRDefault="00CF1526" w:rsidP="00CB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DAC1" w14:textId="77777777" w:rsidR="00D809CB" w:rsidRDefault="00D809CB" w:rsidP="00E34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66B1B" w14:textId="77777777" w:rsidR="00D809CB" w:rsidRDefault="00D809CB" w:rsidP="00CB65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2EA8" w14:textId="5E5A5D15" w:rsidR="00D809CB" w:rsidRDefault="00D809CB" w:rsidP="00E34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7AA86F4" w14:textId="77777777" w:rsidR="00D809CB" w:rsidRDefault="00D809CB" w:rsidP="00CB65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2E67" w14:textId="77777777" w:rsidR="00D809CB" w:rsidRDefault="00D80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79039" w14:textId="77777777" w:rsidR="00CF1526" w:rsidRDefault="00CF1526" w:rsidP="00CB6588">
      <w:pPr>
        <w:spacing w:after="0" w:line="240" w:lineRule="auto"/>
      </w:pPr>
      <w:r>
        <w:separator/>
      </w:r>
    </w:p>
  </w:footnote>
  <w:footnote w:type="continuationSeparator" w:id="0">
    <w:p w14:paraId="2C163BCD" w14:textId="77777777" w:rsidR="00CF1526" w:rsidRDefault="00CF1526" w:rsidP="00CB6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C2BE" w14:textId="77777777" w:rsidR="00D809CB" w:rsidRDefault="00D80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414057"/>
      <w:docPartObj>
        <w:docPartGallery w:val="Watermarks"/>
        <w:docPartUnique/>
      </w:docPartObj>
    </w:sdtPr>
    <w:sdtEndPr/>
    <w:sdtContent>
      <w:p w14:paraId="50405461" w14:textId="06DD462F" w:rsidR="00D809CB" w:rsidRDefault="00CF1526">
        <w:pPr>
          <w:pStyle w:val="Header"/>
        </w:pPr>
        <w:r>
          <w:rPr>
            <w:noProof/>
          </w:rPr>
          <w:pict w14:anchorId="03A17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321C" w14:textId="77777777" w:rsidR="00D809CB" w:rsidRDefault="00D80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B3A"/>
    <w:multiLevelType w:val="hybridMultilevel"/>
    <w:tmpl w:val="2C88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C743E"/>
    <w:multiLevelType w:val="hybridMultilevel"/>
    <w:tmpl w:val="654EF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0591D"/>
    <w:multiLevelType w:val="hybridMultilevel"/>
    <w:tmpl w:val="F208D202"/>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A1BD3"/>
    <w:multiLevelType w:val="hybridMultilevel"/>
    <w:tmpl w:val="5D6672F4"/>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14BC7"/>
    <w:multiLevelType w:val="hybridMultilevel"/>
    <w:tmpl w:val="C51C3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D427AC"/>
    <w:multiLevelType w:val="hybridMultilevel"/>
    <w:tmpl w:val="5942A92E"/>
    <w:lvl w:ilvl="0" w:tplc="8FB470A2">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0785390"/>
    <w:multiLevelType w:val="hybridMultilevel"/>
    <w:tmpl w:val="0736E4EA"/>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6468E"/>
    <w:multiLevelType w:val="hybridMultilevel"/>
    <w:tmpl w:val="E13A2A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96E1E84"/>
    <w:multiLevelType w:val="hybridMultilevel"/>
    <w:tmpl w:val="CB26F286"/>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C301C6"/>
    <w:multiLevelType w:val="hybridMultilevel"/>
    <w:tmpl w:val="4C5CEC5A"/>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A137F9"/>
    <w:multiLevelType w:val="hybridMultilevel"/>
    <w:tmpl w:val="2CC283B4"/>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7158E5"/>
    <w:multiLevelType w:val="hybridMultilevel"/>
    <w:tmpl w:val="61709CD6"/>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A147D0"/>
    <w:multiLevelType w:val="hybridMultilevel"/>
    <w:tmpl w:val="B9C0B3D8"/>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F9460B"/>
    <w:multiLevelType w:val="hybridMultilevel"/>
    <w:tmpl w:val="AC26C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EC4095"/>
    <w:multiLevelType w:val="hybridMultilevel"/>
    <w:tmpl w:val="7A1CF1A8"/>
    <w:lvl w:ilvl="0" w:tplc="8FB470A2">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90C380C"/>
    <w:multiLevelType w:val="hybridMultilevel"/>
    <w:tmpl w:val="C34A6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A90B5A"/>
    <w:multiLevelType w:val="hybridMultilevel"/>
    <w:tmpl w:val="ADCE38BC"/>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2A24A6"/>
    <w:multiLevelType w:val="hybridMultilevel"/>
    <w:tmpl w:val="5C2EB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6E80154"/>
    <w:multiLevelType w:val="hybridMultilevel"/>
    <w:tmpl w:val="23689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4678FD"/>
    <w:multiLevelType w:val="hybridMultilevel"/>
    <w:tmpl w:val="8C7E4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4C028F"/>
    <w:multiLevelType w:val="hybridMultilevel"/>
    <w:tmpl w:val="A0FC727C"/>
    <w:lvl w:ilvl="0" w:tplc="8FB470A2">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9464C99"/>
    <w:multiLevelType w:val="hybridMultilevel"/>
    <w:tmpl w:val="18FE1064"/>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316214"/>
    <w:multiLevelType w:val="hybridMultilevel"/>
    <w:tmpl w:val="E238F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1520107"/>
    <w:multiLevelType w:val="hybridMultilevel"/>
    <w:tmpl w:val="4D60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CF4320"/>
    <w:multiLevelType w:val="hybridMultilevel"/>
    <w:tmpl w:val="EA3A4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3A77F88"/>
    <w:multiLevelType w:val="hybridMultilevel"/>
    <w:tmpl w:val="D778A420"/>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5D4DE8"/>
    <w:multiLevelType w:val="hybridMultilevel"/>
    <w:tmpl w:val="F59C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70078D"/>
    <w:multiLevelType w:val="hybridMultilevel"/>
    <w:tmpl w:val="C240AF6C"/>
    <w:lvl w:ilvl="0" w:tplc="8FB470A2">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5559FE"/>
    <w:multiLevelType w:val="hybridMultilevel"/>
    <w:tmpl w:val="4B44F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374890"/>
    <w:multiLevelType w:val="hybridMultilevel"/>
    <w:tmpl w:val="26DE7190"/>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2E09C5"/>
    <w:multiLevelType w:val="hybridMultilevel"/>
    <w:tmpl w:val="DBD05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F51D91"/>
    <w:multiLevelType w:val="hybridMultilevel"/>
    <w:tmpl w:val="127C6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1875F0"/>
    <w:multiLevelType w:val="hybridMultilevel"/>
    <w:tmpl w:val="2F44C120"/>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C70126"/>
    <w:multiLevelType w:val="hybridMultilevel"/>
    <w:tmpl w:val="804C4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7820CF"/>
    <w:multiLevelType w:val="hybridMultilevel"/>
    <w:tmpl w:val="0D2A7DE0"/>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C247E5"/>
    <w:multiLevelType w:val="hybridMultilevel"/>
    <w:tmpl w:val="A088F63C"/>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0310E7"/>
    <w:multiLevelType w:val="hybridMultilevel"/>
    <w:tmpl w:val="28FCD3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9F65C6F"/>
    <w:multiLevelType w:val="hybridMultilevel"/>
    <w:tmpl w:val="CB10B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046D37"/>
    <w:multiLevelType w:val="hybridMultilevel"/>
    <w:tmpl w:val="4B3A79E8"/>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755705"/>
    <w:multiLevelType w:val="hybridMultilevel"/>
    <w:tmpl w:val="2A60F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A9A511D"/>
    <w:multiLevelType w:val="hybridMultilevel"/>
    <w:tmpl w:val="2D78B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3930A7"/>
    <w:multiLevelType w:val="hybridMultilevel"/>
    <w:tmpl w:val="5F1665E6"/>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524EC4"/>
    <w:multiLevelType w:val="hybridMultilevel"/>
    <w:tmpl w:val="DF0A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CD506F"/>
    <w:multiLevelType w:val="hybridMultilevel"/>
    <w:tmpl w:val="0054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B32B26"/>
    <w:multiLevelType w:val="hybridMultilevel"/>
    <w:tmpl w:val="5CF6D310"/>
    <w:lvl w:ilvl="0" w:tplc="8FB470A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AA1896"/>
    <w:multiLevelType w:val="hybridMultilevel"/>
    <w:tmpl w:val="C0CE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5713A9"/>
    <w:multiLevelType w:val="hybridMultilevel"/>
    <w:tmpl w:val="CBFC0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31"/>
  </w:num>
  <w:num w:numId="4">
    <w:abstractNumId w:val="37"/>
  </w:num>
  <w:num w:numId="5">
    <w:abstractNumId w:val="4"/>
  </w:num>
  <w:num w:numId="6">
    <w:abstractNumId w:val="43"/>
  </w:num>
  <w:num w:numId="7">
    <w:abstractNumId w:val="18"/>
  </w:num>
  <w:num w:numId="8">
    <w:abstractNumId w:val="42"/>
  </w:num>
  <w:num w:numId="9">
    <w:abstractNumId w:val="15"/>
  </w:num>
  <w:num w:numId="10">
    <w:abstractNumId w:val="14"/>
  </w:num>
  <w:num w:numId="11">
    <w:abstractNumId w:val="9"/>
  </w:num>
  <w:num w:numId="12">
    <w:abstractNumId w:val="27"/>
  </w:num>
  <w:num w:numId="13">
    <w:abstractNumId w:val="5"/>
  </w:num>
  <w:num w:numId="14">
    <w:abstractNumId w:val="20"/>
  </w:num>
  <w:num w:numId="15">
    <w:abstractNumId w:val="44"/>
  </w:num>
  <w:num w:numId="16">
    <w:abstractNumId w:val="13"/>
  </w:num>
  <w:num w:numId="17">
    <w:abstractNumId w:val="6"/>
  </w:num>
  <w:num w:numId="18">
    <w:abstractNumId w:val="12"/>
  </w:num>
  <w:num w:numId="19">
    <w:abstractNumId w:val="11"/>
  </w:num>
  <w:num w:numId="20">
    <w:abstractNumId w:val="29"/>
  </w:num>
  <w:num w:numId="21">
    <w:abstractNumId w:val="2"/>
  </w:num>
  <w:num w:numId="22">
    <w:abstractNumId w:val="35"/>
  </w:num>
  <w:num w:numId="23">
    <w:abstractNumId w:val="34"/>
  </w:num>
  <w:num w:numId="24">
    <w:abstractNumId w:val="38"/>
  </w:num>
  <w:num w:numId="25">
    <w:abstractNumId w:val="16"/>
  </w:num>
  <w:num w:numId="26">
    <w:abstractNumId w:val="25"/>
  </w:num>
  <w:num w:numId="27">
    <w:abstractNumId w:val="3"/>
  </w:num>
  <w:num w:numId="28">
    <w:abstractNumId w:val="32"/>
  </w:num>
  <w:num w:numId="29">
    <w:abstractNumId w:val="8"/>
  </w:num>
  <w:num w:numId="30">
    <w:abstractNumId w:val="10"/>
  </w:num>
  <w:num w:numId="31">
    <w:abstractNumId w:val="21"/>
  </w:num>
  <w:num w:numId="32">
    <w:abstractNumId w:val="41"/>
  </w:num>
  <w:num w:numId="33">
    <w:abstractNumId w:val="7"/>
  </w:num>
  <w:num w:numId="34">
    <w:abstractNumId w:val="24"/>
  </w:num>
  <w:num w:numId="35">
    <w:abstractNumId w:val="17"/>
  </w:num>
  <w:num w:numId="36">
    <w:abstractNumId w:val="36"/>
  </w:num>
  <w:num w:numId="37">
    <w:abstractNumId w:val="22"/>
  </w:num>
  <w:num w:numId="38">
    <w:abstractNumId w:val="30"/>
  </w:num>
  <w:num w:numId="39">
    <w:abstractNumId w:val="40"/>
  </w:num>
  <w:num w:numId="40">
    <w:abstractNumId w:val="39"/>
  </w:num>
  <w:num w:numId="41">
    <w:abstractNumId w:val="46"/>
  </w:num>
  <w:num w:numId="42">
    <w:abstractNumId w:val="33"/>
  </w:num>
  <w:num w:numId="43">
    <w:abstractNumId w:val="0"/>
  </w:num>
  <w:num w:numId="44">
    <w:abstractNumId w:val="1"/>
  </w:num>
  <w:num w:numId="45">
    <w:abstractNumId w:val="26"/>
  </w:num>
  <w:num w:numId="46">
    <w:abstractNumId w:val="4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EF"/>
    <w:rsid w:val="00010ABF"/>
    <w:rsid w:val="00013D78"/>
    <w:rsid w:val="000429E8"/>
    <w:rsid w:val="0005222B"/>
    <w:rsid w:val="000531AE"/>
    <w:rsid w:val="00060BC2"/>
    <w:rsid w:val="000811C9"/>
    <w:rsid w:val="00082F9C"/>
    <w:rsid w:val="00084F56"/>
    <w:rsid w:val="00085149"/>
    <w:rsid w:val="0009754E"/>
    <w:rsid w:val="000A2D9F"/>
    <w:rsid w:val="000A6CBB"/>
    <w:rsid w:val="000B6D87"/>
    <w:rsid w:val="000C3C05"/>
    <w:rsid w:val="000C6D1B"/>
    <w:rsid w:val="000D4820"/>
    <w:rsid w:val="000D55A7"/>
    <w:rsid w:val="000E33F4"/>
    <w:rsid w:val="000E565B"/>
    <w:rsid w:val="000E6D26"/>
    <w:rsid w:val="000E735F"/>
    <w:rsid w:val="000F0E6B"/>
    <w:rsid w:val="000F78D0"/>
    <w:rsid w:val="001214DE"/>
    <w:rsid w:val="00157DED"/>
    <w:rsid w:val="00174B0D"/>
    <w:rsid w:val="00180BE5"/>
    <w:rsid w:val="00195877"/>
    <w:rsid w:val="00197478"/>
    <w:rsid w:val="001A4D24"/>
    <w:rsid w:val="001B3A2F"/>
    <w:rsid w:val="001B626A"/>
    <w:rsid w:val="001B7B06"/>
    <w:rsid w:val="001F419D"/>
    <w:rsid w:val="00205600"/>
    <w:rsid w:val="00206F8E"/>
    <w:rsid w:val="00216DA7"/>
    <w:rsid w:val="00221D3B"/>
    <w:rsid w:val="002265A1"/>
    <w:rsid w:val="00232903"/>
    <w:rsid w:val="002368AF"/>
    <w:rsid w:val="00285845"/>
    <w:rsid w:val="002B38B0"/>
    <w:rsid w:val="002C08B4"/>
    <w:rsid w:val="002F3A09"/>
    <w:rsid w:val="002F7F7B"/>
    <w:rsid w:val="00302B0C"/>
    <w:rsid w:val="00312ABB"/>
    <w:rsid w:val="0032535F"/>
    <w:rsid w:val="00337895"/>
    <w:rsid w:val="00340CB5"/>
    <w:rsid w:val="00346146"/>
    <w:rsid w:val="0035123D"/>
    <w:rsid w:val="00371A5F"/>
    <w:rsid w:val="0037794A"/>
    <w:rsid w:val="00393A15"/>
    <w:rsid w:val="003A2F0A"/>
    <w:rsid w:val="003B0DE2"/>
    <w:rsid w:val="003C2413"/>
    <w:rsid w:val="003D62D8"/>
    <w:rsid w:val="003E1487"/>
    <w:rsid w:val="003E71FA"/>
    <w:rsid w:val="003F25BD"/>
    <w:rsid w:val="003F6A87"/>
    <w:rsid w:val="00407080"/>
    <w:rsid w:val="00412ED9"/>
    <w:rsid w:val="00427E7C"/>
    <w:rsid w:val="004350CC"/>
    <w:rsid w:val="004504A3"/>
    <w:rsid w:val="00467FEF"/>
    <w:rsid w:val="00472495"/>
    <w:rsid w:val="00473B63"/>
    <w:rsid w:val="0048048A"/>
    <w:rsid w:val="00482FF7"/>
    <w:rsid w:val="00483BDB"/>
    <w:rsid w:val="0049327C"/>
    <w:rsid w:val="0049563C"/>
    <w:rsid w:val="00497357"/>
    <w:rsid w:val="004A5AFF"/>
    <w:rsid w:val="004C1C95"/>
    <w:rsid w:val="004D3BE9"/>
    <w:rsid w:val="004D3D3D"/>
    <w:rsid w:val="004E09E0"/>
    <w:rsid w:val="004F111B"/>
    <w:rsid w:val="004F7A53"/>
    <w:rsid w:val="005029E0"/>
    <w:rsid w:val="00503818"/>
    <w:rsid w:val="005070D6"/>
    <w:rsid w:val="00530139"/>
    <w:rsid w:val="00545C92"/>
    <w:rsid w:val="00552E55"/>
    <w:rsid w:val="00554A56"/>
    <w:rsid w:val="0055615F"/>
    <w:rsid w:val="0056496D"/>
    <w:rsid w:val="0056587A"/>
    <w:rsid w:val="0057758F"/>
    <w:rsid w:val="00577FCA"/>
    <w:rsid w:val="0058585E"/>
    <w:rsid w:val="00587652"/>
    <w:rsid w:val="00590550"/>
    <w:rsid w:val="00590E8E"/>
    <w:rsid w:val="00595EDC"/>
    <w:rsid w:val="0059610B"/>
    <w:rsid w:val="005A0E29"/>
    <w:rsid w:val="005A266C"/>
    <w:rsid w:val="005A54E6"/>
    <w:rsid w:val="005C30C7"/>
    <w:rsid w:val="005C36B2"/>
    <w:rsid w:val="005F5AB6"/>
    <w:rsid w:val="006017B4"/>
    <w:rsid w:val="00611D3B"/>
    <w:rsid w:val="00616332"/>
    <w:rsid w:val="00632A26"/>
    <w:rsid w:val="00645E78"/>
    <w:rsid w:val="00650F8E"/>
    <w:rsid w:val="006643A0"/>
    <w:rsid w:val="00665471"/>
    <w:rsid w:val="006726D6"/>
    <w:rsid w:val="006776F7"/>
    <w:rsid w:val="006B43C1"/>
    <w:rsid w:val="006C3BDA"/>
    <w:rsid w:val="006D2B05"/>
    <w:rsid w:val="006D4E2E"/>
    <w:rsid w:val="006E4BB7"/>
    <w:rsid w:val="006F0262"/>
    <w:rsid w:val="00702C1B"/>
    <w:rsid w:val="00710BB0"/>
    <w:rsid w:val="00733B65"/>
    <w:rsid w:val="00762A4F"/>
    <w:rsid w:val="00764B84"/>
    <w:rsid w:val="007657A6"/>
    <w:rsid w:val="00786405"/>
    <w:rsid w:val="00796535"/>
    <w:rsid w:val="007B0781"/>
    <w:rsid w:val="007C76CB"/>
    <w:rsid w:val="007E318A"/>
    <w:rsid w:val="007E5C44"/>
    <w:rsid w:val="008039A6"/>
    <w:rsid w:val="00804CF8"/>
    <w:rsid w:val="00805F26"/>
    <w:rsid w:val="008068D6"/>
    <w:rsid w:val="0081555B"/>
    <w:rsid w:val="0081692D"/>
    <w:rsid w:val="00836F47"/>
    <w:rsid w:val="00837C06"/>
    <w:rsid w:val="008617DC"/>
    <w:rsid w:val="0086386F"/>
    <w:rsid w:val="00873A4B"/>
    <w:rsid w:val="008801A1"/>
    <w:rsid w:val="00883464"/>
    <w:rsid w:val="00887929"/>
    <w:rsid w:val="008A0C43"/>
    <w:rsid w:val="008A3746"/>
    <w:rsid w:val="008A61F4"/>
    <w:rsid w:val="008D0F24"/>
    <w:rsid w:val="008D5D03"/>
    <w:rsid w:val="008D6E26"/>
    <w:rsid w:val="008E5D68"/>
    <w:rsid w:val="00903296"/>
    <w:rsid w:val="00922301"/>
    <w:rsid w:val="00926EDF"/>
    <w:rsid w:val="00944501"/>
    <w:rsid w:val="00951DDE"/>
    <w:rsid w:val="00953A3F"/>
    <w:rsid w:val="0096342B"/>
    <w:rsid w:val="0097269E"/>
    <w:rsid w:val="009B4870"/>
    <w:rsid w:val="009C7BFF"/>
    <w:rsid w:val="009D2412"/>
    <w:rsid w:val="009E0930"/>
    <w:rsid w:val="009E1E29"/>
    <w:rsid w:val="009E324F"/>
    <w:rsid w:val="009F6363"/>
    <w:rsid w:val="00A158EA"/>
    <w:rsid w:val="00A25109"/>
    <w:rsid w:val="00A457EE"/>
    <w:rsid w:val="00A6778E"/>
    <w:rsid w:val="00A70A64"/>
    <w:rsid w:val="00A760CA"/>
    <w:rsid w:val="00A87342"/>
    <w:rsid w:val="00AA3911"/>
    <w:rsid w:val="00AB030E"/>
    <w:rsid w:val="00AC1185"/>
    <w:rsid w:val="00AC2DEA"/>
    <w:rsid w:val="00AF06BE"/>
    <w:rsid w:val="00AF4255"/>
    <w:rsid w:val="00B01972"/>
    <w:rsid w:val="00B12F81"/>
    <w:rsid w:val="00B25778"/>
    <w:rsid w:val="00B47658"/>
    <w:rsid w:val="00B5171D"/>
    <w:rsid w:val="00B56E22"/>
    <w:rsid w:val="00B604A4"/>
    <w:rsid w:val="00B679D0"/>
    <w:rsid w:val="00B96E30"/>
    <w:rsid w:val="00BA1234"/>
    <w:rsid w:val="00BA71DD"/>
    <w:rsid w:val="00BC4326"/>
    <w:rsid w:val="00C03669"/>
    <w:rsid w:val="00C1673F"/>
    <w:rsid w:val="00C4242F"/>
    <w:rsid w:val="00C45D2B"/>
    <w:rsid w:val="00C717E6"/>
    <w:rsid w:val="00C73BD5"/>
    <w:rsid w:val="00C8224F"/>
    <w:rsid w:val="00C854B9"/>
    <w:rsid w:val="00CB0754"/>
    <w:rsid w:val="00CB37ED"/>
    <w:rsid w:val="00CB6588"/>
    <w:rsid w:val="00CF1526"/>
    <w:rsid w:val="00CF5CED"/>
    <w:rsid w:val="00CF73D7"/>
    <w:rsid w:val="00D039DF"/>
    <w:rsid w:val="00D14504"/>
    <w:rsid w:val="00D34276"/>
    <w:rsid w:val="00D424C5"/>
    <w:rsid w:val="00D469CA"/>
    <w:rsid w:val="00D674D4"/>
    <w:rsid w:val="00D71C8C"/>
    <w:rsid w:val="00D809CB"/>
    <w:rsid w:val="00DC3C77"/>
    <w:rsid w:val="00DD5B76"/>
    <w:rsid w:val="00DF03BB"/>
    <w:rsid w:val="00DF1E12"/>
    <w:rsid w:val="00E11007"/>
    <w:rsid w:val="00E12D2E"/>
    <w:rsid w:val="00E334B3"/>
    <w:rsid w:val="00E34398"/>
    <w:rsid w:val="00E362DD"/>
    <w:rsid w:val="00E64F30"/>
    <w:rsid w:val="00E650E8"/>
    <w:rsid w:val="00E67C84"/>
    <w:rsid w:val="00E71F80"/>
    <w:rsid w:val="00E73CA4"/>
    <w:rsid w:val="00E74345"/>
    <w:rsid w:val="00E8200E"/>
    <w:rsid w:val="00E85A65"/>
    <w:rsid w:val="00EB3A76"/>
    <w:rsid w:val="00EB4921"/>
    <w:rsid w:val="00EE5FCB"/>
    <w:rsid w:val="00F0199B"/>
    <w:rsid w:val="00F146C2"/>
    <w:rsid w:val="00F60A85"/>
    <w:rsid w:val="00F65A56"/>
    <w:rsid w:val="00F86ECB"/>
    <w:rsid w:val="00FA13FA"/>
    <w:rsid w:val="00FA14B6"/>
    <w:rsid w:val="00FD11A6"/>
    <w:rsid w:val="00FD24CA"/>
    <w:rsid w:val="00FE7553"/>
    <w:rsid w:val="00FE7568"/>
    <w:rsid w:val="00FF5B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7FA6B"/>
  <w15:docId w15:val="{5A4DCBB9-6E5F-4235-9DF3-1C49910F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FEF"/>
    <w:rPr>
      <w:rFonts w:ascii="Calibri" w:hAnsi="Calibri"/>
    </w:rPr>
  </w:style>
  <w:style w:type="paragraph" w:styleId="Heading1">
    <w:name w:val="heading 1"/>
    <w:basedOn w:val="Normal"/>
    <w:next w:val="Normal"/>
    <w:link w:val="Heading1Char"/>
    <w:uiPriority w:val="9"/>
    <w:qFormat/>
    <w:rsid w:val="0079653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8068D6"/>
    <w:pPr>
      <w:keepNext/>
      <w:keepLines/>
      <w:spacing w:before="40"/>
      <w:jc w:val="both"/>
      <w:outlineLvl w:val="1"/>
    </w:pPr>
    <w:rPr>
      <w:rFonts w:ascii="Calibri Light" w:eastAsiaTheme="majorEastAsia" w:hAnsi="Calibri Light" w:cstheme="majorBidi"/>
      <w:b/>
      <w:sz w:val="28"/>
      <w:szCs w:val="26"/>
    </w:rPr>
  </w:style>
  <w:style w:type="paragraph" w:styleId="Heading3">
    <w:name w:val="heading 3"/>
    <w:basedOn w:val="Normal"/>
    <w:next w:val="Normal"/>
    <w:link w:val="Heading3Char"/>
    <w:autoRedefine/>
    <w:uiPriority w:val="9"/>
    <w:unhideWhenUsed/>
    <w:qFormat/>
    <w:rsid w:val="0049563C"/>
    <w:pPr>
      <w:keepNext/>
      <w:keepLines/>
      <w:spacing w:before="40"/>
      <w:outlineLvl w:val="2"/>
    </w:pPr>
    <w:rPr>
      <w:rFonts w:ascii="Calibri Light" w:eastAsiaTheme="majorEastAsia" w:hAnsi="Calibri Light" w:cstheme="majorBidi"/>
      <w:b/>
      <w:sz w:val="24"/>
      <w:szCs w:val="24"/>
      <w:lang w:val="en-US"/>
    </w:rPr>
  </w:style>
  <w:style w:type="paragraph" w:styleId="Heading4">
    <w:name w:val="heading 4"/>
    <w:basedOn w:val="Normal"/>
    <w:next w:val="Normal"/>
    <w:link w:val="Heading4Char"/>
    <w:uiPriority w:val="9"/>
    <w:unhideWhenUsed/>
    <w:qFormat/>
    <w:rsid w:val="008068D6"/>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8D6"/>
    <w:rPr>
      <w:rFonts w:ascii="Calibri Light" w:eastAsiaTheme="majorEastAsia" w:hAnsi="Calibri Light" w:cstheme="majorBidi"/>
      <w:b/>
      <w:sz w:val="28"/>
      <w:szCs w:val="26"/>
    </w:rPr>
  </w:style>
  <w:style w:type="character" w:customStyle="1" w:styleId="Heading3Char">
    <w:name w:val="Heading 3 Char"/>
    <w:basedOn w:val="DefaultParagraphFont"/>
    <w:link w:val="Heading3"/>
    <w:uiPriority w:val="9"/>
    <w:rsid w:val="0049563C"/>
    <w:rPr>
      <w:rFonts w:ascii="Calibri Light" w:eastAsiaTheme="majorEastAsia" w:hAnsi="Calibri Light" w:cstheme="majorBidi"/>
      <w:b/>
      <w:sz w:val="24"/>
      <w:szCs w:val="24"/>
      <w:lang w:val="en-US"/>
    </w:rPr>
  </w:style>
  <w:style w:type="character" w:customStyle="1" w:styleId="Heading4Char">
    <w:name w:val="Heading 4 Char"/>
    <w:basedOn w:val="DefaultParagraphFont"/>
    <w:link w:val="Heading4"/>
    <w:uiPriority w:val="9"/>
    <w:rsid w:val="008068D6"/>
    <w:rPr>
      <w:rFonts w:asciiTheme="majorHAnsi" w:eastAsiaTheme="majorEastAsia" w:hAnsiTheme="majorHAnsi" w:cstheme="majorBidi"/>
      <w:i/>
      <w:iCs/>
    </w:rPr>
  </w:style>
  <w:style w:type="table" w:customStyle="1" w:styleId="GridTable4-Accent31">
    <w:name w:val="Grid Table 4 - Accent 31"/>
    <w:basedOn w:val="TableNormal"/>
    <w:uiPriority w:val="49"/>
    <w:rsid w:val="008068D6"/>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645E78"/>
    <w:pPr>
      <w:ind w:left="720"/>
      <w:contextualSpacing/>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C4242F"/>
    <w:rPr>
      <w:rFonts w:ascii="Calibri" w:hAnsi="Calibri"/>
    </w:rPr>
  </w:style>
  <w:style w:type="character" w:customStyle="1" w:styleId="Heading1Char">
    <w:name w:val="Heading 1 Char"/>
    <w:basedOn w:val="DefaultParagraphFont"/>
    <w:link w:val="Heading1"/>
    <w:uiPriority w:val="9"/>
    <w:rsid w:val="00796535"/>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FE7553"/>
    <w:pPr>
      <w:outlineLvl w:val="9"/>
    </w:pPr>
    <w:rPr>
      <w:lang w:val="en-US"/>
    </w:rPr>
  </w:style>
  <w:style w:type="paragraph" w:styleId="TOC2">
    <w:name w:val="toc 2"/>
    <w:basedOn w:val="Normal"/>
    <w:next w:val="Normal"/>
    <w:autoRedefine/>
    <w:uiPriority w:val="39"/>
    <w:unhideWhenUsed/>
    <w:rsid w:val="00FE7553"/>
    <w:pPr>
      <w:spacing w:after="100"/>
      <w:ind w:left="220"/>
    </w:pPr>
  </w:style>
  <w:style w:type="paragraph" w:styleId="TOC3">
    <w:name w:val="toc 3"/>
    <w:basedOn w:val="Normal"/>
    <w:next w:val="Normal"/>
    <w:autoRedefine/>
    <w:uiPriority w:val="39"/>
    <w:unhideWhenUsed/>
    <w:rsid w:val="00FE7553"/>
    <w:pPr>
      <w:spacing w:after="100"/>
      <w:ind w:left="440"/>
    </w:pPr>
  </w:style>
  <w:style w:type="character" w:styleId="Hyperlink">
    <w:name w:val="Hyperlink"/>
    <w:basedOn w:val="DefaultParagraphFont"/>
    <w:uiPriority w:val="99"/>
    <w:unhideWhenUsed/>
    <w:rsid w:val="00FE7553"/>
    <w:rPr>
      <w:color w:val="0563C1" w:themeColor="hyperlink"/>
      <w:u w:val="single"/>
    </w:rPr>
  </w:style>
  <w:style w:type="paragraph" w:styleId="NoSpacing">
    <w:name w:val="No Spacing"/>
    <w:uiPriority w:val="1"/>
    <w:qFormat/>
    <w:rsid w:val="009E1E29"/>
    <w:pPr>
      <w:spacing w:after="0" w:line="240" w:lineRule="auto"/>
    </w:pPr>
    <w:rPr>
      <w:rFonts w:ascii="Calibri" w:hAnsi="Calibri"/>
    </w:rPr>
  </w:style>
  <w:style w:type="paragraph" w:styleId="BalloonText">
    <w:name w:val="Balloon Text"/>
    <w:basedOn w:val="Normal"/>
    <w:link w:val="BalloonTextChar"/>
    <w:uiPriority w:val="99"/>
    <w:semiHidden/>
    <w:unhideWhenUsed/>
    <w:rsid w:val="0054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92"/>
    <w:rPr>
      <w:rFonts w:ascii="Segoe UI" w:hAnsi="Segoe UI" w:cs="Segoe UI"/>
      <w:sz w:val="18"/>
      <w:szCs w:val="18"/>
    </w:rPr>
  </w:style>
  <w:style w:type="paragraph" w:styleId="Footer">
    <w:name w:val="footer"/>
    <w:basedOn w:val="Normal"/>
    <w:link w:val="FooterChar"/>
    <w:uiPriority w:val="99"/>
    <w:unhideWhenUsed/>
    <w:rsid w:val="00CB65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6588"/>
    <w:rPr>
      <w:rFonts w:ascii="Calibri" w:hAnsi="Calibri"/>
    </w:rPr>
  </w:style>
  <w:style w:type="character" w:styleId="PageNumber">
    <w:name w:val="page number"/>
    <w:basedOn w:val="DefaultParagraphFont"/>
    <w:uiPriority w:val="99"/>
    <w:semiHidden/>
    <w:unhideWhenUsed/>
    <w:rsid w:val="00CB6588"/>
  </w:style>
  <w:style w:type="table" w:styleId="TableGrid">
    <w:name w:val="Table Grid"/>
    <w:basedOn w:val="TableNormal"/>
    <w:uiPriority w:val="39"/>
    <w:rsid w:val="00E3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1C9"/>
    <w:rPr>
      <w:rFonts w:ascii="Calibri" w:hAnsi="Calibri"/>
    </w:rPr>
  </w:style>
  <w:style w:type="paragraph" w:styleId="TOC1">
    <w:name w:val="toc 1"/>
    <w:basedOn w:val="Normal"/>
    <w:next w:val="Normal"/>
    <w:autoRedefine/>
    <w:uiPriority w:val="39"/>
    <w:unhideWhenUsed/>
    <w:rsid w:val="004504A3"/>
    <w:pPr>
      <w:spacing w:after="100"/>
    </w:pPr>
  </w:style>
  <w:style w:type="character" w:styleId="UnresolvedMention">
    <w:name w:val="Unresolved Mention"/>
    <w:basedOn w:val="DefaultParagraphFont"/>
    <w:uiPriority w:val="99"/>
    <w:semiHidden/>
    <w:unhideWhenUsed/>
    <w:rsid w:val="00CB0754"/>
    <w:rPr>
      <w:color w:val="808080"/>
      <w:shd w:val="clear" w:color="auto" w:fill="E6E6E6"/>
    </w:rPr>
  </w:style>
  <w:style w:type="paragraph" w:styleId="TOC4">
    <w:name w:val="toc 4"/>
    <w:basedOn w:val="Normal"/>
    <w:next w:val="Normal"/>
    <w:autoRedefine/>
    <w:uiPriority w:val="39"/>
    <w:unhideWhenUsed/>
    <w:rsid w:val="0049563C"/>
    <w:pPr>
      <w:spacing w:after="100"/>
      <w:ind w:left="660"/>
    </w:pPr>
  </w:style>
  <w:style w:type="table" w:styleId="GridTable4">
    <w:name w:val="Grid Table 4"/>
    <w:basedOn w:val="TableNormal"/>
    <w:uiPriority w:val="49"/>
    <w:rsid w:val="00D809CB"/>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46869">
      <w:bodyDiv w:val="1"/>
      <w:marLeft w:val="0"/>
      <w:marRight w:val="0"/>
      <w:marTop w:val="0"/>
      <w:marBottom w:val="0"/>
      <w:divBdr>
        <w:top w:val="none" w:sz="0" w:space="0" w:color="auto"/>
        <w:left w:val="none" w:sz="0" w:space="0" w:color="auto"/>
        <w:bottom w:val="none" w:sz="0" w:space="0" w:color="auto"/>
        <w:right w:val="none" w:sz="0" w:space="0" w:color="auto"/>
      </w:divBdr>
    </w:div>
    <w:div w:id="1199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cs.education.gov.au/node/39421" TargetMode="External"/><Relationship Id="rId26" Type="http://schemas.openxmlformats.org/officeDocument/2006/relationships/hyperlink" Target="http://www.skills.tas.gov.au/" TargetMode="External"/><Relationship Id="rId3" Type="http://schemas.openxmlformats.org/officeDocument/2006/relationships/styles" Target="styles.xml"/><Relationship Id="rId21" Type="http://schemas.openxmlformats.org/officeDocument/2006/relationships/hyperlink" Target="http://www.education.vic.gov.au/training/Pages/default.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s.education.gov.au/node/39791" TargetMode="External"/><Relationship Id="rId25" Type="http://schemas.openxmlformats.org/officeDocument/2006/relationships/hyperlink" Target="http://www.statedevelopment.sa.gov.au/"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www.training.nsw.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mtedd.act.gov.au/skillscanberra"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training.qld.gov.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business.nt.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dtwd.wa.gov.au/Pages/default.aspx" TargetMode="External"/><Relationship Id="rId27" Type="http://schemas.openxmlformats.org/officeDocument/2006/relationships/hyperlink" Target="http://training.gov.au/Search/SearchOrganisa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ichard\Downloads\table%20(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ichard\Downloads\Revenue_Outloo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CPC30611 - Certificate III in Painting and Decorating Completions 2014-16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'[table (9).xlsx]Data Sheet 0'!$A$4:$B$4</c:f>
              <c:strCache>
                <c:ptCount val="2"/>
                <c:pt idx="1">
                  <c:v>CPC30611 - Certificate III in Painting and Decorating</c:v>
                </c:pt>
              </c:strCache>
            </c:strRef>
          </c:tx>
          <c:spPr>
            <a:solidFill>
              <a:schemeClr val="accent1"/>
            </a:solidFill>
            <a:ln>
              <a:noFill/>
            </a:ln>
            <a:effectLst/>
          </c:spPr>
          <c:invertIfNegative val="0"/>
          <c:cat>
            <c:strRef>
              <c:f>'[table (9).xlsx]Data Sheet 0'!$C$3:$J$3</c:f>
              <c:strCache>
                <c:ptCount val="8"/>
                <c:pt idx="0">
                  <c:v>New South Wales</c:v>
                </c:pt>
                <c:pt idx="1">
                  <c:v>Victoria</c:v>
                </c:pt>
                <c:pt idx="2">
                  <c:v>Queensland</c:v>
                </c:pt>
                <c:pt idx="3">
                  <c:v>South Australia</c:v>
                </c:pt>
                <c:pt idx="4">
                  <c:v>Western Australia</c:v>
                </c:pt>
                <c:pt idx="5">
                  <c:v>Tasmania</c:v>
                </c:pt>
                <c:pt idx="6">
                  <c:v>Northern Territory</c:v>
                </c:pt>
                <c:pt idx="7">
                  <c:v>Australian Capital Territory</c:v>
                </c:pt>
              </c:strCache>
            </c:strRef>
          </c:cat>
          <c:val>
            <c:numRef>
              <c:f>'[table (9).xlsx]Data Sheet 0'!$C$4:$J$4</c:f>
              <c:numCache>
                <c:formatCode>General</c:formatCode>
                <c:ptCount val="8"/>
                <c:pt idx="0">
                  <c:v>1353</c:v>
                </c:pt>
                <c:pt idx="1">
                  <c:v>1089</c:v>
                </c:pt>
                <c:pt idx="2">
                  <c:v>1301</c:v>
                </c:pt>
                <c:pt idx="3">
                  <c:v>88</c:v>
                </c:pt>
                <c:pt idx="4">
                  <c:v>141</c:v>
                </c:pt>
                <c:pt idx="5">
                  <c:v>74</c:v>
                </c:pt>
                <c:pt idx="6">
                  <c:v>12</c:v>
                </c:pt>
                <c:pt idx="7">
                  <c:v>39</c:v>
                </c:pt>
              </c:numCache>
            </c:numRef>
          </c:val>
          <c:extLst>
            <c:ext xmlns:c16="http://schemas.microsoft.com/office/drawing/2014/chart" uri="{C3380CC4-5D6E-409C-BE32-E72D297353CC}">
              <c16:uniqueId val="{00000000-7637-4DD1-A51F-F2928A763C72}"/>
            </c:ext>
          </c:extLst>
        </c:ser>
        <c:dLbls>
          <c:showLegendKey val="0"/>
          <c:showVal val="0"/>
          <c:showCatName val="0"/>
          <c:showSerName val="0"/>
          <c:showPercent val="0"/>
          <c:showBubbleSize val="0"/>
        </c:dLbls>
        <c:gapWidth val="182"/>
        <c:axId val="434793832"/>
        <c:axId val="434794160"/>
      </c:barChart>
      <c:catAx>
        <c:axId val="434793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794160"/>
        <c:crosses val="autoZero"/>
        <c:auto val="1"/>
        <c:lblAlgn val="ctr"/>
        <c:lblOffset val="100"/>
        <c:noMultiLvlLbl val="0"/>
      </c:catAx>
      <c:valAx>
        <c:axId val="434794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793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RTO Scope</a:t>
            </a:r>
            <a:r>
              <a:rPr lang="en-AU" baseline="0"/>
              <a:t> of Delivery for CPC30611</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'[Revenue_Outlook-.xlsx]Revenue_Outlook"'!$H$4:$H$11</c:f>
              <c:strCache>
                <c:ptCount val="8"/>
                <c:pt idx="0">
                  <c:v>NSW</c:v>
                </c:pt>
                <c:pt idx="1">
                  <c:v>VIC</c:v>
                </c:pt>
                <c:pt idx="2">
                  <c:v>QLD</c:v>
                </c:pt>
                <c:pt idx="3">
                  <c:v>SA</c:v>
                </c:pt>
                <c:pt idx="4">
                  <c:v>WA</c:v>
                </c:pt>
                <c:pt idx="5">
                  <c:v>TAS</c:v>
                </c:pt>
                <c:pt idx="6">
                  <c:v>NT</c:v>
                </c:pt>
                <c:pt idx="7">
                  <c:v>ACT</c:v>
                </c:pt>
              </c:strCache>
            </c:strRef>
          </c:cat>
          <c:val>
            <c:numRef>
              <c:f>'[Revenue_Outlook-.xlsx]Revenue_Outlook"'!$I$4:$I$11</c:f>
              <c:numCache>
                <c:formatCode>General</c:formatCode>
                <c:ptCount val="8"/>
                <c:pt idx="0">
                  <c:v>59</c:v>
                </c:pt>
                <c:pt idx="1">
                  <c:v>57</c:v>
                </c:pt>
                <c:pt idx="2">
                  <c:v>57</c:v>
                </c:pt>
                <c:pt idx="3">
                  <c:v>44</c:v>
                </c:pt>
                <c:pt idx="4">
                  <c:v>43</c:v>
                </c:pt>
                <c:pt idx="5">
                  <c:v>42</c:v>
                </c:pt>
                <c:pt idx="6">
                  <c:v>40</c:v>
                </c:pt>
                <c:pt idx="7">
                  <c:v>41</c:v>
                </c:pt>
              </c:numCache>
            </c:numRef>
          </c:val>
          <c:extLst>
            <c:ext xmlns:c16="http://schemas.microsoft.com/office/drawing/2014/chart" uri="{C3380CC4-5D6E-409C-BE32-E72D297353CC}">
              <c16:uniqueId val="{00000000-A3A0-4515-A43D-660D40B5B919}"/>
            </c:ext>
          </c:extLst>
        </c:ser>
        <c:dLbls>
          <c:showLegendKey val="0"/>
          <c:showVal val="0"/>
          <c:showCatName val="0"/>
          <c:showSerName val="0"/>
          <c:showPercent val="0"/>
          <c:showBubbleSize val="0"/>
        </c:dLbls>
        <c:gapWidth val="182"/>
        <c:axId val="435232616"/>
        <c:axId val="435232944"/>
      </c:barChart>
      <c:catAx>
        <c:axId val="435232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232944"/>
        <c:crosses val="autoZero"/>
        <c:auto val="1"/>
        <c:lblAlgn val="ctr"/>
        <c:lblOffset val="100"/>
        <c:noMultiLvlLbl val="0"/>
      </c:catAx>
      <c:valAx>
        <c:axId val="435232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232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B37A-99F1-4EDA-BCE1-3AB63B1D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7804</Words>
  <Characters>44488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Perrott</dc:creator>
  <cp:keywords/>
  <dc:description/>
  <cp:lastModifiedBy>Liz Perrott</cp:lastModifiedBy>
  <cp:revision>2</cp:revision>
  <cp:lastPrinted>2017-09-26T01:43:00Z</cp:lastPrinted>
  <dcterms:created xsi:type="dcterms:W3CDTF">2017-10-23T06:32:00Z</dcterms:created>
  <dcterms:modified xsi:type="dcterms:W3CDTF">2017-10-23T06:32:00Z</dcterms:modified>
</cp:coreProperties>
</file>