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09F4" w14:textId="13564B2D" w:rsidR="00FD299E" w:rsidRPr="00F05631" w:rsidRDefault="00FD299E" w:rsidP="00FD299E">
      <w:pPr>
        <w:pStyle w:val="Heading2"/>
      </w:pPr>
      <w:bookmarkStart w:id="0" w:name="_Toc485733603"/>
      <w:r w:rsidRPr="00F05631">
        <w:t>skill set</w:t>
      </w:r>
      <w:bookmarkEnd w:id="0"/>
      <w:r w:rsidR="00524FCA">
        <w:t xml:space="preserve"> template</w:t>
      </w:r>
    </w:p>
    <w:p w14:paraId="34F4C822" w14:textId="77777777" w:rsidR="00FD299E" w:rsidRDefault="00FD299E" w:rsidP="00FD299E">
      <w:pPr>
        <w:pStyle w:val="Heading3"/>
      </w:pPr>
      <w:bookmarkStart w:id="1" w:name="_Toc485733604"/>
      <w:r>
        <w:t>Skill Set CPCXXX Construction pathways (sample)</w:t>
      </w:r>
      <w:bookmarkEnd w:id="1"/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853"/>
        <w:gridCol w:w="1062"/>
        <w:gridCol w:w="608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260DF5DD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 xml:space="preserve">SKILL SET CPCXXX </w:t>
            </w:r>
          </w:p>
        </w:tc>
      </w:tr>
      <w:tr w:rsidR="00FD299E" w:rsidRPr="00E04CC7" w14:paraId="20C6BA19" w14:textId="77777777" w:rsidTr="005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3971" w:type="pct"/>
            <w:gridSpan w:val="2"/>
          </w:tcPr>
          <w:p w14:paraId="0846D785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Individuals with Certificate I, Certificate II or Certificate II in Construction Pathways who are to be employed in the commercial and residential building and construction sector.</w:t>
            </w:r>
          </w:p>
        </w:tc>
      </w:tr>
      <w:tr w:rsidR="00FD299E" w:rsidRPr="00E04CC7" w14:paraId="70CBEB25" w14:textId="77777777" w:rsidTr="005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 w:val="restart"/>
          </w:tcPr>
          <w:p w14:paraId="02DE0E14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590" w:type="pct"/>
          </w:tcPr>
          <w:p w14:paraId="1BCEC333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CPC001</w:t>
            </w:r>
          </w:p>
        </w:tc>
        <w:tc>
          <w:tcPr>
            <w:tcW w:w="3381" w:type="pct"/>
          </w:tcPr>
          <w:p w14:paraId="66233C44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65FE278A" w14:textId="77777777" w:rsidTr="005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5A08E09A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219D5F05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CPC002</w:t>
            </w:r>
          </w:p>
        </w:tc>
        <w:tc>
          <w:tcPr>
            <w:tcW w:w="3381" w:type="pct"/>
          </w:tcPr>
          <w:p w14:paraId="2D530BF3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6D749466" w14:textId="77777777" w:rsidTr="005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623FD729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462E2DAA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CPC003</w:t>
            </w:r>
          </w:p>
        </w:tc>
        <w:tc>
          <w:tcPr>
            <w:tcW w:w="3381" w:type="pct"/>
          </w:tcPr>
          <w:p w14:paraId="749AB091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7F0AAEC8" w14:textId="77777777" w:rsidTr="005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2C6DF249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10F49D49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CPC004</w:t>
            </w:r>
          </w:p>
        </w:tc>
        <w:tc>
          <w:tcPr>
            <w:tcW w:w="3381" w:type="pct"/>
          </w:tcPr>
          <w:p w14:paraId="1342A6EE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151835A9" w14:textId="77777777" w:rsidTr="005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57E022F2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4CA97428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CPC005</w:t>
            </w:r>
          </w:p>
        </w:tc>
        <w:tc>
          <w:tcPr>
            <w:tcW w:w="3381" w:type="pct"/>
          </w:tcPr>
          <w:p w14:paraId="1BD9FEFF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490D82AE" w14:textId="77777777" w:rsidTr="005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5CCF50A3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1855588E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CPC006</w:t>
            </w:r>
          </w:p>
        </w:tc>
        <w:tc>
          <w:tcPr>
            <w:tcW w:w="3381" w:type="pct"/>
          </w:tcPr>
          <w:p w14:paraId="1D33032C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62C8EBB3" w14:textId="77777777" w:rsidTr="005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265B22EE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1157D683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CPC007</w:t>
            </w:r>
          </w:p>
        </w:tc>
        <w:tc>
          <w:tcPr>
            <w:tcW w:w="3381" w:type="pct"/>
          </w:tcPr>
          <w:p w14:paraId="71CD0F17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1EE58DE8" w14:textId="77777777" w:rsidTr="005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51072617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1A4D280F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CPC008</w:t>
            </w:r>
          </w:p>
        </w:tc>
        <w:tc>
          <w:tcPr>
            <w:tcW w:w="3381" w:type="pct"/>
          </w:tcPr>
          <w:p w14:paraId="1D0689EA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489C13C7" w14:textId="77777777" w:rsidTr="005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vMerge/>
          </w:tcPr>
          <w:p w14:paraId="6781C416" w14:textId="77777777" w:rsidR="00FD299E" w:rsidRPr="00E04CC7" w:rsidRDefault="00FD299E" w:rsidP="005A3CA7">
            <w:pPr>
              <w:rPr>
                <w:rFonts w:ascii="Calibri" w:hAnsi="Calibri"/>
              </w:rPr>
            </w:pPr>
          </w:p>
        </w:tc>
        <w:tc>
          <w:tcPr>
            <w:tcW w:w="590" w:type="pct"/>
          </w:tcPr>
          <w:p w14:paraId="784C72C7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CPC009</w:t>
            </w:r>
          </w:p>
        </w:tc>
        <w:tc>
          <w:tcPr>
            <w:tcW w:w="3381" w:type="pct"/>
          </w:tcPr>
          <w:p w14:paraId="27DC46FD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XXXXXXXXXXXXXXXXXXXXXXXXXXXXXXXXXXXXXXXXX</w:t>
            </w:r>
          </w:p>
        </w:tc>
      </w:tr>
      <w:tr w:rsidR="00FD299E" w:rsidRPr="00E04CC7" w14:paraId="221AE33F" w14:textId="77777777" w:rsidTr="005A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26AF9827" w14:textId="77777777" w:rsidR="00FD299E" w:rsidRPr="00E04CC7" w:rsidRDefault="00FD299E" w:rsidP="005A3CA7">
            <w:pPr>
              <w:rPr>
                <w:rFonts w:ascii="Calibri" w:hAnsi="Calibri"/>
              </w:rPr>
            </w:pPr>
            <w:bookmarkStart w:id="2" w:name="_GoBack"/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3971" w:type="pct"/>
            <w:gridSpan w:val="2"/>
          </w:tcPr>
          <w:p w14:paraId="396CE85C" w14:textId="77777777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Skill Set has been developed to establish a consistent set of units of competency that reflect the constructions industry core skills requirements. </w:t>
            </w:r>
          </w:p>
        </w:tc>
      </w:tr>
      <w:bookmarkEnd w:id="2"/>
      <w:tr w:rsidR="00FD299E" w:rsidRPr="00E04CC7" w14:paraId="33D3A65D" w14:textId="77777777" w:rsidTr="005A3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7C8CA8D9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3971" w:type="pct"/>
            <w:gridSpan w:val="2"/>
          </w:tcPr>
          <w:p w14:paraId="3B36792E" w14:textId="77777777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These competencies from the CPC Construction, Plumbing and Services Training Package meet industry requirements for employment of individuals with Certificate I in Construction, Certificate II in Construction or Certificate II in Construction Pathways qualifications.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p w14:paraId="3965D2D3" w14:textId="19B873F7" w:rsidR="00FD299E" w:rsidRPr="000F63B0" w:rsidRDefault="000F63B0" w:rsidP="00FD299E">
      <w:pPr>
        <w:shd w:val="clear" w:color="auto" w:fill="FF0000"/>
        <w:rPr>
          <w:rFonts w:ascii="Calibri" w:hAnsi="Calibri"/>
          <w:color w:val="FFFFFF" w:themeColor="background1"/>
        </w:rPr>
      </w:pPr>
      <w:r w:rsidRPr="000F63B0">
        <w:rPr>
          <w:rFonts w:ascii="Calibri" w:hAnsi="Calibri"/>
          <w:color w:val="FFFFFF" w:themeColor="background1"/>
        </w:rPr>
        <w:t>Training Package Product Policy Notes</w:t>
      </w:r>
    </w:p>
    <w:p w14:paraId="575C247B" w14:textId="77777777" w:rsidR="000F63B0" w:rsidRPr="00FE33F7" w:rsidRDefault="000F63B0" w:rsidP="000F63B0">
      <w:pPr>
        <w:spacing w:before="240"/>
        <w:rPr>
          <w:b/>
        </w:rPr>
      </w:pPr>
      <w:r w:rsidRPr="00FE33F7">
        <w:rPr>
          <w:b/>
        </w:rPr>
        <w:t>Skill Sets</w:t>
      </w:r>
    </w:p>
    <w:p w14:paraId="04F07A0C" w14:textId="77777777" w:rsidR="000F63B0" w:rsidRPr="008C3812" w:rsidRDefault="000F63B0" w:rsidP="000F63B0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cs="Calibri"/>
          <w:szCs w:val="19"/>
          <w:lang w:eastAsia="en-AU"/>
        </w:rPr>
      </w:pPr>
      <w:bookmarkStart w:id="3" w:name="OLE_LINK16"/>
      <w:bookmarkEnd w:id="3"/>
      <w:r w:rsidRPr="008C3812">
        <w:rPr>
          <w:rFonts w:cs="Calibri"/>
          <w:szCs w:val="19"/>
          <w:lang w:eastAsia="en-AU"/>
        </w:rPr>
        <w:t>Training Package developers must determine the need for Skill Sets in Training Packages.</w:t>
      </w:r>
    </w:p>
    <w:p w14:paraId="1886DF66" w14:textId="77777777" w:rsidR="000F63B0" w:rsidRDefault="000F63B0" w:rsidP="000F63B0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cs="Calibri"/>
          <w:szCs w:val="19"/>
          <w:lang w:eastAsia="en-AU"/>
        </w:rPr>
      </w:pPr>
      <w:r w:rsidRPr="008C3812">
        <w:rPr>
          <w:rFonts w:cs="Calibri"/>
          <w:szCs w:val="19"/>
          <w:lang w:eastAsia="en-AU"/>
        </w:rPr>
        <w:t>Skill Sets are not qualifications and are defined as single units of competency, or combinations of units of competency from an endorsed Training Package, which link to a licensing or regulatory requirement, or a defined industry need.</w:t>
      </w:r>
    </w:p>
    <w:p w14:paraId="09351902" w14:textId="77777777" w:rsidR="000F63B0" w:rsidRPr="008C3812" w:rsidRDefault="000F63B0" w:rsidP="000F63B0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cs="Calibri"/>
          <w:szCs w:val="19"/>
          <w:lang w:eastAsia="en-AU"/>
        </w:rPr>
      </w:pPr>
      <w:r>
        <w:rPr>
          <w:rFonts w:cs="Calibri"/>
          <w:szCs w:val="19"/>
          <w:lang w:eastAsia="en-AU"/>
        </w:rPr>
        <w:t>Skill Sets must include:</w:t>
      </w:r>
    </w:p>
    <w:p w14:paraId="550D2A1B" w14:textId="77777777" w:rsidR="000F63B0" w:rsidRPr="008C3812" w:rsidRDefault="000F63B0" w:rsidP="000F63B0">
      <w:pPr>
        <w:numPr>
          <w:ilvl w:val="0"/>
          <w:numId w:val="2"/>
        </w:numPr>
        <w:spacing w:before="120" w:after="120" w:line="240" w:lineRule="auto"/>
        <w:rPr>
          <w:rFonts w:cs="Calibri"/>
          <w:szCs w:val="19"/>
          <w:lang w:eastAsia="en-AU"/>
        </w:rPr>
      </w:pPr>
      <w:r w:rsidRPr="008C3812">
        <w:rPr>
          <w:rFonts w:cs="Calibri"/>
          <w:szCs w:val="19"/>
          <w:lang w:eastAsia="en-AU"/>
        </w:rPr>
        <w:t>advice about logical clustering of units for the Skill Set in meeting industry needs</w:t>
      </w:r>
      <w:r>
        <w:rPr>
          <w:rFonts w:cs="Calibri"/>
          <w:szCs w:val="19"/>
          <w:lang w:eastAsia="en-AU"/>
        </w:rPr>
        <w:t>.</w:t>
      </w:r>
    </w:p>
    <w:p w14:paraId="7515397A" w14:textId="77777777" w:rsidR="000F63B0" w:rsidRDefault="000F63B0" w:rsidP="000F63B0">
      <w:pPr>
        <w:numPr>
          <w:ilvl w:val="0"/>
          <w:numId w:val="2"/>
        </w:numPr>
        <w:spacing w:before="120" w:after="120" w:line="240" w:lineRule="auto"/>
        <w:rPr>
          <w:rFonts w:cs="Calibri"/>
          <w:szCs w:val="19"/>
          <w:lang w:eastAsia="en-AU"/>
        </w:rPr>
      </w:pPr>
      <w:r w:rsidRPr="008C3812">
        <w:rPr>
          <w:rFonts w:cs="Calibri"/>
          <w:szCs w:val="19"/>
          <w:lang w:eastAsia="en-AU"/>
        </w:rPr>
        <w:t>advice about a Skill Set’s relationship with a qualification.</w:t>
      </w:r>
    </w:p>
    <w:p w14:paraId="4A4AFE32" w14:textId="77777777" w:rsidR="000F63B0" w:rsidRPr="008C3812" w:rsidRDefault="000F63B0" w:rsidP="000F63B0">
      <w:pPr>
        <w:numPr>
          <w:ilvl w:val="0"/>
          <w:numId w:val="2"/>
        </w:numPr>
        <w:spacing w:before="120" w:after="120" w:line="240" w:lineRule="auto"/>
        <w:rPr>
          <w:rFonts w:cs="Calibri"/>
          <w:szCs w:val="19"/>
          <w:lang w:eastAsia="en-AU"/>
        </w:rPr>
      </w:pPr>
      <w:r>
        <w:rPr>
          <w:rFonts w:cs="Calibri"/>
          <w:szCs w:val="19"/>
          <w:lang w:eastAsia="en-AU"/>
        </w:rPr>
        <w:t>suggested title for a statement of attainment.</w:t>
      </w:r>
    </w:p>
    <w:p w14:paraId="3A06AE30" w14:textId="77777777" w:rsidR="000F63B0" w:rsidRPr="008C3812" w:rsidRDefault="000F63B0" w:rsidP="000F63B0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cs="Calibri"/>
          <w:szCs w:val="19"/>
          <w:lang w:eastAsia="en-AU"/>
        </w:rPr>
      </w:pPr>
      <w:r w:rsidRPr="008C3812">
        <w:rPr>
          <w:rFonts w:cs="Calibri"/>
          <w:szCs w:val="19"/>
          <w:lang w:eastAsia="en-AU"/>
        </w:rPr>
        <w:t>Skill Sets must not include elective units.</w:t>
      </w:r>
    </w:p>
    <w:p w14:paraId="1255C1AC" w14:textId="77777777" w:rsidR="00AA521C" w:rsidRDefault="00126034"/>
    <w:sectPr w:rsidR="00AA521C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E"/>
    <w:rsid w:val="000F63B0"/>
    <w:rsid w:val="00126034"/>
    <w:rsid w:val="002678C1"/>
    <w:rsid w:val="0048472E"/>
    <w:rsid w:val="00524FCA"/>
    <w:rsid w:val="00586187"/>
    <w:rsid w:val="005C1F9F"/>
    <w:rsid w:val="00687133"/>
    <w:rsid w:val="00700724"/>
    <w:rsid w:val="008B4ADC"/>
    <w:rsid w:val="008C5232"/>
    <w:rsid w:val="009531CE"/>
    <w:rsid w:val="00A25A1B"/>
    <w:rsid w:val="00AC3111"/>
    <w:rsid w:val="00CB26F8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Liz Perrott</cp:lastModifiedBy>
  <cp:revision>2</cp:revision>
  <dcterms:created xsi:type="dcterms:W3CDTF">2017-10-03T00:47:00Z</dcterms:created>
  <dcterms:modified xsi:type="dcterms:W3CDTF">2017-10-03T00:47:00Z</dcterms:modified>
</cp:coreProperties>
</file>