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157691" w14:textId="1D046245" w:rsidR="00F4162F" w:rsidRDefault="00E73F14">
      <w:pPr>
        <w:rPr>
          <w:color w:val="A6A6A6" w:themeColor="background1" w:themeShade="A6"/>
          <w:sz w:val="32"/>
        </w:rPr>
      </w:pPr>
      <w:r>
        <w:rPr>
          <w:rFonts w:asciiTheme="majorHAnsi" w:hAnsiTheme="majorHAnsi"/>
          <w:b/>
          <w:noProof/>
          <w:color w:val="A6A6A6" w:themeColor="background1" w:themeShade="A6"/>
          <w:sz w:val="32"/>
          <w:szCs w:val="32"/>
        </w:rPr>
        <w:drawing>
          <wp:inline distT="0" distB="0" distL="0" distR="0" wp14:anchorId="4C3AB4CD" wp14:editId="4F53650F">
            <wp:extent cx="2480553" cy="1076629"/>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I Logo with tag.png"/>
                    <pic:cNvPicPr/>
                  </pic:nvPicPr>
                  <pic:blipFill>
                    <a:blip r:embed="rId8"/>
                    <a:stretch>
                      <a:fillRect/>
                    </a:stretch>
                  </pic:blipFill>
                  <pic:spPr>
                    <a:xfrm>
                      <a:off x="0" y="0"/>
                      <a:ext cx="2574334" cy="1117332"/>
                    </a:xfrm>
                    <a:prstGeom prst="rect">
                      <a:avLst/>
                    </a:prstGeom>
                  </pic:spPr>
                </pic:pic>
              </a:graphicData>
            </a:graphic>
          </wp:inline>
        </w:drawing>
      </w:r>
    </w:p>
    <w:p w14:paraId="20616EC0" w14:textId="77777777" w:rsidR="00E73F14" w:rsidRDefault="00E73F14">
      <w:pPr>
        <w:rPr>
          <w:color w:val="A6A6A6" w:themeColor="background1" w:themeShade="A6"/>
          <w:sz w:val="32"/>
        </w:rPr>
      </w:pPr>
    </w:p>
    <w:p w14:paraId="44981FC4" w14:textId="42C637FF" w:rsidR="00D84328" w:rsidRPr="00D84328" w:rsidRDefault="00B92EE8" w:rsidP="007C36EE">
      <w:pPr>
        <w:shd w:val="clear" w:color="auto" w:fill="A6A6A6" w:themeFill="background1" w:themeFillShade="A6"/>
        <w:rPr>
          <w:color w:val="FFFFFF" w:themeColor="background1"/>
          <w:sz w:val="36"/>
        </w:rPr>
      </w:pPr>
      <w:r>
        <w:rPr>
          <w:color w:val="FFFFFF" w:themeColor="background1"/>
          <w:sz w:val="36"/>
        </w:rPr>
        <w:t>Investigative Services</w:t>
      </w:r>
      <w:r w:rsidR="00D84328" w:rsidRPr="00D84328">
        <w:rPr>
          <w:color w:val="FFFFFF" w:themeColor="background1"/>
          <w:sz w:val="36"/>
        </w:rPr>
        <w:t xml:space="preserve"> Project </w:t>
      </w:r>
      <w:r w:rsidR="002711A8">
        <w:rPr>
          <w:color w:val="FFFFFF" w:themeColor="background1"/>
          <w:sz w:val="36"/>
        </w:rPr>
        <w:t xml:space="preserve">Brief – </w:t>
      </w:r>
      <w:r w:rsidR="007C36EE">
        <w:rPr>
          <w:color w:val="FFFFFF" w:themeColor="background1"/>
          <w:sz w:val="36"/>
        </w:rPr>
        <w:t>1</w:t>
      </w:r>
      <w:r w:rsidR="007C36EE">
        <w:rPr>
          <w:color w:val="FFFFFF" w:themeColor="background1"/>
          <w:sz w:val="36"/>
        </w:rPr>
        <w:tab/>
      </w:r>
      <w:r w:rsidR="007C36EE">
        <w:rPr>
          <w:color w:val="FFFFFF" w:themeColor="background1"/>
          <w:sz w:val="36"/>
        </w:rPr>
        <w:tab/>
        <w:t xml:space="preserve">      </w:t>
      </w:r>
      <w:r w:rsidR="002711A8">
        <w:rPr>
          <w:color w:val="FFFFFF" w:themeColor="background1"/>
          <w:sz w:val="36"/>
        </w:rPr>
        <w:t xml:space="preserve"> </w:t>
      </w:r>
      <w:r w:rsidR="007C36EE">
        <w:rPr>
          <w:color w:val="FFFFFF" w:themeColor="background1"/>
          <w:sz w:val="36"/>
        </w:rPr>
        <w:t>September 2018</w:t>
      </w:r>
    </w:p>
    <w:p w14:paraId="26204E8A" w14:textId="693863D4" w:rsidR="00D84328" w:rsidRDefault="00D84328">
      <w:pPr>
        <w:rPr>
          <w:color w:val="A6A6A6" w:themeColor="background1" w:themeShade="A6"/>
          <w:sz w:val="32"/>
        </w:rPr>
      </w:pPr>
    </w:p>
    <w:p w14:paraId="4BD4E902" w14:textId="1985B7EE" w:rsidR="00D84328" w:rsidRPr="0037611C" w:rsidRDefault="00D84328" w:rsidP="0037611C">
      <w:pPr>
        <w:pStyle w:val="Heading1"/>
      </w:pPr>
      <w:r w:rsidRPr="0037611C">
        <w:t xml:space="preserve">Project Scope </w:t>
      </w:r>
    </w:p>
    <w:p w14:paraId="6E8A1DF0" w14:textId="6D053833" w:rsidR="00D84328" w:rsidRPr="00366CE5" w:rsidRDefault="00D84328" w:rsidP="00D84328">
      <w:pPr>
        <w:rPr>
          <w:color w:val="auto"/>
          <w:lang w:val="en-AU"/>
        </w:rPr>
      </w:pPr>
      <w:r w:rsidRPr="00366CE5">
        <w:rPr>
          <w:color w:val="auto"/>
          <w:lang w:val="en-AU"/>
        </w:rPr>
        <w:t xml:space="preserve">On behalf of the </w:t>
      </w:r>
      <w:r w:rsidR="00B92EE8" w:rsidRPr="00366CE5">
        <w:rPr>
          <w:color w:val="auto"/>
          <w:lang w:val="en-AU"/>
        </w:rPr>
        <w:t>Property</w:t>
      </w:r>
      <w:r w:rsidRPr="00366CE5">
        <w:rPr>
          <w:color w:val="auto"/>
          <w:lang w:val="en-AU"/>
        </w:rPr>
        <w:t xml:space="preserve"> Services IRC, Artibus Innovation is reviewing and updating the </w:t>
      </w:r>
      <w:r w:rsidR="00B92EE8" w:rsidRPr="00366CE5">
        <w:rPr>
          <w:color w:val="auto"/>
          <w:lang w:val="en-AU"/>
        </w:rPr>
        <w:t>following</w:t>
      </w:r>
      <w:r w:rsidRPr="00366CE5">
        <w:rPr>
          <w:color w:val="auto"/>
          <w:lang w:val="en-AU"/>
        </w:rPr>
        <w:t xml:space="preserve"> </w:t>
      </w:r>
      <w:r w:rsidR="009E5DBE" w:rsidRPr="00366CE5">
        <w:rPr>
          <w:color w:val="auto"/>
          <w:lang w:val="en-AU"/>
        </w:rPr>
        <w:t>qualification</w:t>
      </w:r>
      <w:r w:rsidR="008753B5" w:rsidRPr="00366CE5">
        <w:rPr>
          <w:color w:val="auto"/>
          <w:lang w:val="en-AU"/>
        </w:rPr>
        <w:t xml:space="preserve">, including </w:t>
      </w:r>
      <w:r w:rsidR="00B92EE8" w:rsidRPr="00366CE5">
        <w:rPr>
          <w:color w:val="auto"/>
          <w:lang w:val="en-AU"/>
        </w:rPr>
        <w:t>9</w:t>
      </w:r>
      <w:r w:rsidR="008753B5" w:rsidRPr="00366CE5">
        <w:rPr>
          <w:color w:val="auto"/>
          <w:lang w:val="en-AU"/>
        </w:rPr>
        <w:t xml:space="preserve"> units of competency</w:t>
      </w:r>
      <w:r w:rsidRPr="00366CE5">
        <w:rPr>
          <w:color w:val="auto"/>
          <w:lang w:val="en-AU"/>
        </w:rPr>
        <w:t>:</w:t>
      </w:r>
    </w:p>
    <w:p w14:paraId="6DD3E1EC" w14:textId="748F1B29" w:rsidR="00224C37" w:rsidRPr="00366CE5" w:rsidRDefault="00224C37" w:rsidP="00D84328">
      <w:pPr>
        <w:rPr>
          <w:color w:val="auto"/>
          <w:lang w:val="en-AU"/>
        </w:rPr>
      </w:pPr>
    </w:p>
    <w:p w14:paraId="43AB68CA" w14:textId="5D5D37B8" w:rsidR="00D84328" w:rsidRPr="00366CE5" w:rsidRDefault="00224C37" w:rsidP="00D84328">
      <w:pPr>
        <w:rPr>
          <w:color w:val="auto"/>
          <w:lang w:val="en-AU"/>
        </w:rPr>
      </w:pPr>
      <w:r w:rsidRPr="00366CE5">
        <w:rPr>
          <w:color w:val="auto"/>
          <w:lang w:val="en-AU"/>
        </w:rPr>
        <w:t>Project Qualification Review:</w:t>
      </w:r>
    </w:p>
    <w:p w14:paraId="66267B22" w14:textId="77777777" w:rsidR="00B92EE8" w:rsidRPr="00366CE5" w:rsidRDefault="00B92EE8" w:rsidP="00B92EE8">
      <w:pPr>
        <w:pStyle w:val="ListParagraph"/>
        <w:numPr>
          <w:ilvl w:val="1"/>
          <w:numId w:val="18"/>
        </w:numPr>
        <w:shd w:val="clear" w:color="auto" w:fill="FFFFFF"/>
        <w:spacing w:after="200" w:line="276" w:lineRule="auto"/>
        <w:rPr>
          <w:color w:val="auto"/>
        </w:rPr>
      </w:pPr>
      <w:r w:rsidRPr="00366CE5">
        <w:rPr>
          <w:color w:val="auto"/>
        </w:rPr>
        <w:t>CPP30607 Certificate III in Investigative Services</w:t>
      </w:r>
    </w:p>
    <w:p w14:paraId="1AB5C03D" w14:textId="7D54A574" w:rsidR="00D84328" w:rsidRDefault="003928B2" w:rsidP="0037611C">
      <w:pPr>
        <w:pStyle w:val="Heading1"/>
      </w:pPr>
      <w:bookmarkStart w:id="0" w:name="_Toc475695374"/>
      <w:bookmarkStart w:id="1" w:name="_Toc475695482"/>
      <w:bookmarkStart w:id="2" w:name="_Toc475972867"/>
      <w:bookmarkStart w:id="3" w:name="_Toc475972963"/>
      <w:bookmarkStart w:id="4" w:name="_Toc482092938"/>
      <w:bookmarkStart w:id="5" w:name="_Toc485194391"/>
      <w:bookmarkStart w:id="6" w:name="_Toc497142357"/>
      <w:bookmarkStart w:id="7" w:name="_Toc498336450"/>
      <w:bookmarkStart w:id="8" w:name="_Toc522023262"/>
      <w:r w:rsidRPr="004763B0">
        <w:t xml:space="preserve">Project </w:t>
      </w:r>
      <w:r w:rsidR="00D84328" w:rsidRPr="004763B0">
        <w:t>Summary</w:t>
      </w:r>
    </w:p>
    <w:p w14:paraId="6497119D" w14:textId="0DCB5C3D" w:rsidR="00B92EE8" w:rsidRPr="00366CE5" w:rsidRDefault="00B92EE8" w:rsidP="00B92EE8">
      <w:pPr>
        <w:jc w:val="both"/>
        <w:rPr>
          <w:color w:val="auto"/>
        </w:rPr>
      </w:pPr>
      <w:r w:rsidRPr="00366CE5">
        <w:rPr>
          <w:color w:val="auto"/>
        </w:rPr>
        <w:t xml:space="preserve">The aims of this project are: </w:t>
      </w:r>
    </w:p>
    <w:p w14:paraId="4D9E5ACA" w14:textId="77777777" w:rsidR="00B92EE8" w:rsidRPr="00366CE5" w:rsidRDefault="00B92EE8" w:rsidP="00B92EE8">
      <w:pPr>
        <w:jc w:val="both"/>
        <w:rPr>
          <w:color w:val="auto"/>
        </w:rPr>
      </w:pPr>
    </w:p>
    <w:p w14:paraId="128BA661" w14:textId="77777777" w:rsidR="00B92EE8" w:rsidRPr="00366CE5" w:rsidRDefault="00B92EE8" w:rsidP="00B92EE8">
      <w:pPr>
        <w:pStyle w:val="ListParagraph"/>
        <w:numPr>
          <w:ilvl w:val="0"/>
          <w:numId w:val="19"/>
        </w:numPr>
        <w:spacing w:after="200" w:line="276" w:lineRule="auto"/>
        <w:jc w:val="both"/>
        <w:rPr>
          <w:color w:val="auto"/>
        </w:rPr>
      </w:pPr>
      <w:r w:rsidRPr="00366CE5">
        <w:rPr>
          <w:color w:val="auto"/>
        </w:rPr>
        <w:t>To transition and update the qualification to align with the:</w:t>
      </w:r>
    </w:p>
    <w:p w14:paraId="127A91C3" w14:textId="77777777" w:rsidR="00B92EE8" w:rsidRPr="00366CE5" w:rsidRDefault="00B92EE8" w:rsidP="00B92EE8">
      <w:pPr>
        <w:pStyle w:val="ListParagraph"/>
        <w:numPr>
          <w:ilvl w:val="1"/>
          <w:numId w:val="19"/>
        </w:numPr>
        <w:spacing w:before="120" w:after="120" w:line="288" w:lineRule="auto"/>
        <w:jc w:val="both"/>
        <w:rPr>
          <w:color w:val="auto"/>
        </w:rPr>
      </w:pPr>
      <w:r w:rsidRPr="00366CE5">
        <w:rPr>
          <w:color w:val="auto"/>
        </w:rPr>
        <w:t>2012 Standards for Training Packages</w:t>
      </w:r>
    </w:p>
    <w:p w14:paraId="03369400" w14:textId="77777777" w:rsidR="00B92EE8" w:rsidRPr="00366CE5" w:rsidRDefault="00B92EE8" w:rsidP="00B92EE8">
      <w:pPr>
        <w:pStyle w:val="ListParagraph"/>
        <w:numPr>
          <w:ilvl w:val="1"/>
          <w:numId w:val="19"/>
        </w:numPr>
        <w:spacing w:before="120" w:after="120" w:line="288" w:lineRule="auto"/>
        <w:jc w:val="both"/>
        <w:rPr>
          <w:color w:val="auto"/>
        </w:rPr>
      </w:pPr>
      <w:r w:rsidRPr="00366CE5">
        <w:rPr>
          <w:color w:val="auto"/>
        </w:rPr>
        <w:t>COAG Industry and Skill Council directives</w:t>
      </w:r>
    </w:p>
    <w:p w14:paraId="5FD87347" w14:textId="4F0DCDED" w:rsidR="00B92EE8" w:rsidRPr="00366CE5" w:rsidRDefault="00B92EE8" w:rsidP="00B92EE8">
      <w:pPr>
        <w:pStyle w:val="ListParagraph"/>
        <w:numPr>
          <w:ilvl w:val="0"/>
          <w:numId w:val="19"/>
        </w:numPr>
        <w:spacing w:after="200" w:line="276" w:lineRule="auto"/>
        <w:jc w:val="both"/>
        <w:rPr>
          <w:color w:val="auto"/>
        </w:rPr>
      </w:pPr>
      <w:r w:rsidRPr="00366CE5">
        <w:rPr>
          <w:color w:val="auto"/>
        </w:rPr>
        <w:t>To review and update the qualification in line with industry and training needs</w:t>
      </w:r>
    </w:p>
    <w:p w14:paraId="2D07295F" w14:textId="3EAF8907" w:rsidR="00B92EE8" w:rsidRPr="00366CE5" w:rsidRDefault="00B92EE8" w:rsidP="00B92EE8">
      <w:pPr>
        <w:jc w:val="both"/>
        <w:rPr>
          <w:color w:val="auto"/>
        </w:rPr>
      </w:pPr>
      <w:r w:rsidRPr="00366CE5">
        <w:rPr>
          <w:color w:val="auto"/>
        </w:rPr>
        <w:t>The Certificate III in Investigative Services lead</w:t>
      </w:r>
      <w:r w:rsidR="00A02625" w:rsidRPr="00366CE5">
        <w:rPr>
          <w:color w:val="auto"/>
        </w:rPr>
        <w:t>s</w:t>
      </w:r>
      <w:r w:rsidRPr="00366CE5">
        <w:rPr>
          <w:color w:val="auto"/>
        </w:rPr>
        <w:t xml:space="preserve"> to the occupation of Private Investigator or Private Inquiry Agent. This occupation typically conducts investigations as directed by clients, such as those outside of the scope of policing. Areas of investigative work may be broad-ranging and important for resolving legal issues, including:</w:t>
      </w:r>
    </w:p>
    <w:p w14:paraId="17F2C65A" w14:textId="77777777" w:rsidR="00B92EE8" w:rsidRPr="00366CE5" w:rsidRDefault="00B92EE8" w:rsidP="00B92EE8">
      <w:pPr>
        <w:jc w:val="both"/>
        <w:rPr>
          <w:color w:val="auto"/>
        </w:rPr>
      </w:pPr>
    </w:p>
    <w:p w14:paraId="06CAED31" w14:textId="77777777" w:rsidR="00B92EE8" w:rsidRPr="00366CE5" w:rsidRDefault="00B92EE8" w:rsidP="00B92EE8">
      <w:pPr>
        <w:pStyle w:val="ListParagraph"/>
        <w:numPr>
          <w:ilvl w:val="0"/>
          <w:numId w:val="20"/>
        </w:numPr>
        <w:spacing w:after="160" w:line="259" w:lineRule="auto"/>
        <w:jc w:val="both"/>
        <w:rPr>
          <w:color w:val="auto"/>
        </w:rPr>
      </w:pPr>
      <w:r w:rsidRPr="00366CE5">
        <w:rPr>
          <w:color w:val="auto"/>
        </w:rPr>
        <w:t xml:space="preserve">fraud detection, insurance fraud and investigation, </w:t>
      </w:r>
    </w:p>
    <w:p w14:paraId="31FA35D0" w14:textId="77777777" w:rsidR="00B92EE8" w:rsidRPr="00366CE5" w:rsidRDefault="00B92EE8" w:rsidP="00B92EE8">
      <w:pPr>
        <w:pStyle w:val="ListParagraph"/>
        <w:numPr>
          <w:ilvl w:val="0"/>
          <w:numId w:val="20"/>
        </w:numPr>
        <w:spacing w:after="160" w:line="259" w:lineRule="auto"/>
        <w:jc w:val="both"/>
        <w:rPr>
          <w:color w:val="auto"/>
        </w:rPr>
      </w:pPr>
      <w:r w:rsidRPr="00366CE5">
        <w:rPr>
          <w:color w:val="auto"/>
        </w:rPr>
        <w:t xml:space="preserve">OHS investigations, </w:t>
      </w:r>
    </w:p>
    <w:p w14:paraId="66EF2B33" w14:textId="77777777" w:rsidR="00B92EE8" w:rsidRPr="00366CE5" w:rsidRDefault="00B92EE8" w:rsidP="00B92EE8">
      <w:pPr>
        <w:pStyle w:val="ListParagraph"/>
        <w:numPr>
          <w:ilvl w:val="0"/>
          <w:numId w:val="20"/>
        </w:numPr>
        <w:spacing w:after="160" w:line="259" w:lineRule="auto"/>
        <w:jc w:val="both"/>
        <w:rPr>
          <w:color w:val="auto"/>
        </w:rPr>
      </w:pPr>
      <w:r w:rsidRPr="00366CE5">
        <w:rPr>
          <w:color w:val="auto"/>
        </w:rPr>
        <w:t xml:space="preserve">family law, </w:t>
      </w:r>
    </w:p>
    <w:p w14:paraId="00593E0A" w14:textId="77777777" w:rsidR="00B92EE8" w:rsidRPr="00366CE5" w:rsidRDefault="00B92EE8" w:rsidP="00B92EE8">
      <w:pPr>
        <w:pStyle w:val="ListParagraph"/>
        <w:numPr>
          <w:ilvl w:val="0"/>
          <w:numId w:val="20"/>
        </w:numPr>
        <w:spacing w:after="160" w:line="259" w:lineRule="auto"/>
        <w:jc w:val="both"/>
        <w:rPr>
          <w:color w:val="auto"/>
        </w:rPr>
      </w:pPr>
      <w:r w:rsidRPr="00366CE5">
        <w:rPr>
          <w:color w:val="auto"/>
        </w:rPr>
        <w:t xml:space="preserve">consuming investigations, and </w:t>
      </w:r>
    </w:p>
    <w:p w14:paraId="7AADB86E" w14:textId="77777777" w:rsidR="00B92EE8" w:rsidRPr="00366CE5" w:rsidRDefault="00B92EE8" w:rsidP="00B92EE8">
      <w:pPr>
        <w:pStyle w:val="ListParagraph"/>
        <w:numPr>
          <w:ilvl w:val="0"/>
          <w:numId w:val="20"/>
        </w:numPr>
        <w:spacing w:after="160" w:line="259" w:lineRule="auto"/>
        <w:jc w:val="both"/>
        <w:rPr>
          <w:color w:val="auto"/>
        </w:rPr>
      </w:pPr>
      <w:r w:rsidRPr="00366CE5">
        <w:rPr>
          <w:color w:val="auto"/>
        </w:rPr>
        <w:t>missing people investigations.</w:t>
      </w:r>
      <w:r w:rsidRPr="00366CE5">
        <w:rPr>
          <w:rStyle w:val="FootnoteReference"/>
          <w:rFonts w:eastAsiaTheme="minorHAnsi"/>
          <w:color w:val="auto"/>
        </w:rPr>
        <w:footnoteReference w:id="1"/>
      </w:r>
    </w:p>
    <w:p w14:paraId="75895A02" w14:textId="77777777" w:rsidR="00B92EE8" w:rsidRPr="00366CE5" w:rsidRDefault="00B92EE8" w:rsidP="00B92EE8">
      <w:pPr>
        <w:jc w:val="both"/>
        <w:rPr>
          <w:color w:val="auto"/>
        </w:rPr>
      </w:pPr>
      <w:r w:rsidRPr="00366CE5">
        <w:rPr>
          <w:color w:val="auto"/>
        </w:rPr>
        <w:t xml:space="preserve">Clients may include government agencies, businesses and general members of the public. </w:t>
      </w:r>
    </w:p>
    <w:p w14:paraId="1D3038D6" w14:textId="0CD4D5A1" w:rsidR="00A02625" w:rsidRPr="00366CE5" w:rsidRDefault="00A02625" w:rsidP="00A02625">
      <w:pPr>
        <w:shd w:val="clear" w:color="auto" w:fill="FFFFFF"/>
        <w:spacing w:before="240" w:line="276" w:lineRule="auto"/>
        <w:jc w:val="both"/>
        <w:rPr>
          <w:color w:val="auto"/>
        </w:rPr>
      </w:pPr>
      <w:r w:rsidRPr="00366CE5">
        <w:rPr>
          <w:color w:val="auto"/>
        </w:rPr>
        <w:t>Changes in the technology used in the security industry ha</w:t>
      </w:r>
      <w:r w:rsidR="00366CE5" w:rsidRPr="00366CE5">
        <w:rPr>
          <w:color w:val="auto"/>
        </w:rPr>
        <w:t>ve</w:t>
      </w:r>
      <w:r w:rsidRPr="00366CE5">
        <w:rPr>
          <w:color w:val="auto"/>
        </w:rPr>
        <w:t xml:space="preserve"> decreased the demand for private investigators. However, this is also giving rise to a demand for Private Investigation services to operate in the online environment, particularly for investigations of online fraud.</w:t>
      </w:r>
    </w:p>
    <w:p w14:paraId="1E67E785" w14:textId="77777777" w:rsidR="008753B5" w:rsidRPr="008753B5" w:rsidRDefault="008753B5" w:rsidP="008753B5">
      <w:pPr>
        <w:rPr>
          <w:lang w:val="en-AU"/>
        </w:rPr>
      </w:pPr>
    </w:p>
    <w:p w14:paraId="4F0E73A5" w14:textId="0E09CAAB" w:rsidR="00D84328" w:rsidRDefault="00D84328" w:rsidP="00D84328">
      <w:pPr>
        <w:rPr>
          <w:color w:val="000000" w:themeColor="text1"/>
        </w:rPr>
      </w:pPr>
      <w:r>
        <w:rPr>
          <w:color w:val="000000" w:themeColor="text1"/>
        </w:rPr>
        <w:t>A Technical Advisory Group (TAG)</w:t>
      </w:r>
      <w:r w:rsidR="00A02625">
        <w:rPr>
          <w:color w:val="000000" w:themeColor="text1"/>
        </w:rPr>
        <w:t>,</w:t>
      </w:r>
      <w:r>
        <w:rPr>
          <w:color w:val="000000" w:themeColor="text1"/>
        </w:rPr>
        <w:t xml:space="preserve"> </w:t>
      </w:r>
      <w:r w:rsidR="00A02625">
        <w:rPr>
          <w:color w:val="000000" w:themeColor="text1"/>
        </w:rPr>
        <w:t>Chaired by Property and Services IRC member John Fleming, has been</w:t>
      </w:r>
      <w:r>
        <w:rPr>
          <w:color w:val="000000" w:themeColor="text1"/>
        </w:rPr>
        <w:t xml:space="preserve"> established to provide key input on the:</w:t>
      </w:r>
    </w:p>
    <w:p w14:paraId="27349A23" w14:textId="77777777" w:rsidR="00D84328" w:rsidRDefault="00D84328" w:rsidP="00D84328">
      <w:pPr>
        <w:rPr>
          <w:color w:val="000000" w:themeColor="text1"/>
        </w:rPr>
      </w:pPr>
    </w:p>
    <w:p w14:paraId="2CBF17F6" w14:textId="33A69E78" w:rsidR="00D84328" w:rsidRPr="00D84328" w:rsidRDefault="009E5DBE" w:rsidP="00D84328">
      <w:pPr>
        <w:pStyle w:val="ListParagraph"/>
        <w:numPr>
          <w:ilvl w:val="0"/>
          <w:numId w:val="7"/>
        </w:numPr>
        <w:rPr>
          <w:color w:val="000000" w:themeColor="text1"/>
        </w:rPr>
      </w:pPr>
      <w:r>
        <w:rPr>
          <w:color w:val="000000" w:themeColor="text1"/>
        </w:rPr>
        <w:t>s</w:t>
      </w:r>
      <w:r w:rsidR="007C0564">
        <w:rPr>
          <w:color w:val="000000" w:themeColor="text1"/>
        </w:rPr>
        <w:t xml:space="preserve">uitability of </w:t>
      </w:r>
      <w:r w:rsidR="00D84328">
        <w:rPr>
          <w:color w:val="000000" w:themeColor="text1"/>
        </w:rPr>
        <w:t>p</w:t>
      </w:r>
      <w:r w:rsidR="00D84328" w:rsidRPr="00D84328">
        <w:rPr>
          <w:color w:val="000000" w:themeColor="text1"/>
        </w:rPr>
        <w:t xml:space="preserve">ackaging </w:t>
      </w:r>
      <w:r w:rsidR="00D84328">
        <w:rPr>
          <w:color w:val="000000" w:themeColor="text1"/>
        </w:rPr>
        <w:t>of the qualification</w:t>
      </w:r>
      <w:r w:rsidR="00E67BF8">
        <w:rPr>
          <w:color w:val="000000" w:themeColor="text1"/>
        </w:rPr>
        <w:t>s</w:t>
      </w:r>
    </w:p>
    <w:p w14:paraId="7D68D224" w14:textId="7829A68A" w:rsidR="00D84328" w:rsidRDefault="009E5DBE" w:rsidP="00D84328">
      <w:pPr>
        <w:pStyle w:val="ListParagraph"/>
        <w:numPr>
          <w:ilvl w:val="0"/>
          <w:numId w:val="7"/>
        </w:numPr>
        <w:rPr>
          <w:color w:val="000000" w:themeColor="text1"/>
        </w:rPr>
      </w:pPr>
      <w:r>
        <w:rPr>
          <w:color w:val="000000" w:themeColor="text1"/>
        </w:rPr>
        <w:t>u</w:t>
      </w:r>
      <w:r w:rsidR="00D84328" w:rsidRPr="00D84328">
        <w:rPr>
          <w:color w:val="000000" w:themeColor="text1"/>
        </w:rPr>
        <w:t xml:space="preserve">nit </w:t>
      </w:r>
      <w:r w:rsidR="00D84328">
        <w:rPr>
          <w:color w:val="000000" w:themeColor="text1"/>
        </w:rPr>
        <w:t>relevancy and content</w:t>
      </w:r>
    </w:p>
    <w:p w14:paraId="690C39BF" w14:textId="77777777" w:rsidR="00A02625" w:rsidRPr="00366CE5" w:rsidRDefault="00A02625" w:rsidP="00A02625">
      <w:pPr>
        <w:pStyle w:val="ListParagraph"/>
        <w:numPr>
          <w:ilvl w:val="1"/>
          <w:numId w:val="7"/>
        </w:numPr>
        <w:spacing w:after="160" w:line="259" w:lineRule="auto"/>
        <w:rPr>
          <w:color w:val="auto"/>
        </w:rPr>
      </w:pPr>
      <w:r w:rsidRPr="00366CE5">
        <w:rPr>
          <w:color w:val="auto"/>
        </w:rPr>
        <w:lastRenderedPageBreak/>
        <w:t>Does there need to be more focus on online investigations in the qualification?</w:t>
      </w:r>
    </w:p>
    <w:p w14:paraId="6E6DE802" w14:textId="6739AD82" w:rsidR="00A02625" w:rsidRPr="00366CE5" w:rsidRDefault="00A02625" w:rsidP="00A02625">
      <w:pPr>
        <w:pStyle w:val="ListParagraph"/>
        <w:numPr>
          <w:ilvl w:val="1"/>
          <w:numId w:val="7"/>
        </w:numPr>
        <w:spacing w:after="160" w:line="259" w:lineRule="auto"/>
        <w:rPr>
          <w:color w:val="auto"/>
        </w:rPr>
      </w:pPr>
      <w:r w:rsidRPr="00366CE5">
        <w:rPr>
          <w:color w:val="auto"/>
        </w:rPr>
        <w:t xml:space="preserve">Does the pathway for the Certificate III in Investigative Services need to be better articulated to align with broad regulatory scopes of work? </w:t>
      </w:r>
    </w:p>
    <w:p w14:paraId="56447C91" w14:textId="52710D2F" w:rsidR="00E67BF8" w:rsidRPr="00366CE5" w:rsidRDefault="00A02625" w:rsidP="00005F0A">
      <w:pPr>
        <w:pStyle w:val="ListParagraph"/>
        <w:numPr>
          <w:ilvl w:val="1"/>
          <w:numId w:val="7"/>
        </w:numPr>
        <w:spacing w:after="160" w:line="259" w:lineRule="auto"/>
        <w:rPr>
          <w:color w:val="auto"/>
          <w:lang w:val="en-AU"/>
        </w:rPr>
      </w:pPr>
      <w:r w:rsidRPr="00366CE5">
        <w:rPr>
          <w:color w:val="auto"/>
        </w:rPr>
        <w:t xml:space="preserve">Is this qualification’s AQF level (level 3) an accurate reflection of its position in the security qualifications pathway? </w:t>
      </w:r>
    </w:p>
    <w:p w14:paraId="664572BA" w14:textId="6EC6B8F8" w:rsidR="003928B2" w:rsidRDefault="004763B0" w:rsidP="0037611C">
      <w:pPr>
        <w:pStyle w:val="Heading1"/>
      </w:pPr>
      <w:r>
        <w:t>Key points</w:t>
      </w:r>
    </w:p>
    <w:p w14:paraId="63978FF2" w14:textId="77777777" w:rsidR="007C36EE" w:rsidRPr="00366CE5" w:rsidRDefault="007C36EE" w:rsidP="007C36EE">
      <w:pPr>
        <w:spacing w:line="276" w:lineRule="auto"/>
        <w:jc w:val="both"/>
        <w:rPr>
          <w:color w:val="auto"/>
        </w:rPr>
      </w:pPr>
      <w:r w:rsidRPr="00366CE5">
        <w:rPr>
          <w:color w:val="auto"/>
        </w:rPr>
        <w:t>Licensing and regulation for private investigators varies across jurisdictions. For example, the licences for VIC, QLD, TAS and SA do not cover the work of private investigators only, but also cover the work of bodyguards, crowd controllers and security officers.  In addition to this, training requirements also vary across jurisdictions, with some states requiring the Certificate III in Investigative Services and others not.</w:t>
      </w:r>
    </w:p>
    <w:p w14:paraId="58B2EF6A" w14:textId="77777777" w:rsidR="007C36EE" w:rsidRPr="00366CE5" w:rsidRDefault="007C36EE" w:rsidP="007C36EE">
      <w:pPr>
        <w:rPr>
          <w:color w:val="auto"/>
          <w:lang w:val="en-AU"/>
        </w:rPr>
      </w:pPr>
    </w:p>
    <w:p w14:paraId="568264A3" w14:textId="77777777" w:rsidR="00A02625" w:rsidRPr="00366CE5" w:rsidRDefault="00A02625" w:rsidP="00A02625">
      <w:pPr>
        <w:pStyle w:val="ListParagraph"/>
        <w:numPr>
          <w:ilvl w:val="0"/>
          <w:numId w:val="22"/>
        </w:numPr>
        <w:spacing w:after="160" w:line="276" w:lineRule="auto"/>
        <w:jc w:val="both"/>
        <w:rPr>
          <w:color w:val="auto"/>
        </w:rPr>
      </w:pPr>
      <w:bookmarkStart w:id="9" w:name="O_661071"/>
      <w:bookmarkStart w:id="10" w:name="O_661072"/>
      <w:bookmarkStart w:id="11" w:name="O_661073"/>
      <w:bookmarkStart w:id="12" w:name="O_661075"/>
      <w:bookmarkEnd w:id="0"/>
      <w:bookmarkEnd w:id="1"/>
      <w:bookmarkEnd w:id="2"/>
      <w:bookmarkEnd w:id="3"/>
      <w:bookmarkEnd w:id="4"/>
      <w:bookmarkEnd w:id="5"/>
      <w:bookmarkEnd w:id="6"/>
      <w:bookmarkEnd w:id="7"/>
      <w:bookmarkEnd w:id="8"/>
      <w:bookmarkEnd w:id="9"/>
      <w:bookmarkEnd w:id="10"/>
      <w:bookmarkEnd w:id="11"/>
      <w:bookmarkEnd w:id="12"/>
      <w:r w:rsidRPr="00366CE5">
        <w:rPr>
          <w:color w:val="auto"/>
        </w:rPr>
        <w:t xml:space="preserve">The qualification does not include an ethics unit, yet contemporary position descriptions suggest ethics is a needed competency in the field. </w:t>
      </w:r>
    </w:p>
    <w:p w14:paraId="635BB1D5" w14:textId="77777777" w:rsidR="00A02625" w:rsidRPr="00366CE5" w:rsidRDefault="00A02625" w:rsidP="00A02625">
      <w:pPr>
        <w:pStyle w:val="ListParagraph"/>
        <w:numPr>
          <w:ilvl w:val="0"/>
          <w:numId w:val="22"/>
        </w:numPr>
        <w:spacing w:after="160" w:line="276" w:lineRule="auto"/>
        <w:jc w:val="both"/>
        <w:rPr>
          <w:color w:val="auto"/>
        </w:rPr>
      </w:pPr>
      <w:r w:rsidRPr="00366CE5">
        <w:rPr>
          <w:color w:val="auto"/>
        </w:rPr>
        <w:t xml:space="preserve">No position descriptions </w:t>
      </w:r>
      <w:proofErr w:type="spellStart"/>
      <w:r w:rsidRPr="00366CE5">
        <w:rPr>
          <w:color w:val="auto"/>
        </w:rPr>
        <w:t>analysed</w:t>
      </w:r>
      <w:proofErr w:type="spellEnd"/>
      <w:r w:rsidRPr="00366CE5">
        <w:rPr>
          <w:color w:val="auto"/>
        </w:rPr>
        <w:t xml:space="preserve"> mentioned safety skills or requirements or the need to operate a surveillance vehicle but there are two units in the core that relate to these skills. </w:t>
      </w:r>
    </w:p>
    <w:p w14:paraId="24DB2850" w14:textId="5A5A714C" w:rsidR="000A7BB8" w:rsidRDefault="00AB57E6" w:rsidP="009E36A3">
      <w:pPr>
        <w:pStyle w:val="Heading1"/>
      </w:pPr>
      <w:r w:rsidRPr="000A7BB8">
        <w:t>Consultation Plan</w:t>
      </w:r>
    </w:p>
    <w:p w14:paraId="3FC4680E" w14:textId="77777777" w:rsidR="000A7BB8" w:rsidRPr="00366CE5" w:rsidRDefault="000A7BB8" w:rsidP="000A7BB8">
      <w:pPr>
        <w:rPr>
          <w:color w:val="auto"/>
        </w:rPr>
      </w:pPr>
      <w:r w:rsidRPr="00366CE5">
        <w:rPr>
          <w:color w:val="auto"/>
        </w:rPr>
        <w:t>The key engagement methods will be as follows:</w:t>
      </w:r>
    </w:p>
    <w:p w14:paraId="6CD8C530" w14:textId="5D056F04" w:rsidR="000A7BB8" w:rsidRPr="00366CE5" w:rsidRDefault="000A7BB8" w:rsidP="000A7BB8">
      <w:pPr>
        <w:pStyle w:val="ListParagraph"/>
        <w:numPr>
          <w:ilvl w:val="0"/>
          <w:numId w:val="16"/>
        </w:numPr>
        <w:rPr>
          <w:color w:val="auto"/>
        </w:rPr>
      </w:pPr>
      <w:r w:rsidRPr="00366CE5">
        <w:rPr>
          <w:color w:val="auto"/>
        </w:rPr>
        <w:t>a Technical Advisory Groups (TAG) will be established in accordance with internal policy and procedures to guide the subject matter expertise components of the work</w:t>
      </w:r>
    </w:p>
    <w:p w14:paraId="5311B60D" w14:textId="77777777" w:rsidR="000A7BB8" w:rsidRPr="00366CE5" w:rsidRDefault="000A7BB8" w:rsidP="000A7BB8">
      <w:pPr>
        <w:pStyle w:val="ListParagraph"/>
        <w:numPr>
          <w:ilvl w:val="0"/>
          <w:numId w:val="16"/>
        </w:numPr>
        <w:rPr>
          <w:color w:val="auto"/>
        </w:rPr>
      </w:pPr>
      <w:r w:rsidRPr="00366CE5">
        <w:rPr>
          <w:color w:val="auto"/>
        </w:rPr>
        <w:t>direct correspondence with regulators</w:t>
      </w:r>
    </w:p>
    <w:p w14:paraId="6981F50D" w14:textId="77777777" w:rsidR="000A7BB8" w:rsidRPr="00366CE5" w:rsidRDefault="000A7BB8" w:rsidP="000A7BB8">
      <w:pPr>
        <w:pStyle w:val="ListParagraph"/>
        <w:numPr>
          <w:ilvl w:val="0"/>
          <w:numId w:val="16"/>
        </w:numPr>
        <w:rPr>
          <w:color w:val="auto"/>
        </w:rPr>
      </w:pPr>
      <w:r w:rsidRPr="00366CE5">
        <w:rPr>
          <w:color w:val="auto"/>
        </w:rPr>
        <w:t>direct correspondence with State Training Authorities</w:t>
      </w:r>
    </w:p>
    <w:p w14:paraId="39A2D5E1" w14:textId="77777777" w:rsidR="000A7BB8" w:rsidRPr="00366CE5" w:rsidRDefault="000A7BB8" w:rsidP="000A7BB8">
      <w:pPr>
        <w:pStyle w:val="ListParagraph"/>
        <w:numPr>
          <w:ilvl w:val="0"/>
          <w:numId w:val="16"/>
        </w:numPr>
        <w:rPr>
          <w:color w:val="auto"/>
        </w:rPr>
      </w:pPr>
      <w:r w:rsidRPr="00366CE5">
        <w:rPr>
          <w:color w:val="auto"/>
        </w:rPr>
        <w:t>direct correspondence with IRC and key stakeholders</w:t>
      </w:r>
    </w:p>
    <w:p w14:paraId="36F3F0A1" w14:textId="77777777" w:rsidR="000A7BB8" w:rsidRPr="00366CE5" w:rsidRDefault="000A7BB8" w:rsidP="000A7BB8">
      <w:pPr>
        <w:pStyle w:val="ListParagraph"/>
        <w:numPr>
          <w:ilvl w:val="0"/>
          <w:numId w:val="16"/>
        </w:numPr>
        <w:rPr>
          <w:color w:val="auto"/>
        </w:rPr>
      </w:pPr>
      <w:r w:rsidRPr="00366CE5">
        <w:rPr>
          <w:color w:val="auto"/>
        </w:rPr>
        <w:t>industry associations and other stakeholders will be invited to capital city forums in all state/territories.  A copy of forums material will be published on the web and an online forum will also be facilitated</w:t>
      </w:r>
    </w:p>
    <w:p w14:paraId="47632CCD" w14:textId="77777777" w:rsidR="000A7BB8" w:rsidRPr="00366CE5" w:rsidRDefault="000A7BB8" w:rsidP="000A7BB8">
      <w:pPr>
        <w:pStyle w:val="ListParagraph"/>
        <w:numPr>
          <w:ilvl w:val="0"/>
          <w:numId w:val="16"/>
        </w:numPr>
        <w:rPr>
          <w:color w:val="auto"/>
        </w:rPr>
      </w:pPr>
      <w:r w:rsidRPr="00366CE5">
        <w:rPr>
          <w:color w:val="auto"/>
        </w:rPr>
        <w:t xml:space="preserve">RTOs will be engaged through online survey and trainer networks </w:t>
      </w:r>
    </w:p>
    <w:p w14:paraId="42BA85EB" w14:textId="77777777" w:rsidR="000A7BB8" w:rsidRPr="00366CE5" w:rsidRDefault="000A7BB8" w:rsidP="000A7BB8">
      <w:pPr>
        <w:pStyle w:val="ListParagraph"/>
        <w:numPr>
          <w:ilvl w:val="0"/>
          <w:numId w:val="16"/>
        </w:numPr>
        <w:rPr>
          <w:color w:val="auto"/>
        </w:rPr>
      </w:pPr>
      <w:r w:rsidRPr="00366CE5">
        <w:rPr>
          <w:color w:val="auto"/>
        </w:rPr>
        <w:t>public web project page updated fortnightly</w:t>
      </w:r>
    </w:p>
    <w:p w14:paraId="08B07339" w14:textId="77777777" w:rsidR="000A7BB8" w:rsidRPr="00366CE5" w:rsidRDefault="000A7BB8" w:rsidP="000A7BB8">
      <w:pPr>
        <w:pStyle w:val="ListParagraph"/>
        <w:numPr>
          <w:ilvl w:val="0"/>
          <w:numId w:val="16"/>
        </w:numPr>
        <w:rPr>
          <w:color w:val="auto"/>
        </w:rPr>
      </w:pPr>
      <w:r w:rsidRPr="00366CE5">
        <w:rPr>
          <w:color w:val="auto"/>
        </w:rPr>
        <w:t>newsletter survey distribution to 4,200 stakeholders, including all RTOs, regulators, industry associations.  Minimum of three newsletter profiles</w:t>
      </w:r>
    </w:p>
    <w:p w14:paraId="744105EE" w14:textId="77777777" w:rsidR="000A7BB8" w:rsidRPr="00366CE5" w:rsidRDefault="000A7BB8" w:rsidP="000A7BB8">
      <w:pPr>
        <w:pStyle w:val="ListParagraph"/>
        <w:numPr>
          <w:ilvl w:val="0"/>
          <w:numId w:val="16"/>
        </w:numPr>
        <w:rPr>
          <w:color w:val="auto"/>
        </w:rPr>
      </w:pPr>
      <w:r w:rsidRPr="00366CE5">
        <w:rPr>
          <w:color w:val="auto"/>
        </w:rPr>
        <w:t xml:space="preserve">industry survey on early and late draft material </w:t>
      </w:r>
    </w:p>
    <w:p w14:paraId="7D8D6C73" w14:textId="77777777" w:rsidR="000A7BB8" w:rsidRPr="00366CE5" w:rsidRDefault="000A7BB8" w:rsidP="000A7BB8">
      <w:pPr>
        <w:pStyle w:val="ListParagraph"/>
        <w:numPr>
          <w:ilvl w:val="0"/>
          <w:numId w:val="16"/>
        </w:numPr>
        <w:rPr>
          <w:color w:val="auto"/>
        </w:rPr>
      </w:pPr>
      <w:r w:rsidRPr="00366CE5">
        <w:rPr>
          <w:color w:val="auto"/>
        </w:rPr>
        <w:t>distribution of survey through TAG networks and Artibus digital channels</w:t>
      </w:r>
    </w:p>
    <w:p w14:paraId="37151B48" w14:textId="77777777" w:rsidR="000A7BB8" w:rsidRPr="000A7BB8" w:rsidRDefault="000A7BB8" w:rsidP="000A7BB8">
      <w:pPr>
        <w:rPr>
          <w:lang w:val="en-AU"/>
        </w:rPr>
      </w:pPr>
    </w:p>
    <w:p w14:paraId="74B49596" w14:textId="5613AF12" w:rsidR="001E56B4" w:rsidRDefault="000A7BB8" w:rsidP="007C36EE">
      <w:pPr>
        <w:pStyle w:val="Heading1"/>
      </w:pPr>
      <w:r w:rsidRPr="000A7BB8">
        <w:t>Project Timeline</w:t>
      </w:r>
    </w:p>
    <w:tbl>
      <w:tblPr>
        <w:tblStyle w:val="TableGrid"/>
        <w:tblW w:w="0" w:type="auto"/>
        <w:tblLook w:val="04A0" w:firstRow="1" w:lastRow="0" w:firstColumn="1" w:lastColumn="0" w:noHBand="0" w:noVBand="1"/>
      </w:tblPr>
      <w:tblGrid>
        <w:gridCol w:w="1129"/>
        <w:gridCol w:w="5247"/>
        <w:gridCol w:w="3189"/>
      </w:tblGrid>
      <w:tr w:rsidR="00366CE5" w:rsidRPr="00366CE5" w14:paraId="737646F7" w14:textId="77777777" w:rsidTr="009E36A3">
        <w:tc>
          <w:tcPr>
            <w:tcW w:w="1129" w:type="dxa"/>
          </w:tcPr>
          <w:p w14:paraId="4AE60DB0" w14:textId="29AC9B44" w:rsidR="001E56B4" w:rsidRPr="00366CE5" w:rsidRDefault="001E56B4" w:rsidP="001E56B4">
            <w:pPr>
              <w:rPr>
                <w:color w:val="auto"/>
                <w:lang w:val="en-AU"/>
              </w:rPr>
            </w:pPr>
            <w:r w:rsidRPr="00366CE5">
              <w:rPr>
                <w:color w:val="auto"/>
                <w:lang w:val="en-AU"/>
              </w:rPr>
              <w:t>Stage 1</w:t>
            </w:r>
          </w:p>
        </w:tc>
        <w:tc>
          <w:tcPr>
            <w:tcW w:w="5247" w:type="dxa"/>
          </w:tcPr>
          <w:p w14:paraId="76A7FA6B" w14:textId="227F119F" w:rsidR="001E56B4" w:rsidRPr="00366CE5" w:rsidRDefault="001E56B4" w:rsidP="001E56B4">
            <w:pPr>
              <w:rPr>
                <w:color w:val="auto"/>
                <w:lang w:val="en-AU"/>
              </w:rPr>
            </w:pPr>
            <w:r w:rsidRPr="00366CE5">
              <w:rPr>
                <w:color w:val="auto"/>
                <w:lang w:val="en-AU"/>
              </w:rPr>
              <w:t>Project commencement</w:t>
            </w:r>
          </w:p>
        </w:tc>
        <w:tc>
          <w:tcPr>
            <w:tcW w:w="3189" w:type="dxa"/>
          </w:tcPr>
          <w:p w14:paraId="253EC0C7" w14:textId="5A17D3F7" w:rsidR="001E56B4" w:rsidRPr="00366CE5" w:rsidRDefault="00167B0A" w:rsidP="001E56B4">
            <w:pPr>
              <w:rPr>
                <w:color w:val="auto"/>
                <w:lang w:val="en-AU"/>
              </w:rPr>
            </w:pPr>
            <w:r>
              <w:rPr>
                <w:color w:val="auto"/>
                <w:lang w:val="en-AU"/>
              </w:rPr>
              <w:t xml:space="preserve">August </w:t>
            </w:r>
            <w:bookmarkStart w:id="13" w:name="_GoBack"/>
            <w:bookmarkEnd w:id="13"/>
            <w:r w:rsidR="001E56B4" w:rsidRPr="00366CE5">
              <w:rPr>
                <w:color w:val="auto"/>
                <w:lang w:val="en-AU"/>
              </w:rPr>
              <w:t>2018</w:t>
            </w:r>
          </w:p>
        </w:tc>
      </w:tr>
      <w:tr w:rsidR="00366CE5" w:rsidRPr="00366CE5" w14:paraId="53AFD137" w14:textId="77777777" w:rsidTr="009E36A3">
        <w:tc>
          <w:tcPr>
            <w:tcW w:w="1129" w:type="dxa"/>
          </w:tcPr>
          <w:p w14:paraId="1B8D662C" w14:textId="18F1C705" w:rsidR="001E56B4" w:rsidRPr="00366CE5" w:rsidRDefault="001E56B4" w:rsidP="001E56B4">
            <w:pPr>
              <w:rPr>
                <w:color w:val="auto"/>
                <w:lang w:val="en-AU"/>
              </w:rPr>
            </w:pPr>
            <w:r w:rsidRPr="00366CE5">
              <w:rPr>
                <w:color w:val="auto"/>
                <w:lang w:val="en-AU"/>
              </w:rPr>
              <w:t>Stage 2</w:t>
            </w:r>
          </w:p>
        </w:tc>
        <w:tc>
          <w:tcPr>
            <w:tcW w:w="5247" w:type="dxa"/>
          </w:tcPr>
          <w:p w14:paraId="1A9563F4" w14:textId="6C224B17" w:rsidR="001E56B4" w:rsidRPr="00366CE5" w:rsidRDefault="001E56B4" w:rsidP="001E56B4">
            <w:pPr>
              <w:rPr>
                <w:color w:val="auto"/>
                <w:lang w:val="en-AU"/>
              </w:rPr>
            </w:pPr>
            <w:r w:rsidRPr="00366CE5">
              <w:rPr>
                <w:color w:val="auto"/>
                <w:lang w:val="en-AU"/>
              </w:rPr>
              <w:t>Round 1 of industry consultation and training package development</w:t>
            </w:r>
          </w:p>
        </w:tc>
        <w:tc>
          <w:tcPr>
            <w:tcW w:w="3189" w:type="dxa"/>
          </w:tcPr>
          <w:p w14:paraId="7028436E" w14:textId="3E2DBA6F" w:rsidR="001E56B4" w:rsidRPr="00366CE5" w:rsidRDefault="001E56B4" w:rsidP="001E56B4">
            <w:pPr>
              <w:rPr>
                <w:color w:val="auto"/>
                <w:lang w:val="en-AU"/>
              </w:rPr>
            </w:pPr>
            <w:r w:rsidRPr="00366CE5">
              <w:rPr>
                <w:color w:val="auto"/>
                <w:lang w:val="en-AU"/>
              </w:rPr>
              <w:t>October 2018</w:t>
            </w:r>
          </w:p>
        </w:tc>
      </w:tr>
      <w:tr w:rsidR="00366CE5" w:rsidRPr="00366CE5" w14:paraId="720C0A98" w14:textId="77777777" w:rsidTr="009E36A3">
        <w:tc>
          <w:tcPr>
            <w:tcW w:w="1129" w:type="dxa"/>
          </w:tcPr>
          <w:p w14:paraId="1AFA075F" w14:textId="77777777" w:rsidR="001E56B4" w:rsidRPr="00366CE5" w:rsidRDefault="001E56B4" w:rsidP="001E56B4">
            <w:pPr>
              <w:rPr>
                <w:color w:val="auto"/>
                <w:lang w:val="en-AU"/>
              </w:rPr>
            </w:pPr>
          </w:p>
        </w:tc>
        <w:tc>
          <w:tcPr>
            <w:tcW w:w="5247" w:type="dxa"/>
          </w:tcPr>
          <w:p w14:paraId="04F97991" w14:textId="2697C217" w:rsidR="001E56B4" w:rsidRPr="00366CE5" w:rsidRDefault="001E56B4" w:rsidP="001E56B4">
            <w:pPr>
              <w:rPr>
                <w:color w:val="auto"/>
                <w:lang w:val="en-AU"/>
              </w:rPr>
            </w:pPr>
            <w:r w:rsidRPr="00366CE5">
              <w:rPr>
                <w:color w:val="auto"/>
                <w:lang w:val="en-AU"/>
              </w:rPr>
              <w:t>Round 2 of industry consultation and training package development</w:t>
            </w:r>
          </w:p>
        </w:tc>
        <w:tc>
          <w:tcPr>
            <w:tcW w:w="3189" w:type="dxa"/>
          </w:tcPr>
          <w:p w14:paraId="71B97009" w14:textId="26B01ADE" w:rsidR="001E56B4" w:rsidRPr="00366CE5" w:rsidRDefault="001E56B4" w:rsidP="001E56B4">
            <w:pPr>
              <w:rPr>
                <w:color w:val="auto"/>
                <w:lang w:val="en-AU"/>
              </w:rPr>
            </w:pPr>
            <w:r w:rsidRPr="00366CE5">
              <w:rPr>
                <w:color w:val="auto"/>
                <w:lang w:val="en-AU"/>
              </w:rPr>
              <w:t>November 2018 – January 2019</w:t>
            </w:r>
          </w:p>
        </w:tc>
      </w:tr>
      <w:tr w:rsidR="00366CE5" w:rsidRPr="00366CE5" w14:paraId="2FE36251" w14:textId="77777777" w:rsidTr="009E36A3">
        <w:tc>
          <w:tcPr>
            <w:tcW w:w="1129" w:type="dxa"/>
          </w:tcPr>
          <w:p w14:paraId="52FF56D7" w14:textId="0306E276" w:rsidR="001E56B4" w:rsidRPr="00366CE5" w:rsidRDefault="001E56B4" w:rsidP="001E56B4">
            <w:pPr>
              <w:rPr>
                <w:color w:val="auto"/>
                <w:lang w:val="en-AU"/>
              </w:rPr>
            </w:pPr>
            <w:r w:rsidRPr="00366CE5">
              <w:rPr>
                <w:color w:val="auto"/>
                <w:lang w:val="en-AU"/>
              </w:rPr>
              <w:t>Stage 3</w:t>
            </w:r>
          </w:p>
        </w:tc>
        <w:tc>
          <w:tcPr>
            <w:tcW w:w="5247" w:type="dxa"/>
          </w:tcPr>
          <w:p w14:paraId="28B3460E" w14:textId="7251DDAC" w:rsidR="001E56B4" w:rsidRPr="00366CE5" w:rsidRDefault="001E56B4" w:rsidP="001E56B4">
            <w:pPr>
              <w:rPr>
                <w:color w:val="auto"/>
                <w:lang w:val="en-AU"/>
              </w:rPr>
            </w:pPr>
            <w:r w:rsidRPr="00366CE5">
              <w:rPr>
                <w:color w:val="auto"/>
                <w:lang w:val="en-AU"/>
              </w:rPr>
              <w:t>Validation consultation</w:t>
            </w:r>
          </w:p>
        </w:tc>
        <w:tc>
          <w:tcPr>
            <w:tcW w:w="3189" w:type="dxa"/>
          </w:tcPr>
          <w:p w14:paraId="009359A9" w14:textId="2726D910" w:rsidR="001E56B4" w:rsidRPr="00366CE5" w:rsidRDefault="001E56B4" w:rsidP="001E56B4">
            <w:pPr>
              <w:rPr>
                <w:color w:val="auto"/>
                <w:lang w:val="en-AU"/>
              </w:rPr>
            </w:pPr>
            <w:r w:rsidRPr="00366CE5">
              <w:rPr>
                <w:color w:val="auto"/>
                <w:lang w:val="en-AU"/>
              </w:rPr>
              <w:t>January 2019</w:t>
            </w:r>
          </w:p>
        </w:tc>
      </w:tr>
      <w:tr w:rsidR="00366CE5" w:rsidRPr="00366CE5" w14:paraId="5F8B50A4" w14:textId="77777777" w:rsidTr="009E36A3">
        <w:tc>
          <w:tcPr>
            <w:tcW w:w="1129" w:type="dxa"/>
          </w:tcPr>
          <w:p w14:paraId="413F8090" w14:textId="7DA668EF" w:rsidR="001E56B4" w:rsidRPr="00366CE5" w:rsidRDefault="001E56B4" w:rsidP="001E56B4">
            <w:pPr>
              <w:rPr>
                <w:color w:val="auto"/>
                <w:lang w:val="en-AU"/>
              </w:rPr>
            </w:pPr>
            <w:r w:rsidRPr="00366CE5">
              <w:rPr>
                <w:color w:val="auto"/>
                <w:lang w:val="en-AU"/>
              </w:rPr>
              <w:t>Stage 4</w:t>
            </w:r>
          </w:p>
        </w:tc>
        <w:tc>
          <w:tcPr>
            <w:tcW w:w="5247" w:type="dxa"/>
          </w:tcPr>
          <w:p w14:paraId="3C33F010" w14:textId="4DD42A71" w:rsidR="001E56B4" w:rsidRPr="00366CE5" w:rsidRDefault="001E56B4" w:rsidP="001E56B4">
            <w:pPr>
              <w:rPr>
                <w:color w:val="auto"/>
                <w:lang w:val="en-AU"/>
              </w:rPr>
            </w:pPr>
            <w:r w:rsidRPr="00366CE5">
              <w:rPr>
                <w:color w:val="auto"/>
                <w:lang w:val="en-AU"/>
              </w:rPr>
              <w:t>Quality assurance phase</w:t>
            </w:r>
          </w:p>
        </w:tc>
        <w:tc>
          <w:tcPr>
            <w:tcW w:w="3189" w:type="dxa"/>
          </w:tcPr>
          <w:p w14:paraId="2F8D6C95" w14:textId="38EC5DC4" w:rsidR="001E56B4" w:rsidRPr="00366CE5" w:rsidRDefault="001E56B4" w:rsidP="001E56B4">
            <w:pPr>
              <w:rPr>
                <w:color w:val="auto"/>
                <w:lang w:val="en-AU"/>
              </w:rPr>
            </w:pPr>
            <w:r w:rsidRPr="00366CE5">
              <w:rPr>
                <w:color w:val="auto"/>
                <w:lang w:val="en-AU"/>
              </w:rPr>
              <w:t>February – March 2019</w:t>
            </w:r>
          </w:p>
        </w:tc>
      </w:tr>
      <w:tr w:rsidR="00366CE5" w:rsidRPr="00366CE5" w14:paraId="736F1F50" w14:textId="77777777" w:rsidTr="009E36A3">
        <w:tc>
          <w:tcPr>
            <w:tcW w:w="1129" w:type="dxa"/>
          </w:tcPr>
          <w:p w14:paraId="7EA18C79" w14:textId="2BAB5998" w:rsidR="001E56B4" w:rsidRPr="00366CE5" w:rsidRDefault="001E56B4" w:rsidP="001E56B4">
            <w:pPr>
              <w:rPr>
                <w:color w:val="auto"/>
                <w:lang w:val="en-AU"/>
              </w:rPr>
            </w:pPr>
            <w:r w:rsidRPr="00366CE5">
              <w:rPr>
                <w:color w:val="auto"/>
                <w:lang w:val="en-AU"/>
              </w:rPr>
              <w:t>Stage 5</w:t>
            </w:r>
          </w:p>
        </w:tc>
        <w:tc>
          <w:tcPr>
            <w:tcW w:w="5247" w:type="dxa"/>
          </w:tcPr>
          <w:p w14:paraId="1697098D" w14:textId="02B9A7E0" w:rsidR="001E56B4" w:rsidRPr="00366CE5" w:rsidRDefault="001E56B4" w:rsidP="001E56B4">
            <w:pPr>
              <w:rPr>
                <w:color w:val="auto"/>
                <w:lang w:val="en-AU"/>
              </w:rPr>
            </w:pPr>
            <w:r w:rsidRPr="00366CE5">
              <w:rPr>
                <w:color w:val="auto"/>
                <w:lang w:val="en-AU"/>
              </w:rPr>
              <w:t>STA endorsement</w:t>
            </w:r>
          </w:p>
        </w:tc>
        <w:tc>
          <w:tcPr>
            <w:tcW w:w="3189" w:type="dxa"/>
          </w:tcPr>
          <w:p w14:paraId="3B5628FC" w14:textId="3ED584A4" w:rsidR="001E56B4" w:rsidRPr="00366CE5" w:rsidRDefault="001E56B4" w:rsidP="001E56B4">
            <w:pPr>
              <w:rPr>
                <w:color w:val="auto"/>
                <w:lang w:val="en-AU"/>
              </w:rPr>
            </w:pPr>
            <w:r w:rsidRPr="00366CE5">
              <w:rPr>
                <w:color w:val="auto"/>
                <w:lang w:val="en-AU"/>
              </w:rPr>
              <w:t>April 2109</w:t>
            </w:r>
          </w:p>
        </w:tc>
      </w:tr>
      <w:tr w:rsidR="00366CE5" w:rsidRPr="00366CE5" w14:paraId="115EEE87" w14:textId="77777777" w:rsidTr="009E36A3">
        <w:tc>
          <w:tcPr>
            <w:tcW w:w="1129" w:type="dxa"/>
          </w:tcPr>
          <w:p w14:paraId="0911431E" w14:textId="77777777" w:rsidR="001E56B4" w:rsidRPr="00366CE5" w:rsidRDefault="001E56B4" w:rsidP="001E56B4">
            <w:pPr>
              <w:rPr>
                <w:color w:val="auto"/>
                <w:lang w:val="en-AU"/>
              </w:rPr>
            </w:pPr>
          </w:p>
        </w:tc>
        <w:tc>
          <w:tcPr>
            <w:tcW w:w="5247" w:type="dxa"/>
          </w:tcPr>
          <w:p w14:paraId="76487D88" w14:textId="5783AC0F" w:rsidR="001E56B4" w:rsidRPr="00366CE5" w:rsidRDefault="001E56B4" w:rsidP="001E56B4">
            <w:pPr>
              <w:rPr>
                <w:color w:val="auto"/>
                <w:lang w:val="en-AU"/>
              </w:rPr>
            </w:pPr>
            <w:r w:rsidRPr="00366CE5">
              <w:rPr>
                <w:color w:val="auto"/>
                <w:lang w:val="en-AU"/>
              </w:rPr>
              <w:t>Case for Endorsement submitted to Department of Education and Training</w:t>
            </w:r>
          </w:p>
        </w:tc>
        <w:tc>
          <w:tcPr>
            <w:tcW w:w="3189" w:type="dxa"/>
          </w:tcPr>
          <w:p w14:paraId="5604CDFB" w14:textId="538DB68D" w:rsidR="001E56B4" w:rsidRPr="00366CE5" w:rsidRDefault="001E56B4" w:rsidP="001E56B4">
            <w:pPr>
              <w:rPr>
                <w:color w:val="auto"/>
                <w:lang w:val="en-AU"/>
              </w:rPr>
            </w:pPr>
            <w:r w:rsidRPr="00366CE5">
              <w:rPr>
                <w:color w:val="auto"/>
                <w:lang w:val="en-AU"/>
              </w:rPr>
              <w:t>May 2019</w:t>
            </w:r>
          </w:p>
        </w:tc>
      </w:tr>
    </w:tbl>
    <w:p w14:paraId="58054373" w14:textId="77777777" w:rsidR="001E56B4" w:rsidRPr="001E56B4" w:rsidRDefault="001E56B4" w:rsidP="001E56B4">
      <w:pPr>
        <w:rPr>
          <w:lang w:val="en-AU"/>
        </w:rPr>
      </w:pPr>
    </w:p>
    <w:p w14:paraId="54552BBB" w14:textId="3545946A" w:rsidR="000A7BB8" w:rsidRDefault="000A7BB8" w:rsidP="000A7BB8">
      <w:pPr>
        <w:rPr>
          <w:lang w:val="en-AU"/>
        </w:rPr>
      </w:pPr>
      <w:r>
        <w:rPr>
          <w:lang w:val="en-AU"/>
        </w:rPr>
        <w:tab/>
      </w:r>
      <w:r>
        <w:rPr>
          <w:lang w:val="en-AU"/>
        </w:rPr>
        <w:tab/>
      </w:r>
    </w:p>
    <w:p w14:paraId="3665C2A8" w14:textId="0738B363" w:rsidR="000A7BB8" w:rsidRPr="000A7BB8" w:rsidRDefault="000A7BB8" w:rsidP="000A7BB8">
      <w:pPr>
        <w:rPr>
          <w:lang w:val="en-AU"/>
        </w:rPr>
      </w:pPr>
    </w:p>
    <w:sectPr w:rsidR="000A7BB8" w:rsidRPr="000A7BB8" w:rsidSect="00933E5B">
      <w:footerReference w:type="default" r:id="rId9"/>
      <w:pgSz w:w="11900" w:h="16840"/>
      <w:pgMar w:top="1134" w:right="119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99F1BA" w14:textId="77777777" w:rsidR="00E415DC" w:rsidRDefault="00E415DC" w:rsidP="00D84328">
      <w:r>
        <w:separator/>
      </w:r>
    </w:p>
  </w:endnote>
  <w:endnote w:type="continuationSeparator" w:id="0">
    <w:p w14:paraId="67C6E931" w14:textId="77777777" w:rsidR="00E415DC" w:rsidRDefault="00E415DC" w:rsidP="00D84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A85B1" w14:textId="0D103E42" w:rsidR="007C0564" w:rsidRPr="007C0564" w:rsidRDefault="007C36EE" w:rsidP="00E73F14">
    <w:pPr>
      <w:pStyle w:val="Footer"/>
      <w:rPr>
        <w:color w:val="000000" w:themeColor="text1"/>
        <w:sz w:val="18"/>
      </w:rPr>
    </w:pPr>
    <w:r>
      <w:rPr>
        <w:color w:val="000000" w:themeColor="text1"/>
        <w:sz w:val="18"/>
      </w:rPr>
      <w:t>Investigative Services</w:t>
    </w:r>
    <w:r w:rsidR="009E36A3">
      <w:rPr>
        <w:color w:val="000000" w:themeColor="text1"/>
        <w:sz w:val="18"/>
      </w:rPr>
      <w:t xml:space="preserve"> Review</w:t>
    </w:r>
    <w:r w:rsidR="007C0564" w:rsidRPr="007C0564">
      <w:rPr>
        <w:color w:val="000000" w:themeColor="text1"/>
        <w:sz w:val="18"/>
      </w:rPr>
      <w:t xml:space="preserve"> Project Brief </w:t>
    </w:r>
    <w:r w:rsidR="00E73F14">
      <w:rPr>
        <w:color w:val="000000" w:themeColor="text1"/>
        <w:sz w:val="18"/>
      </w:rPr>
      <w:t xml:space="preserve">                                                              </w:t>
    </w:r>
    <w:r w:rsidR="00E73F14">
      <w:rPr>
        <w:color w:val="000000" w:themeColor="text1"/>
        <w:sz w:val="18"/>
      </w:rPr>
      <w:tab/>
    </w:r>
    <w:r w:rsidR="00E73F14">
      <w:rPr>
        <w:color w:val="000000" w:themeColor="text1"/>
        <w:sz w:val="18"/>
      </w:rPr>
      <w:tab/>
      <w:t xml:space="preserve"> </w:t>
    </w:r>
    <w:r w:rsidR="007C0564" w:rsidRPr="007C0564">
      <w:rPr>
        <w:color w:val="000000" w:themeColor="text1"/>
        <w:sz w:val="18"/>
      </w:rPr>
      <w:t xml:space="preserve">Page </w:t>
    </w:r>
    <w:r w:rsidR="007C0564">
      <w:rPr>
        <w:color w:val="000000" w:themeColor="text1"/>
        <w:sz w:val="18"/>
      </w:rPr>
      <w:t xml:space="preserve"> </w:t>
    </w:r>
    <w:r w:rsidR="007C0564" w:rsidRPr="007C0564">
      <w:rPr>
        <w:color w:val="000000" w:themeColor="text1"/>
        <w:sz w:val="18"/>
      </w:rPr>
      <w:fldChar w:fldCharType="begin"/>
    </w:r>
    <w:r w:rsidR="007C0564" w:rsidRPr="007C0564">
      <w:rPr>
        <w:color w:val="000000" w:themeColor="text1"/>
        <w:sz w:val="18"/>
      </w:rPr>
      <w:instrText xml:space="preserve"> PAGE  \* Arabic  \* MERGEFORMAT </w:instrText>
    </w:r>
    <w:r w:rsidR="007C0564" w:rsidRPr="007C0564">
      <w:rPr>
        <w:color w:val="000000" w:themeColor="text1"/>
        <w:sz w:val="18"/>
      </w:rPr>
      <w:fldChar w:fldCharType="separate"/>
    </w:r>
    <w:r w:rsidR="007C0564" w:rsidRPr="007C0564">
      <w:rPr>
        <w:noProof/>
        <w:color w:val="000000" w:themeColor="text1"/>
        <w:sz w:val="18"/>
      </w:rPr>
      <w:t>2</w:t>
    </w:r>
    <w:r w:rsidR="007C0564" w:rsidRPr="007C0564">
      <w:rPr>
        <w:color w:val="000000" w:themeColor="text1"/>
        <w:sz w:val="18"/>
      </w:rPr>
      <w:fldChar w:fldCharType="end"/>
    </w:r>
    <w:r w:rsidR="007C0564" w:rsidRPr="007C0564">
      <w:rPr>
        <w:color w:val="000000" w:themeColor="text1"/>
        <w:sz w:val="18"/>
      </w:rPr>
      <w:t xml:space="preserve"> of </w:t>
    </w:r>
    <w:r w:rsidR="007C0564" w:rsidRPr="007C0564">
      <w:rPr>
        <w:color w:val="000000" w:themeColor="text1"/>
        <w:sz w:val="18"/>
      </w:rPr>
      <w:fldChar w:fldCharType="begin"/>
    </w:r>
    <w:r w:rsidR="007C0564" w:rsidRPr="007C0564">
      <w:rPr>
        <w:color w:val="000000" w:themeColor="text1"/>
        <w:sz w:val="18"/>
      </w:rPr>
      <w:instrText xml:space="preserve"> NUMPAGES  \* Arabic  \* MERGEFORMAT </w:instrText>
    </w:r>
    <w:r w:rsidR="007C0564" w:rsidRPr="007C0564">
      <w:rPr>
        <w:color w:val="000000" w:themeColor="text1"/>
        <w:sz w:val="18"/>
      </w:rPr>
      <w:fldChar w:fldCharType="separate"/>
    </w:r>
    <w:r w:rsidR="007C0564" w:rsidRPr="007C0564">
      <w:rPr>
        <w:noProof/>
        <w:color w:val="000000" w:themeColor="text1"/>
        <w:sz w:val="18"/>
      </w:rPr>
      <w:t>2</w:t>
    </w:r>
    <w:r w:rsidR="007C0564" w:rsidRPr="007C0564">
      <w:rPr>
        <w:color w:val="000000" w:themeColor="text1"/>
        <w:sz w:val="18"/>
      </w:rPr>
      <w:fldChar w:fldCharType="end"/>
    </w:r>
  </w:p>
  <w:p w14:paraId="1B1E28E5" w14:textId="77777777" w:rsidR="007C0564" w:rsidRDefault="007C05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250D03" w14:textId="77777777" w:rsidR="00E415DC" w:rsidRDefault="00E415DC" w:rsidP="00D84328">
      <w:r>
        <w:separator/>
      </w:r>
    </w:p>
  </w:footnote>
  <w:footnote w:type="continuationSeparator" w:id="0">
    <w:p w14:paraId="63AFDC22" w14:textId="77777777" w:rsidR="00E415DC" w:rsidRDefault="00E415DC" w:rsidP="00D84328">
      <w:r>
        <w:continuationSeparator/>
      </w:r>
    </w:p>
  </w:footnote>
  <w:footnote w:id="1">
    <w:p w14:paraId="314EE54E" w14:textId="70B6390D" w:rsidR="00B92EE8" w:rsidRPr="009E78D4" w:rsidRDefault="00B92EE8" w:rsidP="00B92EE8">
      <w:pPr>
        <w:pStyle w:val="FootnoteText"/>
        <w:rPr>
          <w:sz w:val="18"/>
          <w:szCs w:val="18"/>
        </w:rPr>
      </w:pPr>
      <w:r w:rsidRPr="009E78D4">
        <w:rPr>
          <w:rStyle w:val="FootnoteReference"/>
          <w:sz w:val="18"/>
          <w:szCs w:val="18"/>
        </w:rPr>
        <w:footnoteRef/>
      </w:r>
      <w:r w:rsidRPr="009E78D4">
        <w:rPr>
          <w:sz w:val="18"/>
          <w:szCs w:val="18"/>
        </w:rPr>
        <w:t xml:space="preserve"> ALRC (2008), For Your Information: Australian Privacy law and Practice, accessed 9/5/2018.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616FB"/>
    <w:multiLevelType w:val="hybridMultilevel"/>
    <w:tmpl w:val="B484BADE"/>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1A1A6A"/>
    <w:multiLevelType w:val="hybridMultilevel"/>
    <w:tmpl w:val="39AE51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5107625"/>
    <w:multiLevelType w:val="hybridMultilevel"/>
    <w:tmpl w:val="D396AB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015FB9"/>
    <w:multiLevelType w:val="hybridMultilevel"/>
    <w:tmpl w:val="09A085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2893CE0"/>
    <w:multiLevelType w:val="hybridMultilevel"/>
    <w:tmpl w:val="5C7C8B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4D67908"/>
    <w:multiLevelType w:val="hybridMultilevel"/>
    <w:tmpl w:val="6F5CB8A4"/>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6" w15:restartNumberingAfterBreak="0">
    <w:nsid w:val="16FF7176"/>
    <w:multiLevelType w:val="multilevel"/>
    <w:tmpl w:val="39EECC1E"/>
    <w:styleLink w:val="Artibuslist"/>
    <w:lvl w:ilvl="0">
      <w:start w:val="1"/>
      <w:numFmt w:val="bullet"/>
      <w:lvlText w:val=""/>
      <w:lvlJc w:val="left"/>
      <w:pPr>
        <w:tabs>
          <w:tab w:val="num" w:pos="340"/>
        </w:tabs>
        <w:ind w:left="340" w:hanging="340"/>
      </w:pPr>
      <w:rPr>
        <w:rFonts w:ascii="Symbol" w:hAnsi="Symbol" w:hint="default"/>
      </w:rPr>
    </w:lvl>
    <w:lvl w:ilvl="1">
      <w:start w:val="1"/>
      <w:numFmt w:val="bullet"/>
      <w:lvlText w:val=""/>
      <w:lvlJc w:val="left"/>
      <w:pPr>
        <w:tabs>
          <w:tab w:val="num" w:pos="851"/>
        </w:tabs>
        <w:ind w:left="851" w:hanging="284"/>
      </w:pPr>
      <w:rPr>
        <w:rFonts w:ascii="Symbol" w:hAnsi="Symbol" w:hint="default"/>
      </w:rPr>
    </w:lvl>
    <w:lvl w:ilvl="2">
      <w:start w:val="1"/>
      <w:numFmt w:val="bullet"/>
      <w:lvlText w:val=""/>
      <w:lvlJc w:val="left"/>
      <w:pPr>
        <w:ind w:left="1593" w:hanging="363"/>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0F634EA"/>
    <w:multiLevelType w:val="hybridMultilevel"/>
    <w:tmpl w:val="62FE0E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942E32"/>
    <w:multiLevelType w:val="multilevel"/>
    <w:tmpl w:val="EBF0D9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54620CE"/>
    <w:multiLevelType w:val="hybridMultilevel"/>
    <w:tmpl w:val="B3E4D482"/>
    <w:lvl w:ilvl="0" w:tplc="67D6F6F4">
      <w:start w:val="22"/>
      <w:numFmt w:val="bullet"/>
      <w:lvlText w:val="-"/>
      <w:lvlJc w:val="left"/>
      <w:pPr>
        <w:ind w:left="1080" w:hanging="360"/>
      </w:pPr>
      <w:rPr>
        <w:rFonts w:ascii="Calibri" w:eastAsia="Times New Roman" w:hAnsi="Calibri"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26845DBE"/>
    <w:multiLevelType w:val="hybridMultilevel"/>
    <w:tmpl w:val="CDBC55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71A3984"/>
    <w:multiLevelType w:val="hybridMultilevel"/>
    <w:tmpl w:val="947E4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D93595"/>
    <w:multiLevelType w:val="hybridMultilevel"/>
    <w:tmpl w:val="8E4EC0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9428D2"/>
    <w:multiLevelType w:val="multilevel"/>
    <w:tmpl w:val="39EECC1E"/>
    <w:lvl w:ilvl="0">
      <w:start w:val="1"/>
      <w:numFmt w:val="bullet"/>
      <w:lvlText w:val=""/>
      <w:lvlJc w:val="left"/>
      <w:pPr>
        <w:tabs>
          <w:tab w:val="num" w:pos="340"/>
        </w:tabs>
        <w:ind w:left="340" w:hanging="340"/>
      </w:pPr>
      <w:rPr>
        <w:rFonts w:ascii="Symbol" w:hAnsi="Symbol" w:hint="default"/>
      </w:rPr>
    </w:lvl>
    <w:lvl w:ilvl="1">
      <w:start w:val="1"/>
      <w:numFmt w:val="bullet"/>
      <w:lvlText w:val=""/>
      <w:lvlJc w:val="left"/>
      <w:pPr>
        <w:tabs>
          <w:tab w:val="num" w:pos="851"/>
        </w:tabs>
        <w:ind w:left="851" w:hanging="284"/>
      </w:pPr>
      <w:rPr>
        <w:rFonts w:ascii="Symbol" w:hAnsi="Symbol" w:hint="default"/>
      </w:rPr>
    </w:lvl>
    <w:lvl w:ilvl="2">
      <w:start w:val="1"/>
      <w:numFmt w:val="bullet"/>
      <w:lvlText w:val=""/>
      <w:lvlJc w:val="left"/>
      <w:pPr>
        <w:ind w:left="1593" w:hanging="363"/>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2DA77CD"/>
    <w:multiLevelType w:val="hybridMultilevel"/>
    <w:tmpl w:val="98B28B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68A6394"/>
    <w:multiLevelType w:val="hybridMultilevel"/>
    <w:tmpl w:val="EB802376"/>
    <w:lvl w:ilvl="0" w:tplc="468CDE96">
      <w:start w:val="17"/>
      <w:numFmt w:val="bullet"/>
      <w:lvlText w:val="-"/>
      <w:lvlJc w:val="left"/>
      <w:pPr>
        <w:ind w:left="760" w:hanging="360"/>
      </w:pPr>
      <w:rPr>
        <w:rFonts w:ascii="Calibri" w:eastAsia="Times New Roman" w:hAnsi="Calibri"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0E6D2B"/>
    <w:multiLevelType w:val="hybridMultilevel"/>
    <w:tmpl w:val="E8EAFB36"/>
    <w:lvl w:ilvl="0" w:tplc="B0B46728">
      <w:start w:val="19"/>
      <w:numFmt w:val="bullet"/>
      <w:lvlText w:val="-"/>
      <w:lvlJc w:val="left"/>
      <w:pPr>
        <w:ind w:left="400" w:hanging="360"/>
      </w:pPr>
      <w:rPr>
        <w:rFonts w:ascii="Calibri" w:eastAsia="Times New Roman" w:hAnsi="Calibri" w:cstheme="majorBidi"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17" w15:restartNumberingAfterBreak="0">
    <w:nsid w:val="54237E65"/>
    <w:multiLevelType w:val="hybridMultilevel"/>
    <w:tmpl w:val="5E1E0EC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D31779E"/>
    <w:multiLevelType w:val="multilevel"/>
    <w:tmpl w:val="7B7E31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0D3481D"/>
    <w:multiLevelType w:val="hybridMultilevel"/>
    <w:tmpl w:val="C2747FFC"/>
    <w:lvl w:ilvl="0" w:tplc="468CDE96">
      <w:start w:val="17"/>
      <w:numFmt w:val="bullet"/>
      <w:lvlText w:val="-"/>
      <w:lvlJc w:val="left"/>
      <w:pPr>
        <w:ind w:left="760" w:hanging="360"/>
      </w:pPr>
      <w:rPr>
        <w:rFonts w:ascii="Calibri" w:eastAsia="Times New Roman" w:hAnsi="Calibri" w:cstheme="majorBidi"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20" w15:restartNumberingAfterBreak="0">
    <w:nsid w:val="6A7C6668"/>
    <w:multiLevelType w:val="hybridMultilevel"/>
    <w:tmpl w:val="BFA6E1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9471F7"/>
    <w:multiLevelType w:val="hybridMultilevel"/>
    <w:tmpl w:val="CF00D2A6"/>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num w:numId="1">
    <w:abstractNumId w:val="16"/>
  </w:num>
  <w:num w:numId="2">
    <w:abstractNumId w:val="19"/>
  </w:num>
  <w:num w:numId="3">
    <w:abstractNumId w:val="18"/>
  </w:num>
  <w:num w:numId="4">
    <w:abstractNumId w:val="8"/>
  </w:num>
  <w:num w:numId="5">
    <w:abstractNumId w:val="15"/>
  </w:num>
  <w:num w:numId="6">
    <w:abstractNumId w:val="0"/>
  </w:num>
  <w:num w:numId="7">
    <w:abstractNumId w:val="12"/>
  </w:num>
  <w:num w:numId="8">
    <w:abstractNumId w:val="7"/>
  </w:num>
  <w:num w:numId="9">
    <w:abstractNumId w:val="11"/>
  </w:num>
  <w:num w:numId="10">
    <w:abstractNumId w:val="20"/>
  </w:num>
  <w:num w:numId="11">
    <w:abstractNumId w:val="3"/>
  </w:num>
  <w:num w:numId="12">
    <w:abstractNumId w:val="4"/>
  </w:num>
  <w:num w:numId="13">
    <w:abstractNumId w:val="14"/>
  </w:num>
  <w:num w:numId="14">
    <w:abstractNumId w:val="6"/>
  </w:num>
  <w:num w:numId="15">
    <w:abstractNumId w:val="13"/>
  </w:num>
  <w:num w:numId="16">
    <w:abstractNumId w:val="10"/>
  </w:num>
  <w:num w:numId="17">
    <w:abstractNumId w:val="9"/>
  </w:num>
  <w:num w:numId="18">
    <w:abstractNumId w:val="5"/>
  </w:num>
  <w:num w:numId="19">
    <w:abstractNumId w:val="17"/>
  </w:num>
  <w:num w:numId="20">
    <w:abstractNumId w:val="21"/>
  </w:num>
  <w:num w:numId="21">
    <w:abstractNumId w:val="1"/>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62F"/>
    <w:rsid w:val="00000E9F"/>
    <w:rsid w:val="00075772"/>
    <w:rsid w:val="000A63A2"/>
    <w:rsid w:val="000A7BB8"/>
    <w:rsid w:val="000C26CC"/>
    <w:rsid w:val="001216E3"/>
    <w:rsid w:val="00153B53"/>
    <w:rsid w:val="00167B0A"/>
    <w:rsid w:val="001923B1"/>
    <w:rsid w:val="001D6DD8"/>
    <w:rsid w:val="001E56B4"/>
    <w:rsid w:val="00201F70"/>
    <w:rsid w:val="00224C37"/>
    <w:rsid w:val="0024650F"/>
    <w:rsid w:val="00256A9A"/>
    <w:rsid w:val="002711A8"/>
    <w:rsid w:val="00366CE5"/>
    <w:rsid w:val="0037611C"/>
    <w:rsid w:val="003928B2"/>
    <w:rsid w:val="003D6689"/>
    <w:rsid w:val="004763B0"/>
    <w:rsid w:val="004D182E"/>
    <w:rsid w:val="005936B5"/>
    <w:rsid w:val="005E079F"/>
    <w:rsid w:val="006104F5"/>
    <w:rsid w:val="00641DDE"/>
    <w:rsid w:val="0067525A"/>
    <w:rsid w:val="00702EF7"/>
    <w:rsid w:val="00702F2F"/>
    <w:rsid w:val="007C0564"/>
    <w:rsid w:val="007C088B"/>
    <w:rsid w:val="007C36EE"/>
    <w:rsid w:val="008201D8"/>
    <w:rsid w:val="008631DB"/>
    <w:rsid w:val="00864828"/>
    <w:rsid w:val="00871EC2"/>
    <w:rsid w:val="008753B5"/>
    <w:rsid w:val="009224EE"/>
    <w:rsid w:val="00933E5B"/>
    <w:rsid w:val="009D64BC"/>
    <w:rsid w:val="009E36A3"/>
    <w:rsid w:val="009E5DBE"/>
    <w:rsid w:val="009F4C96"/>
    <w:rsid w:val="00A02625"/>
    <w:rsid w:val="00A026C1"/>
    <w:rsid w:val="00A7195C"/>
    <w:rsid w:val="00A758D8"/>
    <w:rsid w:val="00AB57E6"/>
    <w:rsid w:val="00AC05B3"/>
    <w:rsid w:val="00B878B7"/>
    <w:rsid w:val="00B92EE8"/>
    <w:rsid w:val="00B93530"/>
    <w:rsid w:val="00B944FA"/>
    <w:rsid w:val="00D84328"/>
    <w:rsid w:val="00D965CF"/>
    <w:rsid w:val="00DC1CB3"/>
    <w:rsid w:val="00DD60C0"/>
    <w:rsid w:val="00E36AB4"/>
    <w:rsid w:val="00E415DC"/>
    <w:rsid w:val="00E505E3"/>
    <w:rsid w:val="00E67BF8"/>
    <w:rsid w:val="00E73F14"/>
    <w:rsid w:val="00F01EBE"/>
    <w:rsid w:val="00F05573"/>
    <w:rsid w:val="00F416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330C73"/>
  <w14:defaultImageDpi w14:val="32767"/>
  <w15:chartTrackingRefBased/>
  <w15:docId w15:val="{FAA6C776-C934-E346-B8ED-7FA54C56C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C088B"/>
    <w:rPr>
      <w:rFonts w:ascii="Calibri" w:hAnsi="Calibri" w:cs="Times New Roman"/>
      <w:color w:val="262626" w:themeColor="text1" w:themeTint="D9"/>
      <w:sz w:val="22"/>
      <w:lang w:val="en-US"/>
    </w:rPr>
  </w:style>
  <w:style w:type="paragraph" w:styleId="Heading1">
    <w:name w:val="heading 1"/>
    <w:basedOn w:val="Normal"/>
    <w:next w:val="Normal"/>
    <w:link w:val="Heading1Char"/>
    <w:autoRedefine/>
    <w:uiPriority w:val="9"/>
    <w:qFormat/>
    <w:rsid w:val="0037611C"/>
    <w:pPr>
      <w:keepNext/>
      <w:keepLines/>
      <w:spacing w:after="160" w:line="252" w:lineRule="auto"/>
      <w:outlineLvl w:val="0"/>
    </w:pPr>
    <w:rPr>
      <w:rFonts w:cstheme="majorBidi"/>
      <w:color w:val="2F5496" w:themeColor="accent1" w:themeShade="BF"/>
      <w:sz w:val="28"/>
      <w:szCs w:val="32"/>
      <w:lang w:val="en-AU"/>
    </w:rPr>
  </w:style>
  <w:style w:type="paragraph" w:styleId="Heading4">
    <w:name w:val="heading 4"/>
    <w:basedOn w:val="Normal"/>
    <w:next w:val="Normal"/>
    <w:link w:val="Heading4Char"/>
    <w:uiPriority w:val="9"/>
    <w:unhideWhenUsed/>
    <w:qFormat/>
    <w:rsid w:val="00A02625"/>
    <w:pPr>
      <w:keepNext/>
      <w:keepLines/>
      <w:spacing w:before="40" w:line="259" w:lineRule="auto"/>
      <w:outlineLvl w:val="3"/>
    </w:pPr>
    <w:rPr>
      <w:rFonts w:asciiTheme="majorHAnsi" w:eastAsiaTheme="majorEastAsia" w:hAnsiTheme="majorHAnsi" w:cstheme="majorBidi"/>
      <w:i/>
      <w:iCs/>
      <w:color w:val="2F5496" w:themeColor="accent1" w:themeShade="BF"/>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rsid w:val="007C088B"/>
    <w:rPr>
      <w:rFonts w:ascii="Calibri" w:hAnsi="Calibri"/>
      <w:sz w:val="22"/>
    </w:rPr>
    <w:tblPr>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single" w:sz="12" w:space="0" w:color="808080" w:themeColor="background1" w:themeShade="80"/>
      </w:tblBorders>
    </w:tblPr>
    <w:tcPr>
      <w:shd w:val="clear" w:color="auto" w:fill="auto"/>
    </w:tcPr>
  </w:style>
  <w:style w:type="table" w:styleId="TableGrid">
    <w:name w:val="Table Grid"/>
    <w:basedOn w:val="TableNormal"/>
    <w:uiPriority w:val="39"/>
    <w:rsid w:val="007C08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7611C"/>
    <w:rPr>
      <w:rFonts w:ascii="Calibri" w:hAnsi="Calibri" w:cstheme="majorBidi"/>
      <w:color w:val="2F5496" w:themeColor="accent1" w:themeShade="BF"/>
      <w:sz w:val="28"/>
      <w:szCs w:val="32"/>
      <w:lang w:val="en-AU"/>
    </w:rPr>
  </w:style>
  <w:style w:type="table" w:customStyle="1" w:styleId="TableGridLight1">
    <w:name w:val="Table Grid Light1"/>
    <w:basedOn w:val="TableNormal"/>
    <w:uiPriority w:val="40"/>
    <w:rsid w:val="003928B2"/>
    <w:rPr>
      <w:rFonts w:eastAsia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D84328"/>
    <w:pPr>
      <w:tabs>
        <w:tab w:val="center" w:pos="4680"/>
        <w:tab w:val="right" w:pos="9360"/>
      </w:tabs>
    </w:pPr>
  </w:style>
  <w:style w:type="character" w:customStyle="1" w:styleId="HeaderChar">
    <w:name w:val="Header Char"/>
    <w:basedOn w:val="DefaultParagraphFont"/>
    <w:link w:val="Header"/>
    <w:uiPriority w:val="99"/>
    <w:rsid w:val="00D84328"/>
    <w:rPr>
      <w:rFonts w:ascii="Calibri" w:hAnsi="Calibri" w:cs="Times New Roman"/>
      <w:color w:val="262626" w:themeColor="text1" w:themeTint="D9"/>
      <w:sz w:val="22"/>
      <w:lang w:val="en-US"/>
    </w:rPr>
  </w:style>
  <w:style w:type="paragraph" w:styleId="Footer">
    <w:name w:val="footer"/>
    <w:basedOn w:val="Normal"/>
    <w:link w:val="FooterChar"/>
    <w:uiPriority w:val="99"/>
    <w:unhideWhenUsed/>
    <w:rsid w:val="00D84328"/>
    <w:pPr>
      <w:tabs>
        <w:tab w:val="center" w:pos="4680"/>
        <w:tab w:val="right" w:pos="9360"/>
      </w:tabs>
    </w:pPr>
  </w:style>
  <w:style w:type="character" w:customStyle="1" w:styleId="FooterChar">
    <w:name w:val="Footer Char"/>
    <w:basedOn w:val="DefaultParagraphFont"/>
    <w:link w:val="Footer"/>
    <w:uiPriority w:val="99"/>
    <w:rsid w:val="00D84328"/>
    <w:rPr>
      <w:rFonts w:ascii="Calibri" w:hAnsi="Calibri" w:cs="Times New Roman"/>
      <w:color w:val="262626" w:themeColor="text1" w:themeTint="D9"/>
      <w:sz w:val="22"/>
      <w:lang w:val="en-US"/>
    </w:rPr>
  </w:style>
  <w:style w:type="paragraph" w:styleId="NormalWeb">
    <w:name w:val="Normal (Web)"/>
    <w:basedOn w:val="Normal"/>
    <w:uiPriority w:val="99"/>
    <w:semiHidden/>
    <w:unhideWhenUsed/>
    <w:rsid w:val="00D84328"/>
    <w:pPr>
      <w:spacing w:before="100" w:beforeAutospacing="1" w:after="100" w:afterAutospacing="1"/>
    </w:pPr>
    <w:rPr>
      <w:rFonts w:ascii="Times New Roman" w:hAnsi="Times New Roman"/>
      <w:color w:val="auto"/>
      <w:sz w:val="24"/>
      <w:lang w:val="en-AU"/>
    </w:rPr>
  </w:style>
  <w:style w:type="paragraph" w:styleId="ListParagraph">
    <w:name w:val="List Paragraph"/>
    <w:aliases w:val="List Paragraph1,List Paragraph11,Bullet point,Recommendation,Dot point 1.5 line spacing,L,bullet point list,List Paragraph - bullets,DDM Gen Text,NFP GP Bulleted List,List Paragraph Number,Content descriptions,Bullet Point,Bullet points"/>
    <w:basedOn w:val="Normal"/>
    <w:link w:val="ListParagraphChar"/>
    <w:uiPriority w:val="34"/>
    <w:qFormat/>
    <w:rsid w:val="00D84328"/>
    <w:pPr>
      <w:ind w:left="720"/>
      <w:contextualSpacing/>
    </w:pPr>
  </w:style>
  <w:style w:type="numbering" w:customStyle="1" w:styleId="Artibuslist">
    <w:name w:val="Artibus list"/>
    <w:uiPriority w:val="99"/>
    <w:rsid w:val="000A7BB8"/>
    <w:pPr>
      <w:numPr>
        <w:numId w:val="14"/>
      </w:numPr>
    </w:pPr>
  </w:style>
  <w:style w:type="character" w:customStyle="1" w:styleId="ListParagraphChar">
    <w:name w:val="List Paragraph Char"/>
    <w:aliases w:val="List Paragraph1 Char,List Paragraph11 Char,Bullet point Char,Recommendation Char,Dot point 1.5 line spacing Char,L Char,bullet point list Char,List Paragraph - bullets Char,DDM Gen Text Char,NFP GP Bulleted List Char"/>
    <w:link w:val="ListParagraph"/>
    <w:uiPriority w:val="34"/>
    <w:qFormat/>
    <w:locked/>
    <w:rsid w:val="000A7BB8"/>
    <w:rPr>
      <w:rFonts w:ascii="Calibri" w:hAnsi="Calibri" w:cs="Times New Roman"/>
      <w:color w:val="262626" w:themeColor="text1" w:themeTint="D9"/>
      <w:sz w:val="22"/>
      <w:lang w:val="en-US"/>
    </w:rPr>
  </w:style>
  <w:style w:type="paragraph" w:styleId="FootnoteText">
    <w:name w:val="footnote text"/>
    <w:basedOn w:val="Normal"/>
    <w:link w:val="FootnoteTextChar"/>
    <w:uiPriority w:val="99"/>
    <w:semiHidden/>
    <w:unhideWhenUsed/>
    <w:rsid w:val="00B92EE8"/>
    <w:rPr>
      <w:rFonts w:asciiTheme="minorHAnsi" w:eastAsiaTheme="minorHAnsi" w:hAnsiTheme="minorHAnsi" w:cstheme="minorBidi"/>
      <w:color w:val="auto"/>
      <w:sz w:val="20"/>
      <w:szCs w:val="20"/>
      <w:lang w:val="en-AU"/>
    </w:rPr>
  </w:style>
  <w:style w:type="character" w:customStyle="1" w:styleId="FootnoteTextChar">
    <w:name w:val="Footnote Text Char"/>
    <w:basedOn w:val="DefaultParagraphFont"/>
    <w:link w:val="FootnoteText"/>
    <w:uiPriority w:val="99"/>
    <w:semiHidden/>
    <w:rsid w:val="00B92EE8"/>
    <w:rPr>
      <w:rFonts w:eastAsiaTheme="minorHAnsi"/>
      <w:sz w:val="20"/>
      <w:szCs w:val="20"/>
      <w:lang w:val="en-AU"/>
    </w:rPr>
  </w:style>
  <w:style w:type="character" w:styleId="FootnoteReference">
    <w:name w:val="footnote reference"/>
    <w:basedOn w:val="DefaultParagraphFont"/>
    <w:uiPriority w:val="99"/>
    <w:semiHidden/>
    <w:unhideWhenUsed/>
    <w:rsid w:val="00B92EE8"/>
    <w:rPr>
      <w:vertAlign w:val="superscript"/>
    </w:rPr>
  </w:style>
  <w:style w:type="character" w:customStyle="1" w:styleId="Heading4Char">
    <w:name w:val="Heading 4 Char"/>
    <w:basedOn w:val="DefaultParagraphFont"/>
    <w:link w:val="Heading4"/>
    <w:uiPriority w:val="9"/>
    <w:rsid w:val="00A02625"/>
    <w:rPr>
      <w:rFonts w:asciiTheme="majorHAnsi" w:eastAsiaTheme="majorEastAsia" w:hAnsiTheme="majorHAnsi" w:cstheme="majorBidi"/>
      <w:i/>
      <w:iCs/>
      <w:color w:val="2F5496" w:themeColor="accent1" w:themeShade="BF"/>
      <w:sz w:val="22"/>
      <w:szCs w:val="22"/>
      <w:lang w:val="en-AU"/>
    </w:rPr>
  </w:style>
  <w:style w:type="paragraph" w:styleId="BalloonText">
    <w:name w:val="Balloon Text"/>
    <w:basedOn w:val="Normal"/>
    <w:link w:val="BalloonTextChar"/>
    <w:uiPriority w:val="99"/>
    <w:semiHidden/>
    <w:unhideWhenUsed/>
    <w:rsid w:val="00366C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6CE5"/>
    <w:rPr>
      <w:rFonts w:ascii="Segoe UI" w:hAnsi="Segoe UI" w:cs="Segoe UI"/>
      <w:color w:val="262626" w:themeColor="text1" w:themeTint="D9"/>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7978270">
      <w:bodyDiv w:val="1"/>
      <w:marLeft w:val="0"/>
      <w:marRight w:val="0"/>
      <w:marTop w:val="0"/>
      <w:marBottom w:val="0"/>
      <w:divBdr>
        <w:top w:val="none" w:sz="0" w:space="0" w:color="auto"/>
        <w:left w:val="none" w:sz="0" w:space="0" w:color="auto"/>
        <w:bottom w:val="none" w:sz="0" w:space="0" w:color="auto"/>
        <w:right w:val="none" w:sz="0" w:space="0" w:color="auto"/>
      </w:divBdr>
      <w:divsChild>
        <w:div w:id="1985425923">
          <w:marLeft w:val="0"/>
          <w:marRight w:val="0"/>
          <w:marTop w:val="15"/>
          <w:marBottom w:val="0"/>
          <w:divBdr>
            <w:top w:val="none" w:sz="0" w:space="0" w:color="auto"/>
            <w:left w:val="none" w:sz="0" w:space="0" w:color="auto"/>
            <w:bottom w:val="none" w:sz="0" w:space="0" w:color="auto"/>
            <w:right w:val="none" w:sz="0" w:space="0" w:color="auto"/>
          </w:divBdr>
          <w:divsChild>
            <w:div w:id="1473136565">
              <w:marLeft w:val="0"/>
              <w:marRight w:val="0"/>
              <w:marTop w:val="0"/>
              <w:marBottom w:val="0"/>
              <w:divBdr>
                <w:top w:val="none" w:sz="0" w:space="0" w:color="auto"/>
                <w:left w:val="none" w:sz="0" w:space="0" w:color="auto"/>
                <w:bottom w:val="none" w:sz="0" w:space="0" w:color="auto"/>
                <w:right w:val="none" w:sz="0" w:space="0" w:color="auto"/>
              </w:divBdr>
              <w:divsChild>
                <w:div w:id="1020935014">
                  <w:marLeft w:val="0"/>
                  <w:marRight w:val="0"/>
                  <w:marTop w:val="0"/>
                  <w:marBottom w:val="0"/>
                  <w:divBdr>
                    <w:top w:val="none" w:sz="0" w:space="0" w:color="auto"/>
                    <w:left w:val="none" w:sz="0" w:space="0" w:color="auto"/>
                    <w:bottom w:val="none" w:sz="0" w:space="0" w:color="auto"/>
                    <w:right w:val="none" w:sz="0" w:space="0" w:color="auto"/>
                  </w:divBdr>
                </w:div>
                <w:div w:id="1578056294">
                  <w:marLeft w:val="0"/>
                  <w:marRight w:val="0"/>
                  <w:marTop w:val="0"/>
                  <w:marBottom w:val="0"/>
                  <w:divBdr>
                    <w:top w:val="none" w:sz="0" w:space="0" w:color="auto"/>
                    <w:left w:val="none" w:sz="0" w:space="0" w:color="auto"/>
                    <w:bottom w:val="none" w:sz="0" w:space="0" w:color="auto"/>
                    <w:right w:val="none" w:sz="0" w:space="0" w:color="auto"/>
                  </w:divBdr>
                </w:div>
                <w:div w:id="1783332459">
                  <w:marLeft w:val="0"/>
                  <w:marRight w:val="0"/>
                  <w:marTop w:val="0"/>
                  <w:marBottom w:val="0"/>
                  <w:divBdr>
                    <w:top w:val="none" w:sz="0" w:space="0" w:color="auto"/>
                    <w:left w:val="none" w:sz="0" w:space="0" w:color="auto"/>
                    <w:bottom w:val="none" w:sz="0" w:space="0" w:color="auto"/>
                    <w:right w:val="none" w:sz="0" w:space="0" w:color="auto"/>
                  </w:divBdr>
                </w:div>
                <w:div w:id="211328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117591">
          <w:marLeft w:val="0"/>
          <w:marRight w:val="0"/>
          <w:marTop w:val="15"/>
          <w:marBottom w:val="0"/>
          <w:divBdr>
            <w:top w:val="none" w:sz="0" w:space="0" w:color="auto"/>
            <w:left w:val="none" w:sz="0" w:space="0" w:color="auto"/>
            <w:bottom w:val="none" w:sz="0" w:space="0" w:color="auto"/>
            <w:right w:val="none" w:sz="0" w:space="0" w:color="auto"/>
          </w:divBdr>
          <w:divsChild>
            <w:div w:id="405685403">
              <w:marLeft w:val="0"/>
              <w:marRight w:val="0"/>
              <w:marTop w:val="0"/>
              <w:marBottom w:val="0"/>
              <w:divBdr>
                <w:top w:val="none" w:sz="0" w:space="0" w:color="auto"/>
                <w:left w:val="none" w:sz="0" w:space="0" w:color="auto"/>
                <w:bottom w:val="none" w:sz="0" w:space="0" w:color="auto"/>
                <w:right w:val="none" w:sz="0" w:space="0" w:color="auto"/>
              </w:divBdr>
              <w:divsChild>
                <w:div w:id="908199088">
                  <w:marLeft w:val="0"/>
                  <w:marRight w:val="0"/>
                  <w:marTop w:val="0"/>
                  <w:marBottom w:val="0"/>
                  <w:divBdr>
                    <w:top w:val="none" w:sz="0" w:space="0" w:color="auto"/>
                    <w:left w:val="none" w:sz="0" w:space="0" w:color="auto"/>
                    <w:bottom w:val="none" w:sz="0" w:space="0" w:color="auto"/>
                    <w:right w:val="none" w:sz="0" w:space="0" w:color="auto"/>
                  </w:divBdr>
                </w:div>
                <w:div w:id="1519082901">
                  <w:marLeft w:val="0"/>
                  <w:marRight w:val="0"/>
                  <w:marTop w:val="0"/>
                  <w:marBottom w:val="0"/>
                  <w:divBdr>
                    <w:top w:val="none" w:sz="0" w:space="0" w:color="auto"/>
                    <w:left w:val="none" w:sz="0" w:space="0" w:color="auto"/>
                    <w:bottom w:val="none" w:sz="0" w:space="0" w:color="auto"/>
                    <w:right w:val="none" w:sz="0" w:space="0" w:color="auto"/>
                  </w:divBdr>
                </w:div>
                <w:div w:id="1277984668">
                  <w:marLeft w:val="0"/>
                  <w:marRight w:val="0"/>
                  <w:marTop w:val="0"/>
                  <w:marBottom w:val="0"/>
                  <w:divBdr>
                    <w:top w:val="none" w:sz="0" w:space="0" w:color="auto"/>
                    <w:left w:val="none" w:sz="0" w:space="0" w:color="auto"/>
                    <w:bottom w:val="none" w:sz="0" w:space="0" w:color="auto"/>
                    <w:right w:val="none" w:sz="0" w:space="0" w:color="auto"/>
                  </w:divBdr>
                </w:div>
                <w:div w:id="697850453">
                  <w:marLeft w:val="0"/>
                  <w:marRight w:val="0"/>
                  <w:marTop w:val="0"/>
                  <w:marBottom w:val="0"/>
                  <w:divBdr>
                    <w:top w:val="none" w:sz="0" w:space="0" w:color="auto"/>
                    <w:left w:val="none" w:sz="0" w:space="0" w:color="auto"/>
                    <w:bottom w:val="none" w:sz="0" w:space="0" w:color="auto"/>
                    <w:right w:val="none" w:sz="0" w:space="0" w:color="auto"/>
                  </w:divBdr>
                </w:div>
                <w:div w:id="527330986">
                  <w:marLeft w:val="0"/>
                  <w:marRight w:val="0"/>
                  <w:marTop w:val="0"/>
                  <w:marBottom w:val="0"/>
                  <w:divBdr>
                    <w:top w:val="none" w:sz="0" w:space="0" w:color="auto"/>
                    <w:left w:val="none" w:sz="0" w:space="0" w:color="auto"/>
                    <w:bottom w:val="none" w:sz="0" w:space="0" w:color="auto"/>
                    <w:right w:val="none" w:sz="0" w:space="0" w:color="auto"/>
                  </w:divBdr>
                </w:div>
                <w:div w:id="297492426">
                  <w:marLeft w:val="0"/>
                  <w:marRight w:val="0"/>
                  <w:marTop w:val="0"/>
                  <w:marBottom w:val="0"/>
                  <w:divBdr>
                    <w:top w:val="none" w:sz="0" w:space="0" w:color="auto"/>
                    <w:left w:val="none" w:sz="0" w:space="0" w:color="auto"/>
                    <w:bottom w:val="none" w:sz="0" w:space="0" w:color="auto"/>
                    <w:right w:val="none" w:sz="0" w:space="0" w:color="auto"/>
                  </w:divBdr>
                </w:div>
                <w:div w:id="1972980527">
                  <w:marLeft w:val="0"/>
                  <w:marRight w:val="0"/>
                  <w:marTop w:val="0"/>
                  <w:marBottom w:val="0"/>
                  <w:divBdr>
                    <w:top w:val="none" w:sz="0" w:space="0" w:color="auto"/>
                    <w:left w:val="none" w:sz="0" w:space="0" w:color="auto"/>
                    <w:bottom w:val="none" w:sz="0" w:space="0" w:color="auto"/>
                    <w:right w:val="none" w:sz="0" w:space="0" w:color="auto"/>
                  </w:divBdr>
                </w:div>
                <w:div w:id="1960648603">
                  <w:marLeft w:val="0"/>
                  <w:marRight w:val="0"/>
                  <w:marTop w:val="0"/>
                  <w:marBottom w:val="0"/>
                  <w:divBdr>
                    <w:top w:val="none" w:sz="0" w:space="0" w:color="auto"/>
                    <w:left w:val="none" w:sz="0" w:space="0" w:color="auto"/>
                    <w:bottom w:val="none" w:sz="0" w:space="0" w:color="auto"/>
                    <w:right w:val="none" w:sz="0" w:space="0" w:color="auto"/>
                  </w:divBdr>
                </w:div>
                <w:div w:id="309747002">
                  <w:marLeft w:val="0"/>
                  <w:marRight w:val="0"/>
                  <w:marTop w:val="0"/>
                  <w:marBottom w:val="0"/>
                  <w:divBdr>
                    <w:top w:val="none" w:sz="0" w:space="0" w:color="auto"/>
                    <w:left w:val="none" w:sz="0" w:space="0" w:color="auto"/>
                    <w:bottom w:val="none" w:sz="0" w:space="0" w:color="auto"/>
                    <w:right w:val="none" w:sz="0" w:space="0" w:color="auto"/>
                  </w:divBdr>
                </w:div>
                <w:div w:id="642001370">
                  <w:marLeft w:val="0"/>
                  <w:marRight w:val="0"/>
                  <w:marTop w:val="0"/>
                  <w:marBottom w:val="0"/>
                  <w:divBdr>
                    <w:top w:val="none" w:sz="0" w:space="0" w:color="auto"/>
                    <w:left w:val="none" w:sz="0" w:space="0" w:color="auto"/>
                    <w:bottom w:val="none" w:sz="0" w:space="0" w:color="auto"/>
                    <w:right w:val="none" w:sz="0" w:space="0" w:color="auto"/>
                  </w:divBdr>
                </w:div>
                <w:div w:id="883325867">
                  <w:marLeft w:val="0"/>
                  <w:marRight w:val="0"/>
                  <w:marTop w:val="0"/>
                  <w:marBottom w:val="0"/>
                  <w:divBdr>
                    <w:top w:val="none" w:sz="0" w:space="0" w:color="auto"/>
                    <w:left w:val="none" w:sz="0" w:space="0" w:color="auto"/>
                    <w:bottom w:val="none" w:sz="0" w:space="0" w:color="auto"/>
                    <w:right w:val="none" w:sz="0" w:space="0" w:color="auto"/>
                  </w:divBdr>
                </w:div>
                <w:div w:id="2018263144">
                  <w:marLeft w:val="0"/>
                  <w:marRight w:val="0"/>
                  <w:marTop w:val="0"/>
                  <w:marBottom w:val="0"/>
                  <w:divBdr>
                    <w:top w:val="none" w:sz="0" w:space="0" w:color="auto"/>
                    <w:left w:val="none" w:sz="0" w:space="0" w:color="auto"/>
                    <w:bottom w:val="none" w:sz="0" w:space="0" w:color="auto"/>
                    <w:right w:val="none" w:sz="0" w:space="0" w:color="auto"/>
                  </w:divBdr>
                </w:div>
                <w:div w:id="1755199387">
                  <w:marLeft w:val="0"/>
                  <w:marRight w:val="0"/>
                  <w:marTop w:val="0"/>
                  <w:marBottom w:val="0"/>
                  <w:divBdr>
                    <w:top w:val="none" w:sz="0" w:space="0" w:color="auto"/>
                    <w:left w:val="none" w:sz="0" w:space="0" w:color="auto"/>
                    <w:bottom w:val="none" w:sz="0" w:space="0" w:color="auto"/>
                    <w:right w:val="none" w:sz="0" w:space="0" w:color="auto"/>
                  </w:divBdr>
                </w:div>
                <w:div w:id="1264074057">
                  <w:marLeft w:val="0"/>
                  <w:marRight w:val="0"/>
                  <w:marTop w:val="0"/>
                  <w:marBottom w:val="0"/>
                  <w:divBdr>
                    <w:top w:val="none" w:sz="0" w:space="0" w:color="auto"/>
                    <w:left w:val="none" w:sz="0" w:space="0" w:color="auto"/>
                    <w:bottom w:val="none" w:sz="0" w:space="0" w:color="auto"/>
                    <w:right w:val="none" w:sz="0" w:space="0" w:color="auto"/>
                  </w:divBdr>
                </w:div>
                <w:div w:id="550120738">
                  <w:marLeft w:val="0"/>
                  <w:marRight w:val="0"/>
                  <w:marTop w:val="0"/>
                  <w:marBottom w:val="0"/>
                  <w:divBdr>
                    <w:top w:val="none" w:sz="0" w:space="0" w:color="auto"/>
                    <w:left w:val="none" w:sz="0" w:space="0" w:color="auto"/>
                    <w:bottom w:val="none" w:sz="0" w:space="0" w:color="auto"/>
                    <w:right w:val="none" w:sz="0" w:space="0" w:color="auto"/>
                  </w:divBdr>
                </w:div>
                <w:div w:id="74252969">
                  <w:marLeft w:val="0"/>
                  <w:marRight w:val="0"/>
                  <w:marTop w:val="0"/>
                  <w:marBottom w:val="0"/>
                  <w:divBdr>
                    <w:top w:val="none" w:sz="0" w:space="0" w:color="auto"/>
                    <w:left w:val="none" w:sz="0" w:space="0" w:color="auto"/>
                    <w:bottom w:val="none" w:sz="0" w:space="0" w:color="auto"/>
                    <w:right w:val="none" w:sz="0" w:space="0" w:color="auto"/>
                  </w:divBdr>
                </w:div>
                <w:div w:id="192765401">
                  <w:marLeft w:val="0"/>
                  <w:marRight w:val="0"/>
                  <w:marTop w:val="0"/>
                  <w:marBottom w:val="0"/>
                  <w:divBdr>
                    <w:top w:val="none" w:sz="0" w:space="0" w:color="auto"/>
                    <w:left w:val="none" w:sz="0" w:space="0" w:color="auto"/>
                    <w:bottom w:val="none" w:sz="0" w:space="0" w:color="auto"/>
                    <w:right w:val="none" w:sz="0" w:space="0" w:color="auto"/>
                  </w:divBdr>
                </w:div>
                <w:div w:id="1945456002">
                  <w:marLeft w:val="0"/>
                  <w:marRight w:val="0"/>
                  <w:marTop w:val="0"/>
                  <w:marBottom w:val="0"/>
                  <w:divBdr>
                    <w:top w:val="none" w:sz="0" w:space="0" w:color="auto"/>
                    <w:left w:val="none" w:sz="0" w:space="0" w:color="auto"/>
                    <w:bottom w:val="none" w:sz="0" w:space="0" w:color="auto"/>
                    <w:right w:val="none" w:sz="0" w:space="0" w:color="auto"/>
                  </w:divBdr>
                </w:div>
                <w:div w:id="463351836">
                  <w:marLeft w:val="0"/>
                  <w:marRight w:val="0"/>
                  <w:marTop w:val="0"/>
                  <w:marBottom w:val="0"/>
                  <w:divBdr>
                    <w:top w:val="none" w:sz="0" w:space="0" w:color="auto"/>
                    <w:left w:val="none" w:sz="0" w:space="0" w:color="auto"/>
                    <w:bottom w:val="none" w:sz="0" w:space="0" w:color="auto"/>
                    <w:right w:val="none" w:sz="0" w:space="0" w:color="auto"/>
                  </w:divBdr>
                </w:div>
                <w:div w:id="92041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585543">
      <w:bodyDiv w:val="1"/>
      <w:marLeft w:val="0"/>
      <w:marRight w:val="0"/>
      <w:marTop w:val="0"/>
      <w:marBottom w:val="0"/>
      <w:divBdr>
        <w:top w:val="none" w:sz="0" w:space="0" w:color="auto"/>
        <w:left w:val="none" w:sz="0" w:space="0" w:color="auto"/>
        <w:bottom w:val="none" w:sz="0" w:space="0" w:color="auto"/>
        <w:right w:val="none" w:sz="0" w:space="0" w:color="auto"/>
      </w:divBdr>
    </w:div>
    <w:div w:id="1767577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571F13-906B-448A-BCD8-A9803408D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628</Words>
  <Characters>3584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Barragan@</dc:creator>
  <cp:keywords/>
  <dc:description/>
  <cp:lastModifiedBy>Wendy</cp:lastModifiedBy>
  <cp:revision>2</cp:revision>
  <dcterms:created xsi:type="dcterms:W3CDTF">2018-09-05T05:32:00Z</dcterms:created>
  <dcterms:modified xsi:type="dcterms:W3CDTF">2018-09-05T05:32:00Z</dcterms:modified>
</cp:coreProperties>
</file>