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44981FC4" w14:textId="20461249" w:rsidR="00D84328" w:rsidRPr="00D84328" w:rsidRDefault="00AA2F83" w:rsidP="00D84328">
      <w:pPr>
        <w:shd w:val="clear" w:color="auto" w:fill="A6A6A6" w:themeFill="background1" w:themeFillShade="A6"/>
        <w:rPr>
          <w:color w:val="FFFFFF" w:themeColor="background1"/>
          <w:sz w:val="36"/>
        </w:rPr>
      </w:pPr>
      <w:r>
        <w:rPr>
          <w:color w:val="FFFFFF" w:themeColor="background1"/>
          <w:sz w:val="36"/>
        </w:rPr>
        <w:t>Security</w:t>
      </w:r>
      <w:r w:rsidR="00C13A61">
        <w:rPr>
          <w:color w:val="FFFFFF" w:themeColor="background1"/>
          <w:sz w:val="36"/>
        </w:rPr>
        <w:t xml:space="preserve"> </w:t>
      </w:r>
      <w:r w:rsidR="003F204E">
        <w:rPr>
          <w:color w:val="FFFFFF" w:themeColor="background1"/>
          <w:sz w:val="36"/>
        </w:rPr>
        <w:t xml:space="preserve">and Risk Management </w:t>
      </w:r>
      <w:r w:rsidR="00D84328" w:rsidRPr="00D84328">
        <w:rPr>
          <w:color w:val="FFFFFF" w:themeColor="background1"/>
          <w:sz w:val="36"/>
        </w:rPr>
        <w:t xml:space="preserve">Project </w:t>
      </w:r>
      <w:r w:rsidR="002711A8">
        <w:rPr>
          <w:color w:val="FFFFFF" w:themeColor="background1"/>
          <w:sz w:val="36"/>
        </w:rPr>
        <w:t xml:space="preserve">Brief – 1 </w:t>
      </w:r>
      <w:r w:rsidR="007475E7">
        <w:rPr>
          <w:color w:val="FFFFFF" w:themeColor="background1"/>
          <w:sz w:val="36"/>
        </w:rPr>
        <w:t>September 2018</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62957E3A" w:rsidR="00D84328" w:rsidRPr="005C08A5" w:rsidRDefault="00D84328" w:rsidP="00D84328">
      <w:pPr>
        <w:rPr>
          <w:color w:val="auto"/>
          <w:lang w:val="en-AU"/>
        </w:rPr>
      </w:pPr>
      <w:r w:rsidRPr="005C08A5">
        <w:rPr>
          <w:color w:val="auto"/>
          <w:lang w:val="en-AU"/>
        </w:rPr>
        <w:t xml:space="preserve">On behalf of the </w:t>
      </w:r>
      <w:r w:rsidR="00BD1FAA" w:rsidRPr="005C08A5">
        <w:rPr>
          <w:color w:val="auto"/>
          <w:lang w:val="en-AU"/>
        </w:rPr>
        <w:t>Property</w:t>
      </w:r>
      <w:r w:rsidRPr="005C08A5">
        <w:rPr>
          <w:color w:val="auto"/>
          <w:lang w:val="en-AU"/>
        </w:rPr>
        <w:t xml:space="preserve"> Services IRC, Artibus Innovation is</w:t>
      </w:r>
      <w:r w:rsidR="00C65E4E" w:rsidRPr="005C08A5">
        <w:rPr>
          <w:color w:val="auto"/>
          <w:lang w:val="en-AU"/>
        </w:rPr>
        <w:t xml:space="preserve"> </w:t>
      </w:r>
      <w:r w:rsidRPr="005C08A5">
        <w:rPr>
          <w:color w:val="auto"/>
          <w:lang w:val="en-AU"/>
        </w:rPr>
        <w:t xml:space="preserve">reviewing and updating </w:t>
      </w:r>
      <w:r w:rsidR="00C65E4E" w:rsidRPr="005C08A5">
        <w:rPr>
          <w:color w:val="auto"/>
          <w:lang w:val="en-AU"/>
        </w:rPr>
        <w:t xml:space="preserve">the </w:t>
      </w:r>
      <w:r w:rsidR="00C13A61" w:rsidRPr="005C08A5">
        <w:rPr>
          <w:color w:val="auto"/>
          <w:lang w:val="en-AU"/>
        </w:rPr>
        <w:t xml:space="preserve">following </w:t>
      </w:r>
      <w:r w:rsidR="005B714B" w:rsidRPr="005C08A5">
        <w:rPr>
          <w:color w:val="auto"/>
          <w:lang w:val="en-AU"/>
        </w:rPr>
        <w:t xml:space="preserve">2 </w:t>
      </w:r>
      <w:r w:rsidR="00C13A61" w:rsidRPr="005C08A5">
        <w:rPr>
          <w:color w:val="auto"/>
          <w:lang w:val="en-AU"/>
        </w:rPr>
        <w:t>qualifications</w:t>
      </w:r>
      <w:r w:rsidR="005B714B" w:rsidRPr="005C08A5">
        <w:rPr>
          <w:color w:val="auto"/>
          <w:lang w:val="en-AU"/>
        </w:rPr>
        <w:t xml:space="preserve"> and </w:t>
      </w:r>
      <w:r w:rsidR="007C4C0D" w:rsidRPr="005C08A5">
        <w:rPr>
          <w:color w:val="auto"/>
          <w:lang w:val="en-AU"/>
        </w:rPr>
        <w:t>28</w:t>
      </w:r>
      <w:r w:rsidR="005B714B" w:rsidRPr="005C08A5">
        <w:rPr>
          <w:color w:val="auto"/>
          <w:lang w:val="en-AU"/>
        </w:rPr>
        <w:t xml:space="preserve"> CPPSEC units of competency</w:t>
      </w:r>
      <w:r w:rsidR="00C13A61" w:rsidRPr="005C08A5">
        <w:rPr>
          <w:color w:val="auto"/>
          <w:lang w:val="en-AU"/>
        </w:rPr>
        <w:t>:</w:t>
      </w:r>
    </w:p>
    <w:p w14:paraId="4CE5214B" w14:textId="07357F68" w:rsidR="00C13A61" w:rsidRPr="005C08A5" w:rsidRDefault="00C13A61" w:rsidP="00D84328">
      <w:pPr>
        <w:rPr>
          <w:color w:val="auto"/>
          <w:lang w:val="en-AU"/>
        </w:rPr>
      </w:pPr>
    </w:p>
    <w:tbl>
      <w:tblPr>
        <w:tblStyle w:val="TableGrid"/>
        <w:tblW w:w="8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5"/>
      </w:tblGrid>
      <w:tr w:rsidR="005C08A5" w:rsidRPr="005C08A5" w14:paraId="2F278DAE" w14:textId="77777777" w:rsidTr="00D27670">
        <w:tc>
          <w:tcPr>
            <w:tcW w:w="8375" w:type="dxa"/>
            <w:shd w:val="clear" w:color="auto" w:fill="auto"/>
          </w:tcPr>
          <w:p w14:paraId="0FDD12D1" w14:textId="775A69F3" w:rsidR="007C4C0D" w:rsidRPr="005C08A5" w:rsidRDefault="007C4C0D" w:rsidP="007C4C0D">
            <w:pPr>
              <w:pStyle w:val="ListParagraph"/>
              <w:numPr>
                <w:ilvl w:val="0"/>
                <w:numId w:val="22"/>
              </w:numPr>
              <w:rPr>
                <w:color w:val="auto"/>
              </w:rPr>
            </w:pPr>
            <w:r w:rsidRPr="005C08A5">
              <w:rPr>
                <w:color w:val="auto"/>
              </w:rPr>
              <w:t xml:space="preserve">CPP40707 Certificate IV in Security and Risk Management </w:t>
            </w:r>
          </w:p>
        </w:tc>
      </w:tr>
      <w:tr w:rsidR="005C08A5" w:rsidRPr="005C08A5" w14:paraId="2948AC43" w14:textId="77777777" w:rsidTr="00D27670">
        <w:tc>
          <w:tcPr>
            <w:tcW w:w="8375" w:type="dxa"/>
          </w:tcPr>
          <w:p w14:paraId="1B731711" w14:textId="1BD7CFE2" w:rsidR="007C4C0D" w:rsidRPr="005C08A5" w:rsidRDefault="007C4C0D" w:rsidP="007C4C0D">
            <w:pPr>
              <w:pStyle w:val="ListParagraph"/>
              <w:numPr>
                <w:ilvl w:val="0"/>
                <w:numId w:val="22"/>
              </w:numPr>
              <w:rPr>
                <w:color w:val="auto"/>
              </w:rPr>
            </w:pPr>
            <w:r w:rsidRPr="005C08A5">
              <w:rPr>
                <w:rFonts w:cs="Arial"/>
                <w:color w:val="auto"/>
              </w:rPr>
              <w:t>CPP50611 Diploma of Security and Risk Management</w:t>
            </w:r>
          </w:p>
        </w:tc>
      </w:tr>
    </w:tbl>
    <w:p w14:paraId="2A656B96" w14:textId="77777777" w:rsidR="00C13A61" w:rsidRPr="00D84328" w:rsidRDefault="00C13A61" w:rsidP="00D84328">
      <w:pPr>
        <w:rPr>
          <w:lang w:val="en-AU"/>
        </w:rPr>
      </w:pPr>
    </w:p>
    <w:p w14:paraId="1AB5C03D" w14:textId="7D54A574"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p w14:paraId="35E431DC" w14:textId="1EC4F52B" w:rsidR="007C4C0D" w:rsidRPr="008D07AF" w:rsidRDefault="007C4C0D" w:rsidP="007C4C0D">
      <w:pPr>
        <w:jc w:val="both"/>
        <w:rPr>
          <w:color w:val="auto"/>
          <w:szCs w:val="22"/>
          <w:shd w:val="clear" w:color="auto" w:fill="FFFFFF"/>
        </w:rPr>
      </w:pPr>
      <w:r w:rsidRPr="008D07AF">
        <w:rPr>
          <w:color w:val="auto"/>
          <w:szCs w:val="22"/>
          <w:shd w:val="clear" w:color="auto" w:fill="FFFFFF"/>
        </w:rPr>
        <w:t xml:space="preserve">Security and risk management plays a crucial role in event, public and crowded places risk management. </w:t>
      </w:r>
    </w:p>
    <w:p w14:paraId="04FE46EB" w14:textId="77777777" w:rsidR="007C4C0D" w:rsidRPr="008D07AF" w:rsidRDefault="007C4C0D" w:rsidP="007C4C0D">
      <w:pPr>
        <w:jc w:val="both"/>
        <w:rPr>
          <w:color w:val="auto"/>
          <w:szCs w:val="22"/>
          <w:shd w:val="clear" w:color="auto" w:fill="FFFFFF"/>
        </w:rPr>
      </w:pPr>
    </w:p>
    <w:p w14:paraId="48C13FD5" w14:textId="77777777" w:rsidR="007C4C0D" w:rsidRPr="008D07AF" w:rsidRDefault="007C4C0D" w:rsidP="007C4C0D">
      <w:pPr>
        <w:pBdr>
          <w:top w:val="none" w:sz="4" w:space="0" w:color="auto"/>
          <w:left w:val="none" w:sz="4" w:space="0" w:color="auto"/>
          <w:bottom w:val="none" w:sz="4" w:space="0" w:color="auto"/>
          <w:right w:val="none" w:sz="4" w:space="0" w:color="auto"/>
          <w:between w:val="none" w:sz="4" w:space="0" w:color="auto"/>
          <w:bar w:val="none" w:sz="4" w:color="auto"/>
        </w:pBdr>
        <w:jc w:val="both"/>
        <w:rPr>
          <w:rFonts w:cs="Arial"/>
          <w:color w:val="auto"/>
        </w:rPr>
      </w:pPr>
      <w:r w:rsidRPr="008D07AF">
        <w:rPr>
          <w:rFonts w:cs="Arial"/>
          <w:color w:val="auto"/>
        </w:rPr>
        <w:t xml:space="preserve">The security and risk management qualifications (Certificate IV and Diploma) lead to the occupation of Security Consultant or Security Advisor (ANZSCO identifier 442216). Security consultants typically advise ‘clients on security </w:t>
      </w:r>
      <w:r w:rsidRPr="008D07AF">
        <w:rPr>
          <w:rFonts w:cs="Arial"/>
          <w:color w:val="auto"/>
          <w:szCs w:val="22"/>
        </w:rPr>
        <w:t>requirements and recommends and designs security specifications.’</w:t>
      </w:r>
      <w:r w:rsidRPr="008D07AF">
        <w:rPr>
          <w:rStyle w:val="FootnoteReference"/>
          <w:rFonts w:cs="Arial"/>
          <w:color w:val="auto"/>
          <w:szCs w:val="22"/>
        </w:rPr>
        <w:footnoteReference w:id="1"/>
      </w:r>
      <w:r w:rsidRPr="008D07AF">
        <w:rPr>
          <w:rFonts w:cs="Arial"/>
          <w:color w:val="auto"/>
        </w:rPr>
        <w:t xml:space="preserve"> This means that they assess the potential security risks for buildings or events and provide security protocols and plans to mitigate those risks. </w:t>
      </w:r>
    </w:p>
    <w:p w14:paraId="38BA9CAE" w14:textId="77777777" w:rsidR="007C4C0D" w:rsidRPr="005C08A5" w:rsidRDefault="007C4C0D" w:rsidP="007C4C0D">
      <w:pPr>
        <w:pBdr>
          <w:top w:val="none" w:sz="4" w:space="0" w:color="auto"/>
          <w:left w:val="none" w:sz="4" w:space="0" w:color="auto"/>
          <w:bottom w:val="none" w:sz="4" w:space="0" w:color="auto"/>
          <w:right w:val="none" w:sz="4" w:space="0" w:color="auto"/>
          <w:between w:val="none" w:sz="4" w:space="0" w:color="auto"/>
          <w:bar w:val="none" w:sz="4" w:color="auto"/>
        </w:pBdr>
        <w:jc w:val="both"/>
        <w:rPr>
          <w:rFonts w:cs="Arial"/>
          <w:color w:val="auto"/>
        </w:rPr>
      </w:pPr>
    </w:p>
    <w:p w14:paraId="6A1991EE" w14:textId="77777777" w:rsidR="007C4C0D" w:rsidRPr="008D07AF" w:rsidRDefault="007C4C0D" w:rsidP="007C4C0D">
      <w:pPr>
        <w:pBdr>
          <w:top w:val="none" w:sz="4" w:space="0" w:color="auto"/>
          <w:left w:val="none" w:sz="4" w:space="0" w:color="auto"/>
          <w:bottom w:val="none" w:sz="4" w:space="0" w:color="auto"/>
          <w:right w:val="none" w:sz="4" w:space="0" w:color="auto"/>
          <w:between w:val="none" w:sz="4" w:space="0" w:color="auto"/>
          <w:bar w:val="none" w:sz="4" w:color="auto"/>
        </w:pBdr>
        <w:jc w:val="both"/>
        <w:rPr>
          <w:rFonts w:cs="Arial"/>
          <w:color w:val="auto"/>
        </w:rPr>
      </w:pPr>
      <w:r w:rsidRPr="008D07AF">
        <w:rPr>
          <w:rFonts w:cs="Arial"/>
          <w:color w:val="auto"/>
        </w:rPr>
        <w:t xml:space="preserve">Security consultants have been identified in the </w:t>
      </w:r>
      <w:r w:rsidRPr="008D07AF">
        <w:rPr>
          <w:color w:val="auto"/>
        </w:rPr>
        <w:t xml:space="preserve">Australian Government’s 2017 document </w:t>
      </w:r>
      <w:r w:rsidRPr="008D07AF">
        <w:rPr>
          <w:i/>
          <w:color w:val="auto"/>
        </w:rPr>
        <w:t xml:space="preserve">Australia’s </w:t>
      </w:r>
      <w:r w:rsidRPr="008D07AF">
        <w:rPr>
          <w:rFonts w:cs="Arial"/>
          <w:i/>
          <w:color w:val="auto"/>
        </w:rPr>
        <w:t>Strategy for Protecting Crowded Places from Terrorism</w:t>
      </w:r>
      <w:r w:rsidRPr="008D07AF">
        <w:rPr>
          <w:rFonts w:cs="Arial"/>
          <w:color w:val="auto"/>
        </w:rPr>
        <w:t xml:space="preserve"> as an essential part of the strategy. As part of step three of the strategy, </w:t>
      </w:r>
      <w:r w:rsidRPr="008D07AF">
        <w:rPr>
          <w:rFonts w:cs="Arial"/>
          <w:i/>
          <w:color w:val="auto"/>
        </w:rPr>
        <w:t>implementing effective protective security</w:t>
      </w:r>
      <w:r w:rsidRPr="008D07AF">
        <w:rPr>
          <w:rFonts w:cs="Arial"/>
          <w:color w:val="auto"/>
        </w:rPr>
        <w:t>, it is stated that owners and operators have a responsibility to undertake a risk assessment and/or vulnerability analysis of their crowded place and implement the appropriate mitigations.’</w:t>
      </w:r>
      <w:r w:rsidRPr="008D07AF">
        <w:rPr>
          <w:color w:val="auto"/>
          <w:vertAlign w:val="superscript"/>
        </w:rPr>
        <w:footnoteReference w:id="2"/>
      </w:r>
      <w:r w:rsidRPr="008D07AF">
        <w:rPr>
          <w:rFonts w:cs="Arial"/>
          <w:color w:val="auto"/>
        </w:rPr>
        <w:t xml:space="preserve"> The strategy advisors that owners and operators of crowded places seek advice from professional and qualified security consultants in order to undertake a complete security risk assessment and to receive the appropriate recommendations.</w:t>
      </w:r>
      <w:r w:rsidRPr="008D07AF">
        <w:rPr>
          <w:color w:val="auto"/>
          <w:vertAlign w:val="superscript"/>
        </w:rPr>
        <w:footnoteReference w:id="3"/>
      </w:r>
    </w:p>
    <w:p w14:paraId="1E67E785" w14:textId="77777777" w:rsidR="008753B5" w:rsidRPr="008753B5" w:rsidRDefault="008753B5" w:rsidP="008753B5">
      <w:pPr>
        <w:rPr>
          <w:lang w:val="en-AU"/>
        </w:rPr>
      </w:pPr>
    </w:p>
    <w:p w14:paraId="4F0E73A5" w14:textId="337BF840" w:rsidR="00D84328" w:rsidRDefault="005B714B" w:rsidP="00D84328">
      <w:pPr>
        <w:rPr>
          <w:color w:val="000000" w:themeColor="text1"/>
        </w:rPr>
      </w:pPr>
      <w:r>
        <w:rPr>
          <w:color w:val="000000" w:themeColor="text1"/>
        </w:rPr>
        <w:t>A</w:t>
      </w:r>
      <w:r w:rsidR="00D84328">
        <w:rPr>
          <w:color w:val="000000" w:themeColor="text1"/>
        </w:rPr>
        <w:t xml:space="preserve"> Technical Advisory Group</w:t>
      </w:r>
      <w:r w:rsidR="00C13A61">
        <w:rPr>
          <w:color w:val="000000" w:themeColor="text1"/>
        </w:rPr>
        <w:t>s</w:t>
      </w:r>
      <w:r w:rsidR="00D84328">
        <w:rPr>
          <w:color w:val="000000" w:themeColor="text1"/>
        </w:rPr>
        <w:t xml:space="preserve"> (TAG) </w:t>
      </w:r>
      <w:r w:rsidR="00C13A61">
        <w:rPr>
          <w:color w:val="000000" w:themeColor="text1"/>
        </w:rPr>
        <w:t>ha</w:t>
      </w:r>
      <w:r>
        <w:rPr>
          <w:color w:val="000000" w:themeColor="text1"/>
        </w:rPr>
        <w:t>s</w:t>
      </w:r>
      <w:r w:rsidR="00C13A61">
        <w:rPr>
          <w:color w:val="000000" w:themeColor="text1"/>
        </w:rPr>
        <w:t xml:space="preserve"> been</w:t>
      </w:r>
      <w:r w:rsidR="00D84328">
        <w:rPr>
          <w:color w:val="000000" w:themeColor="text1"/>
        </w:rPr>
        <w:t xml:space="preserve"> established to provide key input on the</w:t>
      </w:r>
      <w:r w:rsidR="00D251CA">
        <w:rPr>
          <w:color w:val="000000" w:themeColor="text1"/>
        </w:rPr>
        <w:t xml:space="preserve"> following</w:t>
      </w:r>
      <w:r w:rsidR="00D84328">
        <w:rPr>
          <w:color w:val="000000" w:themeColor="text1"/>
        </w:rPr>
        <w:t>:</w:t>
      </w:r>
    </w:p>
    <w:p w14:paraId="27349A23" w14:textId="77777777" w:rsidR="00D84328" w:rsidRDefault="00D84328" w:rsidP="00D84328">
      <w:pPr>
        <w:rPr>
          <w:color w:val="000000" w:themeColor="text1"/>
        </w:rPr>
      </w:pPr>
    </w:p>
    <w:p w14:paraId="43B5D9A2" w14:textId="77777777" w:rsidR="001A46FA" w:rsidRPr="005C08A5" w:rsidRDefault="00D251CA" w:rsidP="00013225">
      <w:pPr>
        <w:pStyle w:val="ListParagraph"/>
        <w:numPr>
          <w:ilvl w:val="0"/>
          <w:numId w:val="22"/>
        </w:numPr>
        <w:rPr>
          <w:color w:val="auto"/>
        </w:rPr>
      </w:pPr>
      <w:r w:rsidRPr="005C08A5">
        <w:rPr>
          <w:color w:val="auto"/>
        </w:rPr>
        <w:t xml:space="preserve">Do the occupational outcomes of security consultant fit both qualifications given that they are on two different AQF levels? </w:t>
      </w:r>
    </w:p>
    <w:p w14:paraId="0F574CA7" w14:textId="3F9EA1E6" w:rsidR="00D251CA" w:rsidRPr="005C08A5" w:rsidRDefault="00D251CA" w:rsidP="00013225">
      <w:pPr>
        <w:pStyle w:val="ListParagraph"/>
        <w:numPr>
          <w:ilvl w:val="0"/>
          <w:numId w:val="22"/>
        </w:numPr>
        <w:rPr>
          <w:color w:val="auto"/>
        </w:rPr>
      </w:pPr>
      <w:r w:rsidRPr="005C08A5">
        <w:rPr>
          <w:color w:val="auto"/>
        </w:rPr>
        <w:t xml:space="preserve">What are the implications for the current ‘security science’ units given that the skills and knowledge in them does not appear to match with the skills and knowledge asked for in contemporary PDs? </w:t>
      </w:r>
    </w:p>
    <w:p w14:paraId="23244C7B" w14:textId="77777777" w:rsidR="00D251CA" w:rsidRPr="005C08A5" w:rsidRDefault="00D251CA" w:rsidP="00D251CA">
      <w:pPr>
        <w:pStyle w:val="ListParagraph"/>
        <w:numPr>
          <w:ilvl w:val="0"/>
          <w:numId w:val="22"/>
        </w:numPr>
        <w:rPr>
          <w:color w:val="auto"/>
        </w:rPr>
      </w:pPr>
      <w:r w:rsidRPr="005C08A5">
        <w:rPr>
          <w:color w:val="auto"/>
        </w:rPr>
        <w:t>Does an ethics unit need to be included in the qualification?</w:t>
      </w:r>
    </w:p>
    <w:p w14:paraId="4296CBCC" w14:textId="77777777" w:rsidR="00D251CA" w:rsidRPr="005C08A5" w:rsidRDefault="00D251CA" w:rsidP="00D251CA">
      <w:pPr>
        <w:pStyle w:val="ListParagraph"/>
        <w:numPr>
          <w:ilvl w:val="0"/>
          <w:numId w:val="22"/>
        </w:numPr>
        <w:rPr>
          <w:color w:val="auto"/>
        </w:rPr>
      </w:pPr>
      <w:r w:rsidRPr="005C08A5">
        <w:rPr>
          <w:color w:val="auto"/>
        </w:rPr>
        <w:lastRenderedPageBreak/>
        <w:t>Risk definition in the units of competency – does it match with industry needs?</w:t>
      </w:r>
    </w:p>
    <w:p w14:paraId="2E152508" w14:textId="72C4B106" w:rsidR="00D251CA" w:rsidRPr="005C08A5" w:rsidRDefault="00D251CA" w:rsidP="00D251CA">
      <w:pPr>
        <w:pStyle w:val="ListParagraph"/>
        <w:numPr>
          <w:ilvl w:val="0"/>
          <w:numId w:val="22"/>
        </w:numPr>
        <w:rPr>
          <w:color w:val="auto"/>
        </w:rPr>
      </w:pPr>
      <w:r w:rsidRPr="005C08A5">
        <w:rPr>
          <w:color w:val="auto"/>
        </w:rPr>
        <w:t xml:space="preserve">Communication definition in the units of competency – does it match with industry needs? </w:t>
      </w:r>
    </w:p>
    <w:p w14:paraId="5DECF070" w14:textId="77777777" w:rsidR="00D251CA" w:rsidRPr="005C08A5" w:rsidRDefault="00D251CA" w:rsidP="00D251CA">
      <w:pPr>
        <w:pStyle w:val="ListParagraph"/>
        <w:numPr>
          <w:ilvl w:val="0"/>
          <w:numId w:val="22"/>
        </w:numPr>
        <w:rPr>
          <w:color w:val="auto"/>
        </w:rPr>
      </w:pPr>
      <w:r w:rsidRPr="005C08A5">
        <w:rPr>
          <w:color w:val="auto"/>
        </w:rPr>
        <w:t xml:space="preserve">Do the pathways for both qualifications adequately line up with the broad regulatory scopes of work? </w:t>
      </w:r>
    </w:p>
    <w:p w14:paraId="65D0E4A8" w14:textId="77777777" w:rsidR="00D251CA" w:rsidRPr="005C08A5" w:rsidRDefault="00D251CA" w:rsidP="00D251CA">
      <w:pPr>
        <w:pStyle w:val="ListParagraph"/>
        <w:numPr>
          <w:ilvl w:val="0"/>
          <w:numId w:val="22"/>
        </w:numPr>
        <w:rPr>
          <w:color w:val="auto"/>
        </w:rPr>
      </w:pPr>
      <w:r w:rsidRPr="005C08A5">
        <w:rPr>
          <w:color w:val="auto"/>
        </w:rPr>
        <w:t xml:space="preserve">How might a review of the Security and Risk Management qualifications help the security industry to better align with the aims and objectives of the crowded places strategy? </w:t>
      </w:r>
    </w:p>
    <w:p w14:paraId="6C933331" w14:textId="33E18E70" w:rsidR="008753B5" w:rsidRDefault="008753B5" w:rsidP="008753B5">
      <w:pPr>
        <w:rPr>
          <w:color w:val="000000" w:themeColor="text1"/>
        </w:rPr>
      </w:pPr>
    </w:p>
    <w:p w14:paraId="6F223A66" w14:textId="724F56BB" w:rsidR="008753B5" w:rsidRPr="008753B5" w:rsidRDefault="005B714B" w:rsidP="008753B5">
      <w:pPr>
        <w:rPr>
          <w:color w:val="000000" w:themeColor="text1"/>
        </w:rPr>
      </w:pPr>
      <w:r>
        <w:rPr>
          <w:color w:val="000000" w:themeColor="text1"/>
        </w:rPr>
        <w:t>The Technical Advisory Group held its first meeting in late August 2018.</w:t>
      </w:r>
    </w:p>
    <w:p w14:paraId="56447C91" w14:textId="26480F2B" w:rsidR="00E67BF8" w:rsidRDefault="00E67BF8" w:rsidP="006104F5">
      <w:pPr>
        <w:rPr>
          <w:lang w:val="en-AU"/>
        </w:rPr>
      </w:pPr>
    </w:p>
    <w:p w14:paraId="664572BA" w14:textId="44C242EF" w:rsidR="003928B2" w:rsidRDefault="004763B0" w:rsidP="0037611C">
      <w:pPr>
        <w:pStyle w:val="Heading1"/>
      </w:pPr>
      <w:r>
        <w:t>Key points</w:t>
      </w:r>
    </w:p>
    <w:p w14:paraId="582DB800" w14:textId="4D42C3E5" w:rsidR="00207081" w:rsidRPr="008D07AF" w:rsidRDefault="00207081" w:rsidP="00D251CA">
      <w:pPr>
        <w:pStyle w:val="ListParagraph"/>
        <w:numPr>
          <w:ilvl w:val="0"/>
          <w:numId w:val="21"/>
        </w:numPr>
        <w:rPr>
          <w:rFonts w:cs="Arial"/>
          <w:color w:val="auto"/>
          <w:lang w:eastAsia="en-AU"/>
        </w:rPr>
      </w:pPr>
      <w:r w:rsidRPr="008D07AF">
        <w:rPr>
          <w:rFonts w:cs="Arial"/>
          <w:color w:val="auto"/>
          <w:lang w:eastAsia="en-AU"/>
        </w:rPr>
        <w:t>Through review and update, consideration will be given to vocational alignment and AQF level of the units and qualification.</w:t>
      </w:r>
    </w:p>
    <w:p w14:paraId="1A037349" w14:textId="4E8A4CDB" w:rsidR="00207081" w:rsidRPr="008D07AF" w:rsidRDefault="00207081" w:rsidP="00207081">
      <w:pPr>
        <w:pStyle w:val="ListParagraph"/>
        <w:numPr>
          <w:ilvl w:val="0"/>
          <w:numId w:val="21"/>
        </w:numPr>
        <w:rPr>
          <w:rFonts w:cs="Arial"/>
          <w:color w:val="auto"/>
          <w:lang w:eastAsia="en-AU"/>
        </w:rPr>
      </w:pPr>
      <w:r w:rsidRPr="008D07AF">
        <w:rPr>
          <w:rFonts w:cs="Arial"/>
          <w:color w:val="auto"/>
          <w:lang w:eastAsia="en-AU"/>
        </w:rPr>
        <w:t xml:space="preserve">Through review and update, the development of </w:t>
      </w:r>
      <w:r w:rsidR="005B714B" w:rsidRPr="008D07AF">
        <w:rPr>
          <w:rFonts w:cs="Arial"/>
          <w:color w:val="auto"/>
          <w:lang w:eastAsia="en-AU"/>
        </w:rPr>
        <w:t>skill sets will be considered.  The number necessary will be identified during the life of the project.</w:t>
      </w:r>
    </w:p>
    <w:p w14:paraId="43477219" w14:textId="0B656E3D" w:rsidR="00207081" w:rsidRPr="008D07AF" w:rsidRDefault="00207081" w:rsidP="00207081">
      <w:pPr>
        <w:pStyle w:val="ListParagraph"/>
        <w:numPr>
          <w:ilvl w:val="0"/>
          <w:numId w:val="21"/>
        </w:numPr>
        <w:spacing w:line="276" w:lineRule="auto"/>
        <w:rPr>
          <w:color w:val="auto"/>
        </w:rPr>
      </w:pPr>
      <w:r w:rsidRPr="008D07AF">
        <w:rPr>
          <w:color w:val="auto"/>
        </w:rPr>
        <w:t xml:space="preserve">The qualifications in this project need to be updated to keep in line with current and future industry best practice.   </w:t>
      </w:r>
    </w:p>
    <w:p w14:paraId="23817A93" w14:textId="77777777" w:rsidR="00AB57E6" w:rsidRPr="008D07AF" w:rsidRDefault="00AB57E6" w:rsidP="007C0564">
      <w:pPr>
        <w:rPr>
          <w:b/>
          <w:color w:val="auto"/>
          <w:sz w:val="28"/>
        </w:rPr>
      </w:pPr>
      <w:bookmarkStart w:id="9" w:name="O_661071"/>
      <w:bookmarkStart w:id="10" w:name="O_661072"/>
      <w:bookmarkStart w:id="11" w:name="O_661073"/>
      <w:bookmarkStart w:id="12" w:name="O_661075"/>
      <w:bookmarkEnd w:id="0"/>
      <w:bookmarkEnd w:id="1"/>
      <w:bookmarkEnd w:id="2"/>
      <w:bookmarkEnd w:id="3"/>
      <w:bookmarkEnd w:id="4"/>
      <w:bookmarkEnd w:id="5"/>
      <w:bookmarkEnd w:id="6"/>
      <w:bookmarkEnd w:id="7"/>
      <w:bookmarkEnd w:id="8"/>
      <w:bookmarkEnd w:id="9"/>
      <w:bookmarkEnd w:id="10"/>
      <w:bookmarkEnd w:id="11"/>
      <w:bookmarkEnd w:id="12"/>
    </w:p>
    <w:p w14:paraId="24DB2850" w14:textId="5A5A714C" w:rsidR="000A7BB8" w:rsidRDefault="00AB57E6" w:rsidP="009E36A3">
      <w:pPr>
        <w:pStyle w:val="Heading1"/>
      </w:pPr>
      <w:r w:rsidRPr="000A7BB8">
        <w:t>Consultation Plan</w:t>
      </w:r>
    </w:p>
    <w:p w14:paraId="3FC4680E" w14:textId="77777777" w:rsidR="000A7BB8" w:rsidRPr="008D07AF" w:rsidRDefault="000A7BB8" w:rsidP="000A7BB8">
      <w:pPr>
        <w:rPr>
          <w:color w:val="auto"/>
        </w:rPr>
      </w:pPr>
      <w:r w:rsidRPr="008D07AF">
        <w:rPr>
          <w:color w:val="auto"/>
        </w:rPr>
        <w:t>The key engagement methods will be as follows:</w:t>
      </w:r>
    </w:p>
    <w:p w14:paraId="6CD8C530" w14:textId="18E8655A" w:rsidR="000A7BB8" w:rsidRPr="008D07AF" w:rsidRDefault="000A7BB8" w:rsidP="000A7BB8">
      <w:pPr>
        <w:pStyle w:val="ListParagraph"/>
        <w:numPr>
          <w:ilvl w:val="0"/>
          <w:numId w:val="16"/>
        </w:numPr>
        <w:rPr>
          <w:color w:val="auto"/>
        </w:rPr>
      </w:pPr>
      <w:r w:rsidRPr="008D07AF">
        <w:rPr>
          <w:color w:val="auto"/>
        </w:rPr>
        <w:t xml:space="preserve">a Technical Advisory Groups (TAG) </w:t>
      </w:r>
      <w:r w:rsidR="00D251CA" w:rsidRPr="008D07AF">
        <w:rPr>
          <w:color w:val="auto"/>
        </w:rPr>
        <w:t>has been</w:t>
      </w:r>
      <w:r w:rsidRPr="008D07AF">
        <w:rPr>
          <w:color w:val="auto"/>
        </w:rPr>
        <w:t xml:space="preserve"> established in accordance with internal policy and procedures to guide the subject matter expertise components of the work</w:t>
      </w:r>
    </w:p>
    <w:p w14:paraId="5311B60D" w14:textId="77777777" w:rsidR="000A7BB8" w:rsidRPr="008D07AF" w:rsidRDefault="000A7BB8" w:rsidP="000A7BB8">
      <w:pPr>
        <w:pStyle w:val="ListParagraph"/>
        <w:numPr>
          <w:ilvl w:val="0"/>
          <w:numId w:val="16"/>
        </w:numPr>
        <w:rPr>
          <w:color w:val="auto"/>
        </w:rPr>
      </w:pPr>
      <w:r w:rsidRPr="008D07AF">
        <w:rPr>
          <w:color w:val="auto"/>
        </w:rPr>
        <w:t>direct correspondence with regulators</w:t>
      </w:r>
    </w:p>
    <w:p w14:paraId="6981F50D" w14:textId="77777777" w:rsidR="000A7BB8" w:rsidRPr="008D07AF" w:rsidRDefault="000A7BB8" w:rsidP="000A7BB8">
      <w:pPr>
        <w:pStyle w:val="ListParagraph"/>
        <w:numPr>
          <w:ilvl w:val="0"/>
          <w:numId w:val="16"/>
        </w:numPr>
        <w:rPr>
          <w:color w:val="auto"/>
        </w:rPr>
      </w:pPr>
      <w:r w:rsidRPr="008D07AF">
        <w:rPr>
          <w:color w:val="auto"/>
        </w:rPr>
        <w:t>direct correspondence with State Training Authorities</w:t>
      </w:r>
    </w:p>
    <w:p w14:paraId="39A2D5E1" w14:textId="77777777" w:rsidR="000A7BB8" w:rsidRPr="008D07AF" w:rsidRDefault="000A7BB8" w:rsidP="000A7BB8">
      <w:pPr>
        <w:pStyle w:val="ListParagraph"/>
        <w:numPr>
          <w:ilvl w:val="0"/>
          <w:numId w:val="16"/>
        </w:numPr>
        <w:rPr>
          <w:color w:val="auto"/>
        </w:rPr>
      </w:pPr>
      <w:r w:rsidRPr="008D07AF">
        <w:rPr>
          <w:color w:val="auto"/>
        </w:rPr>
        <w:t>direct correspondence with IRC and key stakeholders</w:t>
      </w:r>
    </w:p>
    <w:p w14:paraId="36F3F0A1" w14:textId="77777777" w:rsidR="000A7BB8" w:rsidRPr="008D07AF" w:rsidRDefault="000A7BB8" w:rsidP="000A7BB8">
      <w:pPr>
        <w:pStyle w:val="ListParagraph"/>
        <w:numPr>
          <w:ilvl w:val="0"/>
          <w:numId w:val="16"/>
        </w:numPr>
        <w:rPr>
          <w:color w:val="auto"/>
        </w:rPr>
      </w:pPr>
      <w:r w:rsidRPr="008D07AF">
        <w:rPr>
          <w:color w:val="auto"/>
        </w:rPr>
        <w:t>industry associations and other stakeholders will be invited to capital city forums in all state/territories.  A copy of forums material will be published on the web and an online forum will also be facilitated</w:t>
      </w:r>
    </w:p>
    <w:p w14:paraId="47632CCD" w14:textId="77777777" w:rsidR="000A7BB8" w:rsidRPr="008D07AF" w:rsidRDefault="000A7BB8" w:rsidP="000A7BB8">
      <w:pPr>
        <w:pStyle w:val="ListParagraph"/>
        <w:numPr>
          <w:ilvl w:val="0"/>
          <w:numId w:val="16"/>
        </w:numPr>
        <w:rPr>
          <w:color w:val="auto"/>
        </w:rPr>
      </w:pPr>
      <w:r w:rsidRPr="008D07AF">
        <w:rPr>
          <w:color w:val="auto"/>
        </w:rPr>
        <w:t xml:space="preserve">RTOs will be engaged through online survey and trainer networks </w:t>
      </w:r>
    </w:p>
    <w:p w14:paraId="42BA85EB" w14:textId="77777777" w:rsidR="000A7BB8" w:rsidRPr="008D07AF" w:rsidRDefault="000A7BB8" w:rsidP="000A7BB8">
      <w:pPr>
        <w:pStyle w:val="ListParagraph"/>
        <w:numPr>
          <w:ilvl w:val="0"/>
          <w:numId w:val="16"/>
        </w:numPr>
        <w:rPr>
          <w:color w:val="auto"/>
        </w:rPr>
      </w:pPr>
      <w:r w:rsidRPr="008D07AF">
        <w:rPr>
          <w:color w:val="auto"/>
        </w:rPr>
        <w:t>public web project page updated fortnightly</w:t>
      </w:r>
    </w:p>
    <w:p w14:paraId="08B07339" w14:textId="77777777" w:rsidR="000A7BB8" w:rsidRPr="008D07AF" w:rsidRDefault="000A7BB8" w:rsidP="000A7BB8">
      <w:pPr>
        <w:pStyle w:val="ListParagraph"/>
        <w:numPr>
          <w:ilvl w:val="0"/>
          <w:numId w:val="16"/>
        </w:numPr>
        <w:rPr>
          <w:color w:val="auto"/>
        </w:rPr>
      </w:pPr>
      <w:r w:rsidRPr="008D07AF">
        <w:rPr>
          <w:color w:val="auto"/>
        </w:rPr>
        <w:t>newsletter survey distribution to 4,200 stakeholders, including all RTOs, regulators, industry associations.  Minimum of three newsletter profiles</w:t>
      </w:r>
    </w:p>
    <w:p w14:paraId="744105EE" w14:textId="77777777" w:rsidR="000A7BB8" w:rsidRPr="008D07AF" w:rsidRDefault="000A7BB8" w:rsidP="000A7BB8">
      <w:pPr>
        <w:pStyle w:val="ListParagraph"/>
        <w:numPr>
          <w:ilvl w:val="0"/>
          <w:numId w:val="16"/>
        </w:numPr>
        <w:rPr>
          <w:color w:val="auto"/>
        </w:rPr>
      </w:pPr>
      <w:r w:rsidRPr="008D07AF">
        <w:rPr>
          <w:color w:val="auto"/>
        </w:rPr>
        <w:t xml:space="preserve">industry survey on early and late draft material </w:t>
      </w:r>
    </w:p>
    <w:p w14:paraId="7D8D6C73" w14:textId="77777777" w:rsidR="000A7BB8" w:rsidRPr="008D07AF" w:rsidRDefault="000A7BB8" w:rsidP="000A7BB8">
      <w:pPr>
        <w:pStyle w:val="ListParagraph"/>
        <w:numPr>
          <w:ilvl w:val="0"/>
          <w:numId w:val="16"/>
        </w:numPr>
        <w:rPr>
          <w:color w:val="auto"/>
        </w:rPr>
      </w:pPr>
      <w:r w:rsidRPr="008D07AF">
        <w:rPr>
          <w:color w:val="auto"/>
        </w:rPr>
        <w:t>distribution of survey through TAG networks and Artibus digital channels</w:t>
      </w:r>
    </w:p>
    <w:p w14:paraId="37151B48" w14:textId="77777777" w:rsidR="000A7BB8" w:rsidRPr="000A7BB8" w:rsidRDefault="000A7BB8" w:rsidP="000A7BB8">
      <w:pPr>
        <w:rPr>
          <w:lang w:val="en-AU"/>
        </w:rPr>
      </w:pPr>
    </w:p>
    <w:p w14:paraId="3382240A" w14:textId="5A3314DF" w:rsidR="00AB57E6" w:rsidRDefault="000A7BB8" w:rsidP="000A7BB8">
      <w:pPr>
        <w:pStyle w:val="Heading1"/>
      </w:pPr>
      <w:r w:rsidRPr="000A7BB8">
        <w:t>Project Timeline</w:t>
      </w:r>
    </w:p>
    <w:p w14:paraId="74B49596" w14:textId="4EDB8EE2" w:rsidR="001E56B4" w:rsidRDefault="001E56B4" w:rsidP="001E56B4">
      <w:pPr>
        <w:rPr>
          <w:lang w:val="en-AU"/>
        </w:rPr>
      </w:pPr>
    </w:p>
    <w:tbl>
      <w:tblPr>
        <w:tblStyle w:val="TableGrid"/>
        <w:tblW w:w="0" w:type="auto"/>
        <w:tblLook w:val="04A0" w:firstRow="1" w:lastRow="0" w:firstColumn="1" w:lastColumn="0" w:noHBand="0" w:noVBand="1"/>
      </w:tblPr>
      <w:tblGrid>
        <w:gridCol w:w="1129"/>
        <w:gridCol w:w="5247"/>
        <w:gridCol w:w="3189"/>
      </w:tblGrid>
      <w:tr w:rsidR="005C08A5" w:rsidRPr="005C08A5" w14:paraId="737646F7" w14:textId="77777777" w:rsidTr="009E36A3">
        <w:tc>
          <w:tcPr>
            <w:tcW w:w="1129" w:type="dxa"/>
          </w:tcPr>
          <w:p w14:paraId="4AE60DB0" w14:textId="29AC9B44" w:rsidR="001E56B4" w:rsidRPr="005C08A5" w:rsidRDefault="001E56B4" w:rsidP="001E56B4">
            <w:pPr>
              <w:rPr>
                <w:color w:val="auto"/>
                <w:lang w:val="en-AU"/>
              </w:rPr>
            </w:pPr>
            <w:r w:rsidRPr="005C08A5">
              <w:rPr>
                <w:color w:val="auto"/>
                <w:lang w:val="en-AU"/>
              </w:rPr>
              <w:t>Stage 1</w:t>
            </w:r>
          </w:p>
        </w:tc>
        <w:tc>
          <w:tcPr>
            <w:tcW w:w="5247" w:type="dxa"/>
          </w:tcPr>
          <w:p w14:paraId="76A7FA6B" w14:textId="227F119F" w:rsidR="001E56B4" w:rsidRPr="005C08A5" w:rsidRDefault="001E56B4" w:rsidP="001E56B4">
            <w:pPr>
              <w:rPr>
                <w:color w:val="auto"/>
                <w:lang w:val="en-AU"/>
              </w:rPr>
            </w:pPr>
            <w:r w:rsidRPr="005C08A5">
              <w:rPr>
                <w:color w:val="auto"/>
                <w:lang w:val="en-AU"/>
              </w:rPr>
              <w:t>Project commencement</w:t>
            </w:r>
          </w:p>
        </w:tc>
        <w:tc>
          <w:tcPr>
            <w:tcW w:w="3189" w:type="dxa"/>
          </w:tcPr>
          <w:p w14:paraId="253EC0C7" w14:textId="25E96B14" w:rsidR="001E56B4" w:rsidRPr="005C08A5" w:rsidRDefault="001E56B4" w:rsidP="001E56B4">
            <w:pPr>
              <w:rPr>
                <w:color w:val="auto"/>
                <w:lang w:val="en-AU"/>
              </w:rPr>
            </w:pPr>
            <w:r w:rsidRPr="005C08A5">
              <w:rPr>
                <w:color w:val="auto"/>
                <w:lang w:val="en-AU"/>
              </w:rPr>
              <w:t>September 2018</w:t>
            </w:r>
          </w:p>
        </w:tc>
      </w:tr>
      <w:tr w:rsidR="005C08A5" w:rsidRPr="005C08A5" w14:paraId="53AFD137" w14:textId="77777777" w:rsidTr="009E36A3">
        <w:tc>
          <w:tcPr>
            <w:tcW w:w="1129" w:type="dxa"/>
          </w:tcPr>
          <w:p w14:paraId="1B8D662C" w14:textId="18F1C705" w:rsidR="001E56B4" w:rsidRPr="005C08A5" w:rsidRDefault="001E56B4" w:rsidP="001E56B4">
            <w:pPr>
              <w:rPr>
                <w:color w:val="auto"/>
                <w:lang w:val="en-AU"/>
              </w:rPr>
            </w:pPr>
            <w:r w:rsidRPr="005C08A5">
              <w:rPr>
                <w:color w:val="auto"/>
                <w:lang w:val="en-AU"/>
              </w:rPr>
              <w:t>Stage 2</w:t>
            </w:r>
          </w:p>
        </w:tc>
        <w:tc>
          <w:tcPr>
            <w:tcW w:w="5247" w:type="dxa"/>
          </w:tcPr>
          <w:p w14:paraId="1A9563F4" w14:textId="6C224B17" w:rsidR="001E56B4" w:rsidRPr="005C08A5" w:rsidRDefault="001E56B4" w:rsidP="001E56B4">
            <w:pPr>
              <w:rPr>
                <w:color w:val="auto"/>
                <w:lang w:val="en-AU"/>
              </w:rPr>
            </w:pPr>
            <w:r w:rsidRPr="005C08A5">
              <w:rPr>
                <w:color w:val="auto"/>
                <w:lang w:val="en-AU"/>
              </w:rPr>
              <w:t>Round 1 of industry consultation and training package development</w:t>
            </w:r>
          </w:p>
        </w:tc>
        <w:tc>
          <w:tcPr>
            <w:tcW w:w="3189" w:type="dxa"/>
          </w:tcPr>
          <w:p w14:paraId="7028436E" w14:textId="3E2DBA6F" w:rsidR="001E56B4" w:rsidRPr="005C08A5" w:rsidRDefault="001E56B4" w:rsidP="001E56B4">
            <w:pPr>
              <w:rPr>
                <w:color w:val="auto"/>
                <w:lang w:val="en-AU"/>
              </w:rPr>
            </w:pPr>
            <w:r w:rsidRPr="005C08A5">
              <w:rPr>
                <w:color w:val="auto"/>
                <w:lang w:val="en-AU"/>
              </w:rPr>
              <w:t>October 2018</w:t>
            </w:r>
          </w:p>
        </w:tc>
      </w:tr>
      <w:tr w:rsidR="005C08A5" w:rsidRPr="005C08A5" w14:paraId="720C0A98" w14:textId="77777777" w:rsidTr="009E36A3">
        <w:tc>
          <w:tcPr>
            <w:tcW w:w="1129" w:type="dxa"/>
          </w:tcPr>
          <w:p w14:paraId="1AFA075F" w14:textId="77777777" w:rsidR="001E56B4" w:rsidRPr="005C08A5" w:rsidRDefault="001E56B4" w:rsidP="001E56B4">
            <w:pPr>
              <w:rPr>
                <w:color w:val="auto"/>
                <w:lang w:val="en-AU"/>
              </w:rPr>
            </w:pPr>
          </w:p>
        </w:tc>
        <w:tc>
          <w:tcPr>
            <w:tcW w:w="5247" w:type="dxa"/>
          </w:tcPr>
          <w:p w14:paraId="04F97991" w14:textId="2697C217" w:rsidR="001E56B4" w:rsidRPr="005C08A5" w:rsidRDefault="001E56B4" w:rsidP="001E56B4">
            <w:pPr>
              <w:rPr>
                <w:color w:val="auto"/>
                <w:lang w:val="en-AU"/>
              </w:rPr>
            </w:pPr>
            <w:r w:rsidRPr="005C08A5">
              <w:rPr>
                <w:color w:val="auto"/>
                <w:lang w:val="en-AU"/>
              </w:rPr>
              <w:t>Round 2 of industry consultation and training package development</w:t>
            </w:r>
          </w:p>
        </w:tc>
        <w:tc>
          <w:tcPr>
            <w:tcW w:w="3189" w:type="dxa"/>
          </w:tcPr>
          <w:p w14:paraId="71B97009" w14:textId="26B01ADE" w:rsidR="001E56B4" w:rsidRPr="005C08A5" w:rsidRDefault="001E56B4" w:rsidP="001E56B4">
            <w:pPr>
              <w:rPr>
                <w:color w:val="auto"/>
                <w:lang w:val="en-AU"/>
              </w:rPr>
            </w:pPr>
            <w:r w:rsidRPr="005C08A5">
              <w:rPr>
                <w:color w:val="auto"/>
                <w:lang w:val="en-AU"/>
              </w:rPr>
              <w:t>November 2018 – January 2019</w:t>
            </w:r>
          </w:p>
        </w:tc>
      </w:tr>
      <w:tr w:rsidR="005C08A5" w:rsidRPr="005C08A5" w14:paraId="2FE36251" w14:textId="77777777" w:rsidTr="009E36A3">
        <w:tc>
          <w:tcPr>
            <w:tcW w:w="1129" w:type="dxa"/>
          </w:tcPr>
          <w:p w14:paraId="52FF56D7" w14:textId="0306E276" w:rsidR="001E56B4" w:rsidRPr="005C08A5" w:rsidRDefault="001E56B4" w:rsidP="001E56B4">
            <w:pPr>
              <w:rPr>
                <w:color w:val="auto"/>
                <w:lang w:val="en-AU"/>
              </w:rPr>
            </w:pPr>
            <w:r w:rsidRPr="005C08A5">
              <w:rPr>
                <w:color w:val="auto"/>
                <w:lang w:val="en-AU"/>
              </w:rPr>
              <w:t>Stage 3</w:t>
            </w:r>
          </w:p>
        </w:tc>
        <w:tc>
          <w:tcPr>
            <w:tcW w:w="5247" w:type="dxa"/>
          </w:tcPr>
          <w:p w14:paraId="28B3460E" w14:textId="7251DDAC" w:rsidR="001E56B4" w:rsidRPr="005C08A5" w:rsidRDefault="001E56B4" w:rsidP="001E56B4">
            <w:pPr>
              <w:rPr>
                <w:color w:val="auto"/>
                <w:lang w:val="en-AU"/>
              </w:rPr>
            </w:pPr>
            <w:r w:rsidRPr="005C08A5">
              <w:rPr>
                <w:color w:val="auto"/>
                <w:lang w:val="en-AU"/>
              </w:rPr>
              <w:t>Validation consultation</w:t>
            </w:r>
          </w:p>
        </w:tc>
        <w:tc>
          <w:tcPr>
            <w:tcW w:w="3189" w:type="dxa"/>
          </w:tcPr>
          <w:p w14:paraId="009359A9" w14:textId="2726D910" w:rsidR="001E56B4" w:rsidRPr="005C08A5" w:rsidRDefault="001E56B4" w:rsidP="001E56B4">
            <w:pPr>
              <w:rPr>
                <w:color w:val="auto"/>
                <w:lang w:val="en-AU"/>
              </w:rPr>
            </w:pPr>
            <w:r w:rsidRPr="005C08A5">
              <w:rPr>
                <w:color w:val="auto"/>
                <w:lang w:val="en-AU"/>
              </w:rPr>
              <w:t>January 2019</w:t>
            </w:r>
          </w:p>
        </w:tc>
      </w:tr>
      <w:tr w:rsidR="005C08A5" w:rsidRPr="005C08A5" w14:paraId="5F8B50A4" w14:textId="77777777" w:rsidTr="009E36A3">
        <w:tc>
          <w:tcPr>
            <w:tcW w:w="1129" w:type="dxa"/>
          </w:tcPr>
          <w:p w14:paraId="413F8090" w14:textId="7DA668EF" w:rsidR="001E56B4" w:rsidRPr="005C08A5" w:rsidRDefault="001E56B4" w:rsidP="001E56B4">
            <w:pPr>
              <w:rPr>
                <w:color w:val="auto"/>
                <w:lang w:val="en-AU"/>
              </w:rPr>
            </w:pPr>
            <w:r w:rsidRPr="005C08A5">
              <w:rPr>
                <w:color w:val="auto"/>
                <w:lang w:val="en-AU"/>
              </w:rPr>
              <w:t>Stage 4</w:t>
            </w:r>
          </w:p>
        </w:tc>
        <w:tc>
          <w:tcPr>
            <w:tcW w:w="5247" w:type="dxa"/>
          </w:tcPr>
          <w:p w14:paraId="3C33F010" w14:textId="4DD42A71" w:rsidR="001E56B4" w:rsidRPr="005C08A5" w:rsidRDefault="001E56B4" w:rsidP="001E56B4">
            <w:pPr>
              <w:rPr>
                <w:color w:val="auto"/>
                <w:lang w:val="en-AU"/>
              </w:rPr>
            </w:pPr>
            <w:r w:rsidRPr="005C08A5">
              <w:rPr>
                <w:color w:val="auto"/>
                <w:lang w:val="en-AU"/>
              </w:rPr>
              <w:t>Quality assurance phase</w:t>
            </w:r>
          </w:p>
        </w:tc>
        <w:tc>
          <w:tcPr>
            <w:tcW w:w="3189" w:type="dxa"/>
          </w:tcPr>
          <w:p w14:paraId="2F8D6C95" w14:textId="38EC5DC4" w:rsidR="001E56B4" w:rsidRPr="005C08A5" w:rsidRDefault="001E56B4" w:rsidP="001E56B4">
            <w:pPr>
              <w:rPr>
                <w:color w:val="auto"/>
                <w:lang w:val="en-AU"/>
              </w:rPr>
            </w:pPr>
            <w:r w:rsidRPr="005C08A5">
              <w:rPr>
                <w:color w:val="auto"/>
                <w:lang w:val="en-AU"/>
              </w:rPr>
              <w:t>February – March 2019</w:t>
            </w:r>
          </w:p>
        </w:tc>
      </w:tr>
      <w:tr w:rsidR="005C08A5" w:rsidRPr="005C08A5" w14:paraId="736F1F50" w14:textId="77777777" w:rsidTr="009E36A3">
        <w:tc>
          <w:tcPr>
            <w:tcW w:w="1129" w:type="dxa"/>
          </w:tcPr>
          <w:p w14:paraId="7EA18C79" w14:textId="2BAB5998" w:rsidR="001E56B4" w:rsidRPr="005C08A5" w:rsidRDefault="001E56B4" w:rsidP="001E56B4">
            <w:pPr>
              <w:rPr>
                <w:color w:val="auto"/>
                <w:lang w:val="en-AU"/>
              </w:rPr>
            </w:pPr>
            <w:r w:rsidRPr="005C08A5">
              <w:rPr>
                <w:color w:val="auto"/>
                <w:lang w:val="en-AU"/>
              </w:rPr>
              <w:t>Stage 5</w:t>
            </w:r>
          </w:p>
        </w:tc>
        <w:tc>
          <w:tcPr>
            <w:tcW w:w="5247" w:type="dxa"/>
          </w:tcPr>
          <w:p w14:paraId="1697098D" w14:textId="02B9A7E0" w:rsidR="001E56B4" w:rsidRPr="005C08A5" w:rsidRDefault="001E56B4" w:rsidP="001E56B4">
            <w:pPr>
              <w:rPr>
                <w:color w:val="auto"/>
                <w:lang w:val="en-AU"/>
              </w:rPr>
            </w:pPr>
            <w:r w:rsidRPr="005C08A5">
              <w:rPr>
                <w:color w:val="auto"/>
                <w:lang w:val="en-AU"/>
              </w:rPr>
              <w:t>STA endorsement</w:t>
            </w:r>
          </w:p>
        </w:tc>
        <w:tc>
          <w:tcPr>
            <w:tcW w:w="3189" w:type="dxa"/>
          </w:tcPr>
          <w:p w14:paraId="3B5628FC" w14:textId="3ED584A4" w:rsidR="001E56B4" w:rsidRPr="005C08A5" w:rsidRDefault="001E56B4" w:rsidP="001E56B4">
            <w:pPr>
              <w:rPr>
                <w:color w:val="auto"/>
                <w:lang w:val="en-AU"/>
              </w:rPr>
            </w:pPr>
            <w:r w:rsidRPr="005C08A5">
              <w:rPr>
                <w:color w:val="auto"/>
                <w:lang w:val="en-AU"/>
              </w:rPr>
              <w:t>April 2109</w:t>
            </w:r>
          </w:p>
        </w:tc>
      </w:tr>
      <w:tr w:rsidR="005C08A5" w:rsidRPr="005C08A5" w14:paraId="115EEE87" w14:textId="77777777" w:rsidTr="009E36A3">
        <w:tc>
          <w:tcPr>
            <w:tcW w:w="1129" w:type="dxa"/>
          </w:tcPr>
          <w:p w14:paraId="0911431E" w14:textId="77777777" w:rsidR="001E56B4" w:rsidRPr="005C08A5" w:rsidRDefault="001E56B4" w:rsidP="001E56B4">
            <w:pPr>
              <w:rPr>
                <w:color w:val="auto"/>
                <w:lang w:val="en-AU"/>
              </w:rPr>
            </w:pPr>
          </w:p>
        </w:tc>
        <w:tc>
          <w:tcPr>
            <w:tcW w:w="5247" w:type="dxa"/>
          </w:tcPr>
          <w:p w14:paraId="76487D88" w14:textId="5783AC0F" w:rsidR="001E56B4" w:rsidRPr="005C08A5" w:rsidRDefault="001E56B4" w:rsidP="001E56B4">
            <w:pPr>
              <w:rPr>
                <w:color w:val="auto"/>
                <w:lang w:val="en-AU"/>
              </w:rPr>
            </w:pPr>
            <w:r w:rsidRPr="005C08A5">
              <w:rPr>
                <w:color w:val="auto"/>
                <w:lang w:val="en-AU"/>
              </w:rPr>
              <w:t>Case for Endorsement submitted to Department of Education and Training</w:t>
            </w:r>
          </w:p>
        </w:tc>
        <w:tc>
          <w:tcPr>
            <w:tcW w:w="3189" w:type="dxa"/>
          </w:tcPr>
          <w:p w14:paraId="5604CDFB" w14:textId="538DB68D" w:rsidR="001E56B4" w:rsidRPr="005C08A5" w:rsidRDefault="001E56B4" w:rsidP="001E56B4">
            <w:pPr>
              <w:rPr>
                <w:color w:val="auto"/>
                <w:lang w:val="en-AU"/>
              </w:rPr>
            </w:pPr>
            <w:r w:rsidRPr="005C08A5">
              <w:rPr>
                <w:color w:val="auto"/>
                <w:lang w:val="en-AU"/>
              </w:rPr>
              <w:t>May 2019</w:t>
            </w:r>
          </w:p>
        </w:tc>
      </w:tr>
    </w:tbl>
    <w:p w14:paraId="58054373" w14:textId="77777777" w:rsidR="001E56B4" w:rsidRPr="001E56B4" w:rsidRDefault="001E56B4" w:rsidP="001E56B4">
      <w:pPr>
        <w:rPr>
          <w:lang w:val="en-AU"/>
        </w:rPr>
      </w:pPr>
    </w:p>
    <w:p w14:paraId="3665C2A8" w14:textId="6A21550D" w:rsidR="000A7BB8" w:rsidRPr="000A7BB8" w:rsidRDefault="000A7BB8" w:rsidP="000A7BB8">
      <w:pPr>
        <w:rPr>
          <w:lang w:val="en-AU"/>
        </w:rPr>
      </w:pPr>
      <w:r>
        <w:rPr>
          <w:lang w:val="en-AU"/>
        </w:rPr>
        <w:tab/>
      </w:r>
      <w:bookmarkStart w:id="13" w:name="_GoBack"/>
      <w:bookmarkEnd w:id="13"/>
    </w:p>
    <w:sectPr w:rsidR="000A7BB8" w:rsidRPr="000A7BB8" w:rsidSect="00933E5B">
      <w:footerReference w:type="default" r:id="rId9"/>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9F08E" w14:textId="77777777" w:rsidR="0016703F" w:rsidRDefault="0016703F" w:rsidP="00D84328">
      <w:r>
        <w:separator/>
      </w:r>
    </w:p>
  </w:endnote>
  <w:endnote w:type="continuationSeparator" w:id="0">
    <w:p w14:paraId="701E756F" w14:textId="77777777" w:rsidR="0016703F" w:rsidRDefault="0016703F"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3663EAC5" w:rsidR="007C0564" w:rsidRPr="007C0564" w:rsidRDefault="005B714B" w:rsidP="00E73F14">
    <w:pPr>
      <w:pStyle w:val="Footer"/>
      <w:rPr>
        <w:color w:val="000000" w:themeColor="text1"/>
        <w:sz w:val="18"/>
      </w:rPr>
    </w:pPr>
    <w:r>
      <w:rPr>
        <w:color w:val="000000" w:themeColor="text1"/>
        <w:sz w:val="18"/>
      </w:rPr>
      <w:t>Security</w:t>
    </w:r>
    <w:r w:rsidR="009E36A3">
      <w:rPr>
        <w:color w:val="000000" w:themeColor="text1"/>
        <w:sz w:val="18"/>
      </w:rPr>
      <w:t xml:space="preserve"> </w:t>
    </w:r>
    <w:r w:rsidR="00D251CA">
      <w:rPr>
        <w:color w:val="000000" w:themeColor="text1"/>
        <w:sz w:val="18"/>
      </w:rPr>
      <w:t xml:space="preserve">and Risk Management </w:t>
    </w:r>
    <w:r w:rsidR="009E36A3">
      <w:rPr>
        <w:color w:val="000000" w:themeColor="text1"/>
        <w:sz w:val="18"/>
      </w:rPr>
      <w:t>Review</w:t>
    </w:r>
    <w:r w:rsidR="007C0564" w:rsidRPr="007C0564">
      <w:rPr>
        <w:color w:val="000000" w:themeColor="text1"/>
        <w:sz w:val="18"/>
      </w:rPr>
      <w:t xml:space="preserve"> 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5AF8B" w14:textId="77777777" w:rsidR="0016703F" w:rsidRDefault="0016703F" w:rsidP="00D84328">
      <w:r>
        <w:separator/>
      </w:r>
    </w:p>
  </w:footnote>
  <w:footnote w:type="continuationSeparator" w:id="0">
    <w:p w14:paraId="67B547C1" w14:textId="77777777" w:rsidR="0016703F" w:rsidRDefault="0016703F" w:rsidP="00D84328">
      <w:r>
        <w:continuationSeparator/>
      </w:r>
    </w:p>
  </w:footnote>
  <w:footnote w:id="1">
    <w:p w14:paraId="720045AD" w14:textId="77777777" w:rsidR="007C4C0D" w:rsidRPr="00182269" w:rsidRDefault="007C4C0D" w:rsidP="007C4C0D">
      <w:pPr>
        <w:pStyle w:val="FootnoteText"/>
        <w:rPr>
          <w:sz w:val="18"/>
          <w:szCs w:val="18"/>
        </w:rPr>
      </w:pPr>
      <w:r w:rsidRPr="00182269">
        <w:rPr>
          <w:rStyle w:val="FootnoteReference"/>
          <w:sz w:val="18"/>
          <w:szCs w:val="18"/>
        </w:rPr>
        <w:footnoteRef/>
      </w:r>
      <w:r w:rsidRPr="00182269">
        <w:rPr>
          <w:sz w:val="18"/>
          <w:szCs w:val="18"/>
        </w:rPr>
        <w:t xml:space="preserve"> ABS, accessed 29/05/2018, http://www.abs.gov.au/ausstats/abs@.nsf/Lookup/41198D1DA9DFD2C8CA257B95001310E1?opendocument</w:t>
      </w:r>
    </w:p>
  </w:footnote>
  <w:footnote w:id="2">
    <w:p w14:paraId="0F7E0579" w14:textId="77777777" w:rsidR="007C4C0D" w:rsidRPr="00182269" w:rsidRDefault="007C4C0D" w:rsidP="007C4C0D">
      <w:pPr>
        <w:pStyle w:val="FootnoteText"/>
        <w:rPr>
          <w:sz w:val="18"/>
          <w:szCs w:val="18"/>
        </w:rPr>
      </w:pPr>
      <w:r w:rsidRPr="00182269">
        <w:rPr>
          <w:rStyle w:val="FootnoteReference"/>
          <w:sz w:val="18"/>
          <w:szCs w:val="18"/>
        </w:rPr>
        <w:footnoteRef/>
      </w:r>
      <w:r w:rsidRPr="00182269">
        <w:rPr>
          <w:sz w:val="18"/>
          <w:szCs w:val="18"/>
        </w:rPr>
        <w:t xml:space="preserve"> Commonwealth of Australia (2017), </w:t>
      </w:r>
      <w:r w:rsidRPr="00182269">
        <w:rPr>
          <w:i/>
          <w:sz w:val="18"/>
          <w:szCs w:val="18"/>
        </w:rPr>
        <w:t>Australia’s Strategy for Protecting Crowded Places from Terrorism</w:t>
      </w:r>
      <w:r w:rsidRPr="00182269">
        <w:rPr>
          <w:sz w:val="18"/>
          <w:szCs w:val="18"/>
        </w:rPr>
        <w:t xml:space="preserve">, accessed 28/05/2018, </w:t>
      </w:r>
      <w:hyperlink r:id="rId1" w:history="1">
        <w:r w:rsidRPr="00182269">
          <w:rPr>
            <w:rStyle w:val="Hyperlink"/>
            <w:sz w:val="18"/>
            <w:szCs w:val="18"/>
          </w:rPr>
          <w:t>https://www.nationalsecurity.gov.au/Media-and-publications/Publications/Documents/Australias-Strategy-Protecting-Crowded-Places-Terrorism.pdf</w:t>
        </w:r>
      </w:hyperlink>
      <w:r w:rsidRPr="00182269">
        <w:rPr>
          <w:sz w:val="18"/>
          <w:szCs w:val="18"/>
        </w:rPr>
        <w:t>, p.13</w:t>
      </w:r>
    </w:p>
  </w:footnote>
  <w:footnote w:id="3">
    <w:p w14:paraId="70A49DBD" w14:textId="77777777" w:rsidR="007C4C0D" w:rsidRDefault="007C4C0D" w:rsidP="007C4C0D">
      <w:pPr>
        <w:pStyle w:val="FootnoteText"/>
      </w:pPr>
      <w:r w:rsidRPr="00182269">
        <w:rPr>
          <w:rStyle w:val="FootnoteReference"/>
          <w:sz w:val="18"/>
          <w:szCs w:val="18"/>
        </w:rPr>
        <w:footnoteRef/>
      </w:r>
      <w:r w:rsidRPr="00182269">
        <w:rPr>
          <w:sz w:val="18"/>
          <w:szCs w:val="18"/>
        </w:rPr>
        <w:t xml:space="preserve"> Commonwealth of Australia (2017), </w:t>
      </w:r>
      <w:r w:rsidRPr="00182269">
        <w:rPr>
          <w:i/>
          <w:sz w:val="18"/>
          <w:szCs w:val="18"/>
        </w:rPr>
        <w:t>Australia’s Strategy for Protecting Crowded Places from Terrorism</w:t>
      </w:r>
      <w:r w:rsidRPr="00182269">
        <w:rPr>
          <w:sz w:val="18"/>
          <w:szCs w:val="18"/>
        </w:rPr>
        <w:t xml:space="preserve">, accessed 28/05/2018, </w:t>
      </w:r>
      <w:hyperlink r:id="rId2" w:history="1">
        <w:r w:rsidRPr="00182269">
          <w:rPr>
            <w:rStyle w:val="Hyperlink"/>
            <w:sz w:val="18"/>
            <w:szCs w:val="18"/>
          </w:rPr>
          <w:t>https://www.nationalsecurity.gov.au/Media-and-publications/Publications/Documents/Australias-Strategy-Protecting-Crowded-Places-Terrorism.pdf</w:t>
        </w:r>
      </w:hyperlink>
      <w:r w:rsidRPr="00182269">
        <w:rPr>
          <w:sz w:val="18"/>
          <w:szCs w:val="18"/>
        </w:rPr>
        <w:t>, p.13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FB9"/>
    <w:multiLevelType w:val="hybridMultilevel"/>
    <w:tmpl w:val="09A0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34574"/>
    <w:multiLevelType w:val="hybridMultilevel"/>
    <w:tmpl w:val="B4A4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93CE0"/>
    <w:multiLevelType w:val="hybridMultilevel"/>
    <w:tmpl w:val="5C7C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620CE"/>
    <w:multiLevelType w:val="hybridMultilevel"/>
    <w:tmpl w:val="B3E4D482"/>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845DBE"/>
    <w:multiLevelType w:val="hybridMultilevel"/>
    <w:tmpl w:val="CDBC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03631"/>
    <w:multiLevelType w:val="hybridMultilevel"/>
    <w:tmpl w:val="8A14BB9C"/>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39406B"/>
    <w:multiLevelType w:val="hybridMultilevel"/>
    <w:tmpl w:val="08B42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047EE8"/>
    <w:multiLevelType w:val="hybridMultilevel"/>
    <w:tmpl w:val="9EDAB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9428D2"/>
    <w:multiLevelType w:val="multilevel"/>
    <w:tmpl w:val="39EECC1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DA77CD"/>
    <w:multiLevelType w:val="hybridMultilevel"/>
    <w:tmpl w:val="98B2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8"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34C37"/>
    <w:multiLevelType w:val="hybridMultilevel"/>
    <w:tmpl w:val="4ECC4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1C6D68"/>
    <w:multiLevelType w:val="hybridMultilevel"/>
    <w:tmpl w:val="FEC6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A06C7"/>
    <w:multiLevelType w:val="hybridMultilevel"/>
    <w:tmpl w:val="81481D00"/>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8"/>
  </w:num>
  <w:num w:numId="4">
    <w:abstractNumId w:val="6"/>
  </w:num>
  <w:num w:numId="5">
    <w:abstractNumId w:val="16"/>
  </w:num>
  <w:num w:numId="6">
    <w:abstractNumId w:val="0"/>
  </w:num>
  <w:num w:numId="7">
    <w:abstractNumId w:val="10"/>
  </w:num>
  <w:num w:numId="8">
    <w:abstractNumId w:val="5"/>
  </w:num>
  <w:num w:numId="9">
    <w:abstractNumId w:val="9"/>
  </w:num>
  <w:num w:numId="10">
    <w:abstractNumId w:val="20"/>
  </w:num>
  <w:num w:numId="11">
    <w:abstractNumId w:val="1"/>
  </w:num>
  <w:num w:numId="12">
    <w:abstractNumId w:val="3"/>
  </w:num>
  <w:num w:numId="13">
    <w:abstractNumId w:val="15"/>
  </w:num>
  <w:num w:numId="14">
    <w:abstractNumId w:val="4"/>
  </w:num>
  <w:num w:numId="15">
    <w:abstractNumId w:val="14"/>
  </w:num>
  <w:num w:numId="16">
    <w:abstractNumId w:val="8"/>
  </w:num>
  <w:num w:numId="17">
    <w:abstractNumId w:val="7"/>
  </w:num>
  <w:num w:numId="18">
    <w:abstractNumId w:val="11"/>
  </w:num>
  <w:num w:numId="19">
    <w:abstractNumId w:val="23"/>
  </w:num>
  <w:num w:numId="20">
    <w:abstractNumId w:val="22"/>
  </w:num>
  <w:num w:numId="21">
    <w:abstractNumId w:val="2"/>
  </w:num>
  <w:num w:numId="22">
    <w:abstractNumId w:val="2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00E9F"/>
    <w:rsid w:val="00075772"/>
    <w:rsid w:val="0009495B"/>
    <w:rsid w:val="000A7BB8"/>
    <w:rsid w:val="000B2E41"/>
    <w:rsid w:val="000C26CC"/>
    <w:rsid w:val="001216E3"/>
    <w:rsid w:val="00153B53"/>
    <w:rsid w:val="0016703F"/>
    <w:rsid w:val="001923B1"/>
    <w:rsid w:val="001A46FA"/>
    <w:rsid w:val="001D6DD8"/>
    <w:rsid w:val="001E56B4"/>
    <w:rsid w:val="00207081"/>
    <w:rsid w:val="00224C37"/>
    <w:rsid w:val="0024650F"/>
    <w:rsid w:val="00256A9A"/>
    <w:rsid w:val="002711A8"/>
    <w:rsid w:val="00354BCD"/>
    <w:rsid w:val="0037611C"/>
    <w:rsid w:val="003928B2"/>
    <w:rsid w:val="003D6689"/>
    <w:rsid w:val="003F204E"/>
    <w:rsid w:val="00406912"/>
    <w:rsid w:val="004763B0"/>
    <w:rsid w:val="00477E01"/>
    <w:rsid w:val="004D182E"/>
    <w:rsid w:val="005936B5"/>
    <w:rsid w:val="005B714B"/>
    <w:rsid w:val="005C08A5"/>
    <w:rsid w:val="005E079F"/>
    <w:rsid w:val="006104F5"/>
    <w:rsid w:val="006255D9"/>
    <w:rsid w:val="00641DDE"/>
    <w:rsid w:val="0067525A"/>
    <w:rsid w:val="00702EF7"/>
    <w:rsid w:val="00702F2F"/>
    <w:rsid w:val="007475E7"/>
    <w:rsid w:val="007C0564"/>
    <w:rsid w:val="007C088B"/>
    <w:rsid w:val="007C4C0D"/>
    <w:rsid w:val="007D131B"/>
    <w:rsid w:val="008201D8"/>
    <w:rsid w:val="00857B82"/>
    <w:rsid w:val="008631DB"/>
    <w:rsid w:val="00864828"/>
    <w:rsid w:val="00871EC2"/>
    <w:rsid w:val="008753B5"/>
    <w:rsid w:val="008D07AF"/>
    <w:rsid w:val="009224EE"/>
    <w:rsid w:val="00933E5B"/>
    <w:rsid w:val="009D64BC"/>
    <w:rsid w:val="009E36A3"/>
    <w:rsid w:val="009E5DBE"/>
    <w:rsid w:val="009F4C96"/>
    <w:rsid w:val="00A026C1"/>
    <w:rsid w:val="00A7195C"/>
    <w:rsid w:val="00A758D8"/>
    <w:rsid w:val="00AA2F83"/>
    <w:rsid w:val="00AB57E6"/>
    <w:rsid w:val="00AC05B3"/>
    <w:rsid w:val="00B878B7"/>
    <w:rsid w:val="00B93530"/>
    <w:rsid w:val="00B944FA"/>
    <w:rsid w:val="00BD1FAA"/>
    <w:rsid w:val="00BD70B0"/>
    <w:rsid w:val="00BE6CD1"/>
    <w:rsid w:val="00C017ED"/>
    <w:rsid w:val="00C13A61"/>
    <w:rsid w:val="00C65E4E"/>
    <w:rsid w:val="00D251CA"/>
    <w:rsid w:val="00D84328"/>
    <w:rsid w:val="00D965CF"/>
    <w:rsid w:val="00DC1CB3"/>
    <w:rsid w:val="00DD60C0"/>
    <w:rsid w:val="00E36AB4"/>
    <w:rsid w:val="00E505E3"/>
    <w:rsid w:val="00E67BF8"/>
    <w:rsid w:val="00E73F14"/>
    <w:rsid w:val="00F4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numbering" w:customStyle="1" w:styleId="Artibuslist">
    <w:name w:val="Artibus list"/>
    <w:uiPriority w:val="99"/>
    <w:rsid w:val="000A7BB8"/>
    <w:pPr>
      <w:numPr>
        <w:numId w:val="14"/>
      </w:numPr>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0A7BB8"/>
    <w:rPr>
      <w:rFonts w:ascii="Calibri" w:hAnsi="Calibri" w:cs="Times New Roman"/>
      <w:color w:val="262626" w:themeColor="text1" w:themeTint="D9"/>
      <w:sz w:val="22"/>
      <w:lang w:val="en-US"/>
    </w:rPr>
  </w:style>
  <w:style w:type="paragraph" w:styleId="FootnoteText">
    <w:name w:val="footnote text"/>
    <w:basedOn w:val="Normal"/>
    <w:link w:val="FootnoteTextChar"/>
    <w:uiPriority w:val="99"/>
    <w:semiHidden/>
    <w:unhideWhenUsed/>
    <w:rsid w:val="007C4C0D"/>
    <w:rPr>
      <w:rFonts w:asciiTheme="minorHAnsi" w:eastAsiaTheme="minorHAnsi" w:hAnsiTheme="minorHAnsi" w:cstheme="minorHAnsi"/>
      <w:color w:val="auto"/>
      <w:sz w:val="20"/>
      <w:szCs w:val="20"/>
      <w:lang w:val="en-AU" w:eastAsia="en-AU"/>
    </w:rPr>
  </w:style>
  <w:style w:type="character" w:customStyle="1" w:styleId="FootnoteTextChar">
    <w:name w:val="Footnote Text Char"/>
    <w:basedOn w:val="DefaultParagraphFont"/>
    <w:link w:val="FootnoteText"/>
    <w:uiPriority w:val="99"/>
    <w:semiHidden/>
    <w:rsid w:val="007C4C0D"/>
    <w:rPr>
      <w:rFonts w:eastAsiaTheme="minorHAnsi" w:cstheme="minorHAnsi"/>
      <w:sz w:val="20"/>
      <w:szCs w:val="20"/>
      <w:lang w:val="en-AU" w:eastAsia="en-AU"/>
    </w:rPr>
  </w:style>
  <w:style w:type="character" w:styleId="FootnoteReference">
    <w:name w:val="footnote reference"/>
    <w:basedOn w:val="DefaultParagraphFont"/>
    <w:uiPriority w:val="99"/>
    <w:semiHidden/>
    <w:unhideWhenUsed/>
    <w:rsid w:val="007C4C0D"/>
    <w:rPr>
      <w:vertAlign w:val="superscript"/>
    </w:rPr>
  </w:style>
  <w:style w:type="character" w:styleId="Hyperlink">
    <w:name w:val="Hyperlink"/>
    <w:basedOn w:val="DefaultParagraphFont"/>
    <w:uiPriority w:val="99"/>
    <w:unhideWhenUsed/>
    <w:rsid w:val="007C4C0D"/>
    <w:rPr>
      <w:color w:val="0000FF"/>
      <w:u w:val="single"/>
    </w:rPr>
  </w:style>
  <w:style w:type="paragraph" w:styleId="BalloonText">
    <w:name w:val="Balloon Text"/>
    <w:basedOn w:val="Normal"/>
    <w:link w:val="BalloonTextChar"/>
    <w:uiPriority w:val="99"/>
    <w:semiHidden/>
    <w:unhideWhenUsed/>
    <w:rsid w:val="005C08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8A5"/>
    <w:rPr>
      <w:rFonts w:ascii="Segoe UI" w:hAnsi="Segoe UI" w:cs="Segoe UI"/>
      <w:color w:val="262626" w:themeColor="text1" w:themeTint="D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security.gov.au/Media-and-publications/Publications/Documents/Australias-Strategy-Protecting-Crowded-Places-Terrorism.pdf" TargetMode="External"/><Relationship Id="rId1" Type="http://schemas.openxmlformats.org/officeDocument/2006/relationships/hyperlink" Target="https://www.nationalsecurity.gov.au/Media-and-publications/Publications/Documents/Australias-Strategy-Protecting-Crowded-Places-Terror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7174-ABB8-4299-A480-9D0F3CEC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Wendy</cp:lastModifiedBy>
  <cp:revision>2</cp:revision>
  <dcterms:created xsi:type="dcterms:W3CDTF">2018-09-05T05:30:00Z</dcterms:created>
  <dcterms:modified xsi:type="dcterms:W3CDTF">2018-09-05T05:30:00Z</dcterms:modified>
</cp:coreProperties>
</file>