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44981FC4" w14:textId="6B73CA26" w:rsidR="00D84328" w:rsidRPr="00D84328" w:rsidRDefault="00AA2F83" w:rsidP="00D84328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Technical Security</w:t>
      </w:r>
      <w:r w:rsidR="00C13A61">
        <w:rPr>
          <w:color w:val="FFFFFF" w:themeColor="background1"/>
          <w:sz w:val="36"/>
        </w:rPr>
        <w:t xml:space="preserve"> </w:t>
      </w:r>
      <w:r w:rsidR="00D84328" w:rsidRPr="00D84328">
        <w:rPr>
          <w:color w:val="FFFFFF" w:themeColor="background1"/>
          <w:sz w:val="36"/>
        </w:rPr>
        <w:t xml:space="preserve">Project </w:t>
      </w:r>
      <w:r w:rsidR="002711A8">
        <w:rPr>
          <w:color w:val="FFFFFF" w:themeColor="background1"/>
          <w:sz w:val="36"/>
        </w:rPr>
        <w:t xml:space="preserve">Brief – 1 </w:t>
      </w:r>
      <w:r w:rsidR="000E2EE9">
        <w:rPr>
          <w:color w:val="FFFFFF" w:themeColor="background1"/>
          <w:sz w:val="36"/>
        </w:rPr>
        <w:tab/>
      </w:r>
      <w:r w:rsidR="000E2EE9">
        <w:rPr>
          <w:color w:val="FFFFFF" w:themeColor="background1"/>
          <w:sz w:val="36"/>
        </w:rPr>
        <w:tab/>
        <w:t xml:space="preserve">      September 2018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1985B7EE" w:rsidR="00D84328" w:rsidRPr="0037611C" w:rsidRDefault="00D84328" w:rsidP="0037611C">
      <w:pPr>
        <w:pStyle w:val="Heading1"/>
      </w:pPr>
      <w:r w:rsidRPr="0037611C">
        <w:t xml:space="preserve">Project Scope </w:t>
      </w:r>
    </w:p>
    <w:p w14:paraId="6E8A1DF0" w14:textId="7C9F443A" w:rsidR="00D84328" w:rsidRDefault="00D84328" w:rsidP="00D84328">
      <w:pPr>
        <w:rPr>
          <w:lang w:val="en-AU"/>
        </w:rPr>
      </w:pPr>
      <w:r w:rsidRPr="00D84328">
        <w:rPr>
          <w:lang w:val="en-AU"/>
        </w:rPr>
        <w:t xml:space="preserve">On behalf of the </w:t>
      </w:r>
      <w:r w:rsidR="00BD1FAA">
        <w:rPr>
          <w:lang w:val="en-AU"/>
        </w:rPr>
        <w:t>Property</w:t>
      </w:r>
      <w:r w:rsidRPr="00D84328">
        <w:rPr>
          <w:lang w:val="en-AU"/>
        </w:rPr>
        <w:t xml:space="preserve"> Services IRC, </w:t>
      </w:r>
      <w:r>
        <w:rPr>
          <w:lang w:val="en-AU"/>
        </w:rPr>
        <w:t>Artibus Innovation is</w:t>
      </w:r>
      <w:r w:rsidR="00C65E4E">
        <w:rPr>
          <w:lang w:val="en-AU"/>
        </w:rPr>
        <w:t xml:space="preserve"> </w:t>
      </w:r>
      <w:r>
        <w:rPr>
          <w:lang w:val="en-AU"/>
        </w:rPr>
        <w:t>reviewing and</w:t>
      </w:r>
      <w:r w:rsidRPr="00D84328">
        <w:rPr>
          <w:lang w:val="en-AU"/>
        </w:rPr>
        <w:t xml:space="preserve"> updating </w:t>
      </w:r>
      <w:r w:rsidR="00C65E4E">
        <w:rPr>
          <w:lang w:val="en-AU"/>
        </w:rPr>
        <w:t xml:space="preserve">the </w:t>
      </w:r>
      <w:r w:rsidR="00C13A61">
        <w:rPr>
          <w:lang w:val="en-AU"/>
        </w:rPr>
        <w:t xml:space="preserve">following </w:t>
      </w:r>
      <w:r w:rsidR="005B714B">
        <w:rPr>
          <w:lang w:val="en-AU"/>
        </w:rPr>
        <w:t xml:space="preserve">2 </w:t>
      </w:r>
      <w:r w:rsidR="00C13A61">
        <w:rPr>
          <w:lang w:val="en-AU"/>
        </w:rPr>
        <w:t>qualifications</w:t>
      </w:r>
      <w:r w:rsidR="005B714B">
        <w:rPr>
          <w:lang w:val="en-AU"/>
        </w:rPr>
        <w:t xml:space="preserve"> and 31 CPPSEC units of competency</w:t>
      </w:r>
      <w:r w:rsidR="00C13A61">
        <w:rPr>
          <w:lang w:val="en-AU"/>
        </w:rPr>
        <w:t>:</w:t>
      </w:r>
    </w:p>
    <w:p w14:paraId="6DD3E1EC" w14:textId="748F1B29" w:rsidR="00224C37" w:rsidRDefault="00224C37" w:rsidP="00D84328">
      <w:pPr>
        <w:rPr>
          <w:lang w:val="en-AU"/>
        </w:rPr>
      </w:pPr>
    </w:p>
    <w:tbl>
      <w:tblPr>
        <w:tblStyle w:val="TableGrid"/>
        <w:tblW w:w="8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C13A61" w:rsidRPr="00626556" w14:paraId="2F278DAE" w14:textId="77777777" w:rsidTr="005B714B">
        <w:tc>
          <w:tcPr>
            <w:tcW w:w="8375" w:type="dxa"/>
            <w:shd w:val="clear" w:color="auto" w:fill="auto"/>
            <w:vAlign w:val="center"/>
          </w:tcPr>
          <w:p w14:paraId="0FDD12D1" w14:textId="77777777" w:rsidR="00C13A61" w:rsidRPr="00626556" w:rsidRDefault="00C13A61" w:rsidP="00C13A61">
            <w:pPr>
              <w:pStyle w:val="ListParagraph"/>
              <w:numPr>
                <w:ilvl w:val="0"/>
                <w:numId w:val="22"/>
              </w:numPr>
            </w:pPr>
            <w:bookmarkStart w:id="0" w:name="_GoBack"/>
            <w:bookmarkEnd w:id="0"/>
            <w:r w:rsidRPr="00626556">
              <w:t xml:space="preserve">CPP20307 </w:t>
            </w:r>
            <w:r w:rsidRPr="00C13A61">
              <w:rPr>
                <w:color w:val="auto"/>
              </w:rPr>
              <w:t>Certificate II in Technical Security</w:t>
            </w:r>
          </w:p>
        </w:tc>
      </w:tr>
      <w:tr w:rsidR="00C13A61" w14:paraId="2948AC43" w14:textId="77777777" w:rsidTr="005B714B">
        <w:tc>
          <w:tcPr>
            <w:tcW w:w="8375" w:type="dxa"/>
            <w:vAlign w:val="center"/>
          </w:tcPr>
          <w:p w14:paraId="1B731711" w14:textId="77777777" w:rsidR="00C13A61" w:rsidRDefault="00C13A61" w:rsidP="00C13A61">
            <w:pPr>
              <w:pStyle w:val="ListParagraph"/>
              <w:numPr>
                <w:ilvl w:val="0"/>
                <w:numId w:val="22"/>
              </w:numPr>
            </w:pPr>
            <w:r w:rsidRPr="00C13A61">
              <w:rPr>
                <w:rFonts w:cs="Arial"/>
                <w:color w:val="auto"/>
              </w:rPr>
              <w:t xml:space="preserve">CPP30507 </w:t>
            </w:r>
            <w:r w:rsidRPr="00C13A61">
              <w:rPr>
                <w:color w:val="auto"/>
              </w:rPr>
              <w:t>Certificate III in Technical Security</w:t>
            </w:r>
          </w:p>
        </w:tc>
      </w:tr>
    </w:tbl>
    <w:p w14:paraId="2A656B96" w14:textId="77777777" w:rsidR="00C13A61" w:rsidRPr="00D84328" w:rsidRDefault="00C13A61" w:rsidP="00D84328">
      <w:pPr>
        <w:rPr>
          <w:lang w:val="en-AU"/>
        </w:rPr>
      </w:pPr>
    </w:p>
    <w:p w14:paraId="1AB5C03D" w14:textId="7D54A574" w:rsidR="00D84328" w:rsidRDefault="003928B2" w:rsidP="0037611C">
      <w:pPr>
        <w:pStyle w:val="Heading1"/>
      </w:pPr>
      <w:bookmarkStart w:id="1" w:name="_Toc475695374"/>
      <w:bookmarkStart w:id="2" w:name="_Toc475695482"/>
      <w:bookmarkStart w:id="3" w:name="_Toc475972867"/>
      <w:bookmarkStart w:id="4" w:name="_Toc475972963"/>
      <w:bookmarkStart w:id="5" w:name="_Toc482092938"/>
      <w:bookmarkStart w:id="6" w:name="_Toc485194391"/>
      <w:bookmarkStart w:id="7" w:name="_Toc497142357"/>
      <w:bookmarkStart w:id="8" w:name="_Toc498336450"/>
      <w:bookmarkStart w:id="9" w:name="_Toc522023262"/>
      <w:r w:rsidRPr="004763B0">
        <w:t xml:space="preserve">Project </w:t>
      </w:r>
      <w:r w:rsidR="00D84328" w:rsidRPr="004763B0">
        <w:t>Summary</w:t>
      </w:r>
    </w:p>
    <w:p w14:paraId="335C4110" w14:textId="678F66EC" w:rsidR="008753B5" w:rsidRDefault="008753B5" w:rsidP="008753B5">
      <w:pPr>
        <w:rPr>
          <w:lang w:val="en-AU"/>
        </w:rPr>
      </w:pPr>
      <w:r>
        <w:rPr>
          <w:lang w:val="en-AU"/>
        </w:rPr>
        <w:t xml:space="preserve">The </w:t>
      </w:r>
      <w:r w:rsidR="00C65E4E">
        <w:rPr>
          <w:lang w:val="en-AU"/>
        </w:rPr>
        <w:t>Property Services</w:t>
      </w:r>
      <w:r>
        <w:rPr>
          <w:lang w:val="en-AU"/>
        </w:rPr>
        <w:t xml:space="preserve"> IRC is updating the</w:t>
      </w:r>
      <w:r w:rsidR="00C65E4E">
        <w:rPr>
          <w:lang w:val="en-AU"/>
        </w:rPr>
        <w:t xml:space="preserve"> </w:t>
      </w:r>
      <w:r w:rsidR="00C13A61">
        <w:rPr>
          <w:lang w:val="en-AU"/>
        </w:rPr>
        <w:t xml:space="preserve">suite of security qualifications in the CPP training package to align with changes in technology, crime prevention platforms such as closed circuit television (CCTV), and online security platforms and </w:t>
      </w:r>
      <w:r w:rsidR="00AB57E6">
        <w:rPr>
          <w:lang w:val="en-AU"/>
        </w:rPr>
        <w:t xml:space="preserve">to transition the components to the </w:t>
      </w:r>
      <w:r w:rsidR="00AB57E6" w:rsidRPr="00C65E4E">
        <w:rPr>
          <w:i/>
          <w:lang w:val="en-AU"/>
        </w:rPr>
        <w:t>Standards for Training Packages 2012</w:t>
      </w:r>
      <w:r w:rsidR="00AB57E6">
        <w:rPr>
          <w:lang w:val="en-AU"/>
        </w:rPr>
        <w:t>.</w:t>
      </w:r>
    </w:p>
    <w:p w14:paraId="56EFA1AA" w14:textId="6FDD7A39" w:rsidR="00207081" w:rsidRDefault="00207081" w:rsidP="008753B5">
      <w:pPr>
        <w:rPr>
          <w:lang w:val="en-AU"/>
        </w:rPr>
      </w:pPr>
    </w:p>
    <w:p w14:paraId="7E1A5A91" w14:textId="65BEEE71" w:rsidR="00C13A61" w:rsidRPr="008A485F" w:rsidRDefault="00C13A61" w:rsidP="00C13A61">
      <w:pPr>
        <w:spacing w:line="276" w:lineRule="auto"/>
        <w:rPr>
          <w:b/>
          <w:color w:val="auto"/>
          <w:sz w:val="24"/>
        </w:rPr>
      </w:pPr>
      <w:r>
        <w:rPr>
          <w:color w:val="auto"/>
        </w:rPr>
        <w:t>T</w:t>
      </w:r>
      <w:r w:rsidRPr="008A485F">
        <w:rPr>
          <w:color w:val="auto"/>
        </w:rPr>
        <w:t xml:space="preserve">he security services industry is projected to grow over the next 5 years. In response to this, Artibus Innovation </w:t>
      </w:r>
      <w:r>
        <w:rPr>
          <w:color w:val="auto"/>
        </w:rPr>
        <w:t>will</w:t>
      </w:r>
      <w:r w:rsidRPr="008A485F">
        <w:rPr>
          <w:color w:val="auto"/>
        </w:rPr>
        <w:t xml:space="preserve"> review and update </w:t>
      </w:r>
      <w:r w:rsidRPr="008A485F">
        <w:rPr>
          <w:rFonts w:cs="Arial"/>
          <w:color w:val="auto"/>
        </w:rPr>
        <w:t xml:space="preserve">the security qualifications listed. The </w:t>
      </w:r>
      <w:r w:rsidRPr="008A485F">
        <w:rPr>
          <w:color w:val="auto"/>
        </w:rPr>
        <w:t xml:space="preserve">Certificate III in Technical Security has declining levels of enrolment since 2014, which will be </w:t>
      </w:r>
      <w:r w:rsidRPr="008A485F">
        <w:rPr>
          <w:rFonts w:cs="Arial"/>
          <w:color w:val="auto"/>
        </w:rPr>
        <w:t xml:space="preserve">considered </w:t>
      </w:r>
      <w:proofErr w:type="gramStart"/>
      <w:r w:rsidRPr="008A485F">
        <w:rPr>
          <w:rFonts w:cs="Arial"/>
          <w:color w:val="auto"/>
        </w:rPr>
        <w:t>in regard</w:t>
      </w:r>
      <w:r>
        <w:rPr>
          <w:rFonts w:cs="Arial"/>
          <w:color w:val="auto"/>
        </w:rPr>
        <w:t xml:space="preserve"> to</w:t>
      </w:r>
      <w:proofErr w:type="gramEnd"/>
      <w:r w:rsidRPr="008A485F">
        <w:rPr>
          <w:rFonts w:cs="Arial"/>
          <w:color w:val="auto"/>
        </w:rPr>
        <w:t xml:space="preserve"> deletion or retention of this qualification.  </w:t>
      </w:r>
    </w:p>
    <w:p w14:paraId="1EA6BFD7" w14:textId="505D084D" w:rsidR="00C13A61" w:rsidRDefault="00C13A61" w:rsidP="008753B5">
      <w:pPr>
        <w:rPr>
          <w:lang w:val="en-AU"/>
        </w:rPr>
      </w:pPr>
    </w:p>
    <w:p w14:paraId="1C1464B1" w14:textId="41B4C346" w:rsidR="00C13A61" w:rsidRDefault="00C13A61" w:rsidP="008753B5">
      <w:pPr>
        <w:rPr>
          <w:lang w:val="en-AU"/>
        </w:rPr>
      </w:pPr>
      <w:r>
        <w:rPr>
          <w:color w:val="auto"/>
        </w:rPr>
        <w:t>T</w:t>
      </w:r>
      <w:r w:rsidRPr="003742BE">
        <w:rPr>
          <w:color w:val="auto"/>
        </w:rPr>
        <w:t xml:space="preserve">echnology is increasingly playing a key role in crime prevention, as closed-circuit </w:t>
      </w:r>
      <w:r w:rsidRPr="00292AFC">
        <w:rPr>
          <w:color w:val="auto"/>
        </w:rPr>
        <w:t xml:space="preserve">television (CCTV) and online security platforms become more commonplace. </w:t>
      </w:r>
      <w:r>
        <w:rPr>
          <w:color w:val="auto"/>
        </w:rPr>
        <w:t xml:space="preserve">Due to this, qualifications listed will need to be reviewed against the skills and knowledge needed to operate, install and maintain these technologies. </w:t>
      </w:r>
    </w:p>
    <w:p w14:paraId="1E67E785" w14:textId="77777777" w:rsidR="008753B5" w:rsidRPr="008753B5" w:rsidRDefault="008753B5" w:rsidP="008753B5">
      <w:pPr>
        <w:rPr>
          <w:lang w:val="en-AU"/>
        </w:rPr>
      </w:pPr>
    </w:p>
    <w:p w14:paraId="4F0E73A5" w14:textId="1BD4C868" w:rsidR="00D84328" w:rsidRDefault="005B714B" w:rsidP="00D84328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D84328">
        <w:rPr>
          <w:color w:val="000000" w:themeColor="text1"/>
        </w:rPr>
        <w:t xml:space="preserve"> Technical Advisory Group</w:t>
      </w:r>
      <w:r w:rsidR="00C13A61">
        <w:rPr>
          <w:color w:val="000000" w:themeColor="text1"/>
        </w:rPr>
        <w:t>s</w:t>
      </w:r>
      <w:r w:rsidR="00D84328">
        <w:rPr>
          <w:color w:val="000000" w:themeColor="text1"/>
        </w:rPr>
        <w:t xml:space="preserve"> (TAG) </w:t>
      </w:r>
      <w:r w:rsidR="00C13A61">
        <w:rPr>
          <w:color w:val="000000" w:themeColor="text1"/>
        </w:rPr>
        <w:t>ha</w:t>
      </w:r>
      <w:r>
        <w:rPr>
          <w:color w:val="000000" w:themeColor="text1"/>
        </w:rPr>
        <w:t>s</w:t>
      </w:r>
      <w:r w:rsidR="00C13A61">
        <w:rPr>
          <w:color w:val="000000" w:themeColor="text1"/>
        </w:rPr>
        <w:t xml:space="preserve"> been</w:t>
      </w:r>
      <w:r w:rsidR="00D84328">
        <w:rPr>
          <w:color w:val="000000" w:themeColor="text1"/>
        </w:rPr>
        <w:t xml:space="preserve"> established to provide key input on the:</w:t>
      </w:r>
    </w:p>
    <w:p w14:paraId="27349A23" w14:textId="77777777" w:rsidR="00D84328" w:rsidRDefault="00D84328" w:rsidP="00D84328">
      <w:pPr>
        <w:rPr>
          <w:color w:val="000000" w:themeColor="text1"/>
        </w:rPr>
      </w:pPr>
    </w:p>
    <w:p w14:paraId="2CBF17F6" w14:textId="2D5F385D" w:rsidR="00D84328" w:rsidRDefault="009E5DBE" w:rsidP="00D8432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7C0564">
        <w:rPr>
          <w:color w:val="000000" w:themeColor="text1"/>
        </w:rPr>
        <w:t xml:space="preserve">uitability of </w:t>
      </w:r>
      <w:r w:rsidR="00D84328">
        <w:rPr>
          <w:color w:val="000000" w:themeColor="text1"/>
        </w:rPr>
        <w:t>p</w:t>
      </w:r>
      <w:r w:rsidR="00D84328" w:rsidRPr="00D84328">
        <w:rPr>
          <w:color w:val="000000" w:themeColor="text1"/>
        </w:rPr>
        <w:t xml:space="preserve">ackaging </w:t>
      </w:r>
      <w:r w:rsidR="00D84328">
        <w:rPr>
          <w:color w:val="000000" w:themeColor="text1"/>
        </w:rPr>
        <w:t xml:space="preserve">of </w:t>
      </w:r>
      <w:r w:rsidR="005B714B">
        <w:rPr>
          <w:color w:val="000000" w:themeColor="text1"/>
        </w:rPr>
        <w:t>the</w:t>
      </w:r>
      <w:r w:rsidR="00D84328">
        <w:rPr>
          <w:color w:val="000000" w:themeColor="text1"/>
        </w:rPr>
        <w:t xml:space="preserve"> qualification</w:t>
      </w:r>
      <w:r w:rsidR="005B714B">
        <w:rPr>
          <w:color w:val="000000" w:themeColor="text1"/>
        </w:rPr>
        <w:t>s</w:t>
      </w:r>
    </w:p>
    <w:p w14:paraId="35BD3525" w14:textId="26625D7B" w:rsidR="00207081" w:rsidRPr="00D84328" w:rsidRDefault="00207081" w:rsidP="00D8432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the requirement for the </w:t>
      </w:r>
      <w:r w:rsidR="005B714B">
        <w:rPr>
          <w:color w:val="000000" w:themeColor="text1"/>
        </w:rPr>
        <w:t>keeping or deleting</w:t>
      </w:r>
      <w:r>
        <w:rPr>
          <w:color w:val="000000" w:themeColor="text1"/>
        </w:rPr>
        <w:t xml:space="preserve"> of Certificate I</w:t>
      </w:r>
      <w:r w:rsidR="005B714B">
        <w:rPr>
          <w:color w:val="000000" w:themeColor="text1"/>
        </w:rPr>
        <w:t>II in Technical Security</w:t>
      </w:r>
    </w:p>
    <w:p w14:paraId="7D68D224" w14:textId="1348D800" w:rsidR="00D84328" w:rsidRDefault="009E5DBE" w:rsidP="00D8432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="00D84328" w:rsidRPr="00D84328">
        <w:rPr>
          <w:color w:val="000000" w:themeColor="text1"/>
        </w:rPr>
        <w:t xml:space="preserve">nit </w:t>
      </w:r>
      <w:r w:rsidR="00D84328">
        <w:rPr>
          <w:color w:val="000000" w:themeColor="text1"/>
        </w:rPr>
        <w:t>relevancy and content.</w:t>
      </w:r>
    </w:p>
    <w:p w14:paraId="6C933331" w14:textId="33E18E70" w:rsidR="008753B5" w:rsidRDefault="008753B5" w:rsidP="008753B5">
      <w:pPr>
        <w:rPr>
          <w:color w:val="000000" w:themeColor="text1"/>
        </w:rPr>
      </w:pPr>
    </w:p>
    <w:p w14:paraId="6F223A66" w14:textId="724F56BB" w:rsidR="008753B5" w:rsidRPr="008753B5" w:rsidRDefault="005B714B" w:rsidP="008753B5">
      <w:pPr>
        <w:rPr>
          <w:color w:val="000000" w:themeColor="text1"/>
        </w:rPr>
      </w:pPr>
      <w:r>
        <w:rPr>
          <w:color w:val="000000" w:themeColor="text1"/>
        </w:rPr>
        <w:t>The Technical Advisory Group held its first meeting in late August 2018.</w:t>
      </w:r>
    </w:p>
    <w:p w14:paraId="56447C91" w14:textId="26480F2B" w:rsidR="00E67BF8" w:rsidRDefault="00E67BF8" w:rsidP="006104F5">
      <w:pPr>
        <w:rPr>
          <w:lang w:val="en-AU"/>
        </w:rPr>
      </w:pPr>
    </w:p>
    <w:p w14:paraId="664572BA" w14:textId="44C242EF" w:rsidR="003928B2" w:rsidRDefault="004763B0" w:rsidP="0037611C">
      <w:pPr>
        <w:pStyle w:val="Heading1"/>
      </w:pPr>
      <w:r>
        <w:t>Key points</w:t>
      </w:r>
    </w:p>
    <w:p w14:paraId="582DB800" w14:textId="4D42C3E5" w:rsidR="00207081" w:rsidRPr="00A71303" w:rsidRDefault="00207081" w:rsidP="00207081">
      <w:pPr>
        <w:pStyle w:val="ListParagraph"/>
        <w:numPr>
          <w:ilvl w:val="0"/>
          <w:numId w:val="21"/>
        </w:numPr>
        <w:spacing w:before="120" w:after="120" w:line="288" w:lineRule="auto"/>
      </w:pPr>
      <w:r w:rsidRPr="00A71303">
        <w:rPr>
          <w:rFonts w:cs="Arial"/>
          <w:lang w:eastAsia="en-AU"/>
        </w:rPr>
        <w:t>Through review and update, consideration will be given to vocational alignment and AQF level of the units and qualification</w:t>
      </w:r>
      <w:r>
        <w:rPr>
          <w:rFonts w:cs="Arial"/>
          <w:lang w:eastAsia="en-AU"/>
        </w:rPr>
        <w:t>.</w:t>
      </w:r>
    </w:p>
    <w:p w14:paraId="1A037349" w14:textId="4E8A4CDB" w:rsidR="00207081" w:rsidRPr="00207081" w:rsidRDefault="00207081" w:rsidP="00207081">
      <w:pPr>
        <w:pStyle w:val="ListParagraph"/>
        <w:numPr>
          <w:ilvl w:val="0"/>
          <w:numId w:val="21"/>
        </w:numPr>
        <w:rPr>
          <w:rFonts w:cs="Arial"/>
          <w:lang w:eastAsia="en-AU"/>
        </w:rPr>
      </w:pPr>
      <w:r w:rsidRPr="00207081">
        <w:rPr>
          <w:rFonts w:cs="Arial"/>
          <w:lang w:eastAsia="en-AU"/>
        </w:rPr>
        <w:t xml:space="preserve">Through review and update, the development of </w:t>
      </w:r>
      <w:r w:rsidR="005B714B">
        <w:rPr>
          <w:rFonts w:cs="Arial"/>
          <w:lang w:eastAsia="en-AU"/>
        </w:rPr>
        <w:t>skill sets will be considered.  The number necessary will be identified during the life of the project.</w:t>
      </w:r>
    </w:p>
    <w:p w14:paraId="43477219" w14:textId="0B656E3D" w:rsidR="00207081" w:rsidRDefault="00207081" w:rsidP="00207081">
      <w:pPr>
        <w:pStyle w:val="ListParagraph"/>
        <w:numPr>
          <w:ilvl w:val="0"/>
          <w:numId w:val="21"/>
        </w:numPr>
        <w:spacing w:line="276" w:lineRule="auto"/>
      </w:pPr>
      <w:r>
        <w:t xml:space="preserve">The qualifications in this project need to be updated to keep in line with current and future industry best practice.   </w:t>
      </w:r>
    </w:p>
    <w:p w14:paraId="23817A93" w14:textId="77777777" w:rsidR="00AB57E6" w:rsidRDefault="00AB57E6" w:rsidP="007C0564">
      <w:pPr>
        <w:rPr>
          <w:b/>
          <w:sz w:val="28"/>
        </w:rPr>
      </w:pPr>
      <w:bookmarkStart w:id="10" w:name="O_661071"/>
      <w:bookmarkStart w:id="11" w:name="O_661072"/>
      <w:bookmarkStart w:id="12" w:name="O_661073"/>
      <w:bookmarkStart w:id="13" w:name="O_6610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4DB2850" w14:textId="5A5A714C" w:rsidR="000A7BB8" w:rsidRDefault="00AB57E6" w:rsidP="009E36A3">
      <w:pPr>
        <w:pStyle w:val="Heading1"/>
      </w:pPr>
      <w:r w:rsidRPr="000A7BB8">
        <w:lastRenderedPageBreak/>
        <w:t>Consultation Plan</w:t>
      </w:r>
    </w:p>
    <w:p w14:paraId="3FC4680E" w14:textId="77777777" w:rsidR="000A7BB8" w:rsidRPr="005E5B10" w:rsidRDefault="000A7BB8" w:rsidP="000A7BB8">
      <w:r w:rsidRPr="005E5B10">
        <w:t xml:space="preserve">The key engagement methods </w:t>
      </w:r>
      <w:r>
        <w:t>will be</w:t>
      </w:r>
      <w:r w:rsidRPr="005E5B10">
        <w:t xml:space="preserve"> as follows:</w:t>
      </w:r>
    </w:p>
    <w:p w14:paraId="6CD8C530" w14:textId="5D056F04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a Te</w:t>
      </w:r>
      <w:r w:rsidRPr="005E5B10">
        <w:t>chnical Advisory Groups</w:t>
      </w:r>
      <w:r>
        <w:t xml:space="preserve"> (TAG)</w:t>
      </w:r>
      <w:r w:rsidRPr="005E5B10">
        <w:t xml:space="preserve"> will be established in accordance with internal policy and procedures to guide the subject matter e</w:t>
      </w:r>
      <w:r>
        <w:t>xpertise components of the work</w:t>
      </w:r>
    </w:p>
    <w:p w14:paraId="5311B60D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d</w:t>
      </w:r>
      <w:r w:rsidRPr="005E5B10">
        <w:t>irect correspondence with regulators</w:t>
      </w:r>
    </w:p>
    <w:p w14:paraId="6981F50D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d</w:t>
      </w:r>
      <w:r w:rsidRPr="005E5B10">
        <w:t>irect correspondence with State Training Authorities</w:t>
      </w:r>
    </w:p>
    <w:p w14:paraId="39A2D5E1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d</w:t>
      </w:r>
      <w:r w:rsidRPr="005E5B10">
        <w:t>irect correspondence with IRC and key stakeholders</w:t>
      </w:r>
    </w:p>
    <w:p w14:paraId="36F3F0A1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i</w:t>
      </w:r>
      <w:r w:rsidRPr="005E5B10">
        <w:t xml:space="preserve">ndustry associations and other stakeholders will be invited to capital city forums in </w:t>
      </w:r>
      <w:r>
        <w:t xml:space="preserve">all state/territories.  </w:t>
      </w:r>
      <w:r w:rsidRPr="005E5B10">
        <w:t>A copy of forums material will be published on the web</w:t>
      </w:r>
      <w:r>
        <w:t xml:space="preserve"> and an online forum will also be facilitated</w:t>
      </w:r>
    </w:p>
    <w:p w14:paraId="47632CCD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 w:rsidRPr="005E5B10">
        <w:t xml:space="preserve">RTOs will be engaged through online survey and trainer networks </w:t>
      </w:r>
    </w:p>
    <w:p w14:paraId="42BA85EB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p</w:t>
      </w:r>
      <w:r w:rsidRPr="005E5B10">
        <w:t>ublic web project page updated fortnightly</w:t>
      </w:r>
    </w:p>
    <w:p w14:paraId="08B07339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n</w:t>
      </w:r>
      <w:r w:rsidRPr="005E5B10">
        <w:t>ewsletter survey distribution to 4,200 stakeholders, including all RTOs, regulators, industry associations.  Minimum of three newsletter profiles</w:t>
      </w:r>
    </w:p>
    <w:p w14:paraId="744105EE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i</w:t>
      </w:r>
      <w:r w:rsidRPr="005E5B10">
        <w:t xml:space="preserve">ndustry survey on early and late draft material </w:t>
      </w:r>
    </w:p>
    <w:p w14:paraId="7D8D6C73" w14:textId="77777777" w:rsidR="000A7BB8" w:rsidRDefault="000A7BB8" w:rsidP="000A7BB8">
      <w:pPr>
        <w:pStyle w:val="ListParagraph"/>
        <w:numPr>
          <w:ilvl w:val="0"/>
          <w:numId w:val="16"/>
        </w:numPr>
      </w:pPr>
      <w:r>
        <w:t>d</w:t>
      </w:r>
      <w:r w:rsidRPr="005E5B10">
        <w:t>istribution of survey through TAG networks and Artibus digital channels</w:t>
      </w:r>
    </w:p>
    <w:p w14:paraId="37151B48" w14:textId="77777777" w:rsidR="000A7BB8" w:rsidRPr="000A7BB8" w:rsidRDefault="000A7BB8" w:rsidP="000A7BB8">
      <w:pPr>
        <w:rPr>
          <w:lang w:val="en-AU"/>
        </w:rPr>
      </w:pPr>
    </w:p>
    <w:p w14:paraId="3382240A" w14:textId="5A3314DF" w:rsidR="00AB57E6" w:rsidRDefault="000A7BB8" w:rsidP="000A7BB8">
      <w:pPr>
        <w:pStyle w:val="Heading1"/>
      </w:pPr>
      <w:r w:rsidRPr="000A7BB8">
        <w:t>Project Timeline</w:t>
      </w:r>
    </w:p>
    <w:p w14:paraId="74B49596" w14:textId="4EDB8EE2" w:rsidR="001E56B4" w:rsidRDefault="001E56B4" w:rsidP="001E56B4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7"/>
        <w:gridCol w:w="3189"/>
      </w:tblGrid>
      <w:tr w:rsidR="001E56B4" w14:paraId="737646F7" w14:textId="77777777" w:rsidTr="009E36A3">
        <w:tc>
          <w:tcPr>
            <w:tcW w:w="1129" w:type="dxa"/>
          </w:tcPr>
          <w:p w14:paraId="4AE60DB0" w14:textId="29AC9B4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1</w:t>
            </w:r>
          </w:p>
        </w:tc>
        <w:tc>
          <w:tcPr>
            <w:tcW w:w="5247" w:type="dxa"/>
          </w:tcPr>
          <w:p w14:paraId="76A7FA6B" w14:textId="227F119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Project commencement</w:t>
            </w:r>
          </w:p>
        </w:tc>
        <w:tc>
          <w:tcPr>
            <w:tcW w:w="3189" w:type="dxa"/>
          </w:tcPr>
          <w:p w14:paraId="253EC0C7" w14:textId="6FF19979" w:rsidR="001E56B4" w:rsidRDefault="003D29A9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August </w:t>
            </w:r>
            <w:r w:rsidR="001E56B4">
              <w:rPr>
                <w:lang w:val="en-AU"/>
              </w:rPr>
              <w:t>2018</w:t>
            </w:r>
          </w:p>
        </w:tc>
      </w:tr>
      <w:tr w:rsidR="001E56B4" w14:paraId="53AFD137" w14:textId="77777777" w:rsidTr="009E36A3">
        <w:tc>
          <w:tcPr>
            <w:tcW w:w="1129" w:type="dxa"/>
          </w:tcPr>
          <w:p w14:paraId="1B8D662C" w14:textId="18F1C705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2</w:t>
            </w:r>
          </w:p>
        </w:tc>
        <w:tc>
          <w:tcPr>
            <w:tcW w:w="5247" w:type="dxa"/>
          </w:tcPr>
          <w:p w14:paraId="1A9563F4" w14:textId="6C224B17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Round 1 of industry consultation and training package development</w:t>
            </w:r>
          </w:p>
        </w:tc>
        <w:tc>
          <w:tcPr>
            <w:tcW w:w="3189" w:type="dxa"/>
          </w:tcPr>
          <w:p w14:paraId="7028436E" w14:textId="3E2DBA6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October 2018</w:t>
            </w:r>
          </w:p>
        </w:tc>
      </w:tr>
      <w:tr w:rsidR="001E56B4" w14:paraId="720C0A98" w14:textId="77777777" w:rsidTr="009E36A3">
        <w:tc>
          <w:tcPr>
            <w:tcW w:w="1129" w:type="dxa"/>
          </w:tcPr>
          <w:p w14:paraId="1AFA075F" w14:textId="77777777" w:rsidR="001E56B4" w:rsidRDefault="001E56B4" w:rsidP="001E56B4">
            <w:pPr>
              <w:rPr>
                <w:lang w:val="en-AU"/>
              </w:rPr>
            </w:pPr>
          </w:p>
        </w:tc>
        <w:tc>
          <w:tcPr>
            <w:tcW w:w="5247" w:type="dxa"/>
          </w:tcPr>
          <w:p w14:paraId="04F97991" w14:textId="2697C217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Round 2 of industry consultation and training package development</w:t>
            </w:r>
          </w:p>
        </w:tc>
        <w:tc>
          <w:tcPr>
            <w:tcW w:w="3189" w:type="dxa"/>
          </w:tcPr>
          <w:p w14:paraId="71B97009" w14:textId="26B01ADE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November 2018 – January 2019</w:t>
            </w:r>
          </w:p>
        </w:tc>
      </w:tr>
      <w:tr w:rsidR="001E56B4" w14:paraId="2FE36251" w14:textId="77777777" w:rsidTr="009E36A3">
        <w:tc>
          <w:tcPr>
            <w:tcW w:w="1129" w:type="dxa"/>
          </w:tcPr>
          <w:p w14:paraId="52FF56D7" w14:textId="0306E276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3</w:t>
            </w:r>
          </w:p>
        </w:tc>
        <w:tc>
          <w:tcPr>
            <w:tcW w:w="5247" w:type="dxa"/>
          </w:tcPr>
          <w:p w14:paraId="28B3460E" w14:textId="7251DDAC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Validation consultation</w:t>
            </w:r>
          </w:p>
        </w:tc>
        <w:tc>
          <w:tcPr>
            <w:tcW w:w="3189" w:type="dxa"/>
          </w:tcPr>
          <w:p w14:paraId="009359A9" w14:textId="2726D910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January 2019</w:t>
            </w:r>
          </w:p>
        </w:tc>
      </w:tr>
      <w:tr w:rsidR="001E56B4" w14:paraId="5F8B50A4" w14:textId="77777777" w:rsidTr="009E36A3">
        <w:tc>
          <w:tcPr>
            <w:tcW w:w="1129" w:type="dxa"/>
          </w:tcPr>
          <w:p w14:paraId="413F8090" w14:textId="7DA668E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4</w:t>
            </w:r>
          </w:p>
        </w:tc>
        <w:tc>
          <w:tcPr>
            <w:tcW w:w="5247" w:type="dxa"/>
          </w:tcPr>
          <w:p w14:paraId="3C33F010" w14:textId="4DD42A71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Quality assurance phase</w:t>
            </w:r>
          </w:p>
        </w:tc>
        <w:tc>
          <w:tcPr>
            <w:tcW w:w="3189" w:type="dxa"/>
          </w:tcPr>
          <w:p w14:paraId="2F8D6C95" w14:textId="38EC5DC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February – March 2019</w:t>
            </w:r>
          </w:p>
        </w:tc>
      </w:tr>
      <w:tr w:rsidR="001E56B4" w14:paraId="736F1F50" w14:textId="77777777" w:rsidTr="009E36A3">
        <w:tc>
          <w:tcPr>
            <w:tcW w:w="1129" w:type="dxa"/>
          </w:tcPr>
          <w:p w14:paraId="7EA18C79" w14:textId="2BAB5998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5</w:t>
            </w:r>
          </w:p>
        </w:tc>
        <w:tc>
          <w:tcPr>
            <w:tcW w:w="5247" w:type="dxa"/>
          </w:tcPr>
          <w:p w14:paraId="1697098D" w14:textId="02B9A7E0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 endorsement</w:t>
            </w:r>
          </w:p>
        </w:tc>
        <w:tc>
          <w:tcPr>
            <w:tcW w:w="3189" w:type="dxa"/>
          </w:tcPr>
          <w:p w14:paraId="3B5628FC" w14:textId="3ED584A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April 2109</w:t>
            </w:r>
          </w:p>
        </w:tc>
      </w:tr>
      <w:tr w:rsidR="001E56B4" w14:paraId="115EEE87" w14:textId="77777777" w:rsidTr="009E36A3">
        <w:tc>
          <w:tcPr>
            <w:tcW w:w="1129" w:type="dxa"/>
          </w:tcPr>
          <w:p w14:paraId="0911431E" w14:textId="77777777" w:rsidR="001E56B4" w:rsidRDefault="001E56B4" w:rsidP="001E56B4">
            <w:pPr>
              <w:rPr>
                <w:lang w:val="en-AU"/>
              </w:rPr>
            </w:pPr>
          </w:p>
        </w:tc>
        <w:tc>
          <w:tcPr>
            <w:tcW w:w="5247" w:type="dxa"/>
          </w:tcPr>
          <w:p w14:paraId="76487D88" w14:textId="5783AC0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Case for Endorsement submitted to Department of Education and Training</w:t>
            </w:r>
          </w:p>
        </w:tc>
        <w:tc>
          <w:tcPr>
            <w:tcW w:w="3189" w:type="dxa"/>
          </w:tcPr>
          <w:p w14:paraId="5604CDFB" w14:textId="538DB68D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May 2019</w:t>
            </w:r>
          </w:p>
        </w:tc>
      </w:tr>
    </w:tbl>
    <w:p w14:paraId="58054373" w14:textId="77777777" w:rsidR="001E56B4" w:rsidRPr="001E56B4" w:rsidRDefault="001E56B4" w:rsidP="001E56B4">
      <w:pPr>
        <w:rPr>
          <w:lang w:val="en-AU"/>
        </w:rPr>
      </w:pPr>
    </w:p>
    <w:p w14:paraId="54552BBB" w14:textId="3545946A" w:rsidR="000A7BB8" w:rsidRDefault="000A7BB8" w:rsidP="000A7BB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</w:p>
    <w:p w14:paraId="3665C2A8" w14:textId="0738B363" w:rsidR="000A7BB8" w:rsidRPr="000A7BB8" w:rsidRDefault="000A7BB8" w:rsidP="000A7BB8">
      <w:pPr>
        <w:rPr>
          <w:lang w:val="en-AU"/>
        </w:rPr>
      </w:pPr>
    </w:p>
    <w:sectPr w:rsidR="000A7BB8" w:rsidRPr="000A7BB8" w:rsidSect="00933E5B">
      <w:footerReference w:type="default" r:id="rId9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03206" w14:textId="77777777" w:rsidR="00F933D0" w:rsidRDefault="00F933D0" w:rsidP="00D84328">
      <w:r>
        <w:separator/>
      </w:r>
    </w:p>
  </w:endnote>
  <w:endnote w:type="continuationSeparator" w:id="0">
    <w:p w14:paraId="2BCE96CD" w14:textId="77777777" w:rsidR="00F933D0" w:rsidRDefault="00F933D0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1AF7B4F8" w:rsidR="007C0564" w:rsidRPr="007C0564" w:rsidRDefault="005B714B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>Technical Security</w:t>
    </w:r>
    <w:r w:rsidR="009E36A3">
      <w:rPr>
        <w:color w:val="000000" w:themeColor="text1"/>
        <w:sz w:val="18"/>
      </w:rPr>
      <w:t xml:space="preserve"> Review</w:t>
    </w:r>
    <w:r w:rsidR="007C0564" w:rsidRPr="007C0564">
      <w:rPr>
        <w:color w:val="000000" w:themeColor="text1"/>
        <w:sz w:val="18"/>
      </w:rPr>
      <w:t xml:space="preserve"> Project Brief </w:t>
    </w:r>
    <w:r w:rsidR="00E73F14">
      <w:rPr>
        <w:color w:val="000000" w:themeColor="text1"/>
        <w:sz w:val="18"/>
      </w:rPr>
      <w:t xml:space="preserve">                                                              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DEED" w14:textId="77777777" w:rsidR="00F933D0" w:rsidRDefault="00F933D0" w:rsidP="00D84328">
      <w:r>
        <w:separator/>
      </w:r>
    </w:p>
  </w:footnote>
  <w:footnote w:type="continuationSeparator" w:id="0">
    <w:p w14:paraId="4B6AF78B" w14:textId="77777777" w:rsidR="00F933D0" w:rsidRDefault="00F933D0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574"/>
    <w:multiLevelType w:val="hybridMultilevel"/>
    <w:tmpl w:val="B4A4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631"/>
    <w:multiLevelType w:val="hybridMultilevel"/>
    <w:tmpl w:val="8A14BB9C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34C37"/>
    <w:multiLevelType w:val="hybridMultilevel"/>
    <w:tmpl w:val="4ECC4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6D68"/>
    <w:multiLevelType w:val="hybridMultilevel"/>
    <w:tmpl w:val="FEC68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06C7"/>
    <w:multiLevelType w:val="hybridMultilevel"/>
    <w:tmpl w:val="81481D00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8"/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00E9F"/>
    <w:rsid w:val="00075772"/>
    <w:rsid w:val="000A7BB8"/>
    <w:rsid w:val="000B2E41"/>
    <w:rsid w:val="000C26CC"/>
    <w:rsid w:val="000E2EE9"/>
    <w:rsid w:val="00104C97"/>
    <w:rsid w:val="001216E3"/>
    <w:rsid w:val="00153B53"/>
    <w:rsid w:val="001923B1"/>
    <w:rsid w:val="001D6DD8"/>
    <w:rsid w:val="001E56B4"/>
    <w:rsid w:val="00207081"/>
    <w:rsid w:val="00224C37"/>
    <w:rsid w:val="0024650F"/>
    <w:rsid w:val="00256A9A"/>
    <w:rsid w:val="002711A8"/>
    <w:rsid w:val="00354BCD"/>
    <w:rsid w:val="00373FDF"/>
    <w:rsid w:val="0037611C"/>
    <w:rsid w:val="003928B2"/>
    <w:rsid w:val="003D29A9"/>
    <w:rsid w:val="003D6689"/>
    <w:rsid w:val="00406912"/>
    <w:rsid w:val="004763B0"/>
    <w:rsid w:val="00477E01"/>
    <w:rsid w:val="004D182E"/>
    <w:rsid w:val="005936B5"/>
    <w:rsid w:val="005B714B"/>
    <w:rsid w:val="005E079F"/>
    <w:rsid w:val="006104F5"/>
    <w:rsid w:val="00641DDE"/>
    <w:rsid w:val="0067525A"/>
    <w:rsid w:val="00702EF7"/>
    <w:rsid w:val="00702F2F"/>
    <w:rsid w:val="00770ED3"/>
    <w:rsid w:val="007C0564"/>
    <w:rsid w:val="007C088B"/>
    <w:rsid w:val="007D131B"/>
    <w:rsid w:val="008201D8"/>
    <w:rsid w:val="008631DB"/>
    <w:rsid w:val="00864828"/>
    <w:rsid w:val="00871EC2"/>
    <w:rsid w:val="008753B5"/>
    <w:rsid w:val="009224EE"/>
    <w:rsid w:val="00933E5B"/>
    <w:rsid w:val="009D64BC"/>
    <w:rsid w:val="009E36A3"/>
    <w:rsid w:val="009E5DBE"/>
    <w:rsid w:val="009F4C96"/>
    <w:rsid w:val="00A026C1"/>
    <w:rsid w:val="00A7195C"/>
    <w:rsid w:val="00A758D8"/>
    <w:rsid w:val="00A809AB"/>
    <w:rsid w:val="00AA2F83"/>
    <w:rsid w:val="00AB57E6"/>
    <w:rsid w:val="00AC05B3"/>
    <w:rsid w:val="00B878B7"/>
    <w:rsid w:val="00B93530"/>
    <w:rsid w:val="00B944FA"/>
    <w:rsid w:val="00BD1FAA"/>
    <w:rsid w:val="00C13A61"/>
    <w:rsid w:val="00C65E4E"/>
    <w:rsid w:val="00D84328"/>
    <w:rsid w:val="00D965CF"/>
    <w:rsid w:val="00DC1CB3"/>
    <w:rsid w:val="00DD60C0"/>
    <w:rsid w:val="00E36AB4"/>
    <w:rsid w:val="00E505E3"/>
    <w:rsid w:val="00E67BF8"/>
    <w:rsid w:val="00E73F14"/>
    <w:rsid w:val="00F4162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F08857-2A4D-4AAD-90FC-FCFBD32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Wendy</cp:lastModifiedBy>
  <cp:revision>2</cp:revision>
  <dcterms:created xsi:type="dcterms:W3CDTF">2018-09-05T05:38:00Z</dcterms:created>
  <dcterms:modified xsi:type="dcterms:W3CDTF">2018-09-05T05:38:00Z</dcterms:modified>
</cp:coreProperties>
</file>