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BF6B" w14:textId="77777777" w:rsidR="0084389C" w:rsidRPr="00330A15" w:rsidRDefault="00612E2D" w:rsidP="00330A15">
      <w:pPr>
        <w:rPr>
          <w:b/>
          <w:sz w:val="32"/>
        </w:rPr>
      </w:pPr>
      <w:bookmarkStart w:id="0" w:name="_Toc496191378"/>
      <w:r w:rsidRPr="00330A15">
        <w:rPr>
          <w:b/>
          <w:sz w:val="32"/>
        </w:rPr>
        <w:t>Qualification</w:t>
      </w:r>
      <w:bookmarkEnd w:id="0"/>
      <w:r w:rsidR="006B6AAA" w:rsidRPr="00330A15">
        <w:rPr>
          <w:b/>
          <w:sz w:val="32"/>
        </w:rPr>
        <w:t xml:space="preserve"> Template</w:t>
      </w:r>
    </w:p>
    <w:p w14:paraId="697E226B" w14:textId="77777777" w:rsidR="00CD528A" w:rsidRDefault="00CD528A" w:rsidP="006B6AAA">
      <w:pPr>
        <w:rPr>
          <w:b/>
        </w:rPr>
      </w:pPr>
    </w:p>
    <w:p w14:paraId="26FB45B4" w14:textId="01A9426E" w:rsidR="006B6AAA" w:rsidRDefault="00CD528A" w:rsidP="006B6AAA">
      <w:r w:rsidRPr="006B6AAA">
        <w:rPr>
          <w:b/>
        </w:rPr>
        <w:t>QUALIFICATION CODE</w:t>
      </w:r>
      <w:r>
        <w:t xml:space="preserve"> </w:t>
      </w:r>
      <w:r w:rsidR="006B6AAA">
        <w:tab/>
      </w:r>
      <w:r w:rsidR="00E530A4">
        <w:tab/>
      </w:r>
      <w:r w:rsidR="00810FDB">
        <w:t>CP</w:t>
      </w:r>
      <w:r w:rsidR="00FA704F">
        <w:t>C3</w:t>
      </w:r>
      <w:r w:rsidR="00AF4FE6">
        <w:t>xx19</w:t>
      </w:r>
    </w:p>
    <w:p w14:paraId="10ADD446" w14:textId="77777777" w:rsidR="00612E2D" w:rsidRPr="006B6AAA" w:rsidRDefault="00CD528A" w:rsidP="00612E2D">
      <w:r w:rsidRPr="006B6AAA">
        <w:rPr>
          <w:b/>
        </w:rPr>
        <w:t>QUALIFICATION TITLE</w:t>
      </w:r>
      <w:r>
        <w:t xml:space="preserve"> </w:t>
      </w:r>
      <w:r w:rsidR="006B6AAA">
        <w:tab/>
      </w:r>
      <w:r w:rsidR="00E530A4">
        <w:tab/>
      </w:r>
      <w:r w:rsidR="006B6AAA" w:rsidRPr="00342D03">
        <w:rPr>
          <w:color w:val="000000"/>
          <w:lang w:eastAsia="en-AU"/>
        </w:rPr>
        <w:t xml:space="preserve">Certificate </w:t>
      </w:r>
      <w:r w:rsidR="00AE17E1">
        <w:rPr>
          <w:color w:val="000000"/>
          <w:lang w:eastAsia="en-AU"/>
        </w:rPr>
        <w:t>III in Demolition</w:t>
      </w:r>
    </w:p>
    <w:p w14:paraId="77B538A6" w14:textId="77777777" w:rsidR="00612E2D" w:rsidRPr="00CD528A" w:rsidRDefault="00CD528A" w:rsidP="00612E2D">
      <w:pPr>
        <w:rPr>
          <w:b/>
          <w:bCs/>
        </w:rPr>
      </w:pPr>
      <w:r w:rsidRPr="00CD528A">
        <w:rPr>
          <w:b/>
          <w:bCs/>
        </w:rPr>
        <w:t>QUALIFICATION DESCRIPTION</w:t>
      </w:r>
    </w:p>
    <w:p w14:paraId="7E4B337C" w14:textId="4BC1E4D3" w:rsidR="00AE17E1" w:rsidRPr="00AE17E1" w:rsidRDefault="00AE17E1" w:rsidP="00AE17E1">
      <w:bookmarkStart w:id="1" w:name="O_661071"/>
      <w:bookmarkStart w:id="2" w:name="O_661072"/>
      <w:bookmarkEnd w:id="1"/>
      <w:bookmarkEnd w:id="2"/>
      <w:r w:rsidRPr="00AE17E1">
        <w:t xml:space="preserve">This qualification is designed to meet the needs of specialist demolition workers who dismantle and demolish public, residential, commercial and industrial </w:t>
      </w:r>
      <w:r w:rsidR="00E404E3">
        <w:t xml:space="preserve">structures </w:t>
      </w:r>
      <w:r w:rsidRPr="00AE17E1">
        <w:t>of all types, and process the resulting materials for salvage, recycling and waste disposal.</w:t>
      </w:r>
    </w:p>
    <w:p w14:paraId="26030D91" w14:textId="77777777" w:rsidR="00AE17E1" w:rsidRPr="00AE17E1" w:rsidRDefault="00AE17E1" w:rsidP="00AE17E1">
      <w:r w:rsidRPr="00AE17E1">
        <w:t>Occupational titles could include:</w:t>
      </w:r>
    </w:p>
    <w:p w14:paraId="5E2C2E58" w14:textId="77777777" w:rsidR="00AE17E1" w:rsidRPr="00AE17E1" w:rsidRDefault="00AE17E1" w:rsidP="00AE17E1">
      <w:pPr>
        <w:numPr>
          <w:ilvl w:val="0"/>
          <w:numId w:val="5"/>
        </w:numPr>
      </w:pPr>
      <w:r w:rsidRPr="00AE17E1">
        <w:t>Demolition worker</w:t>
      </w:r>
    </w:p>
    <w:p w14:paraId="5FFAC86C" w14:textId="56C19EBB" w:rsidR="00AE17E1" w:rsidRPr="00AE17E1" w:rsidRDefault="00AE17E1" w:rsidP="00AE17E1">
      <w:pPr>
        <w:numPr>
          <w:ilvl w:val="0"/>
          <w:numId w:val="5"/>
        </w:numPr>
      </w:pPr>
      <w:r w:rsidRPr="00AE17E1">
        <w:t>Demolition plant operator</w:t>
      </w:r>
      <w:r w:rsidR="006F1142">
        <w:t xml:space="preserve"> </w:t>
      </w:r>
      <w:r w:rsidR="006F1142" w:rsidRPr="006F1142">
        <w:rPr>
          <w:color w:val="FF0000"/>
        </w:rPr>
        <w:t>(in review)</w:t>
      </w:r>
    </w:p>
    <w:p w14:paraId="32E7CB00" w14:textId="77777777" w:rsidR="00AE17E1" w:rsidRPr="00AE17E1" w:rsidRDefault="00AE17E1" w:rsidP="00AE17E1">
      <w:pPr>
        <w:numPr>
          <w:ilvl w:val="0"/>
          <w:numId w:val="5"/>
        </w:numPr>
      </w:pPr>
      <w:r w:rsidRPr="00AE17E1">
        <w:t>Demolition leading hand.</w:t>
      </w:r>
    </w:p>
    <w:p w14:paraId="01638AD5" w14:textId="77777777" w:rsidR="00AE17E1" w:rsidRPr="00AE17E1" w:rsidRDefault="00AE17E1" w:rsidP="00AE17E1">
      <w:r w:rsidRPr="00AE17E1">
        <w:t>The construction industry strongly affirms that training and assessment leading to recognition of skills must be undertaken in a real or very closely simulated workplace environment and this qualification requires all units of competency to be delivered in this context.</w:t>
      </w:r>
    </w:p>
    <w:p w14:paraId="62D1B9F6" w14:textId="15C9AB19" w:rsidR="00AE17E1" w:rsidRPr="00AE17E1" w:rsidRDefault="00AE17E1" w:rsidP="00AE17E1">
      <w:r w:rsidRPr="00AE17E1">
        <w:t xml:space="preserve">Completion of the general induction training program specified by the National Code of Practice for Induction Training for Construction Work (ASCC 2007) is required before entering a construction work </w:t>
      </w:r>
      <w:r w:rsidR="00401D48">
        <w:t>site. Achievement of unit CPC</w:t>
      </w:r>
      <w:r w:rsidR="00361A30">
        <w:t>COHS1001</w:t>
      </w:r>
      <w:r w:rsidRPr="00AE17E1">
        <w:t xml:space="preserve"> covers this requirement.</w:t>
      </w:r>
    </w:p>
    <w:p w14:paraId="22D7EF22" w14:textId="77777777" w:rsidR="00AE17E1" w:rsidRPr="00AE17E1" w:rsidRDefault="00AE17E1" w:rsidP="00AE17E1">
      <w:r w:rsidRPr="00AE17E1">
        <w:rPr>
          <w:b/>
          <w:bCs/>
        </w:rPr>
        <w:t>Pathways information</w:t>
      </w:r>
      <w:r w:rsidRPr="00AE17E1">
        <w:t> </w:t>
      </w:r>
    </w:p>
    <w:p w14:paraId="50FDA558" w14:textId="6C3C4684" w:rsidR="00AE17E1" w:rsidRDefault="00AE17E1" w:rsidP="00AE17E1">
      <w:r w:rsidRPr="00AE17E1">
        <w:t>This qualification is suitable for an Australian Apprenticeship pathway.</w:t>
      </w:r>
    </w:p>
    <w:p w14:paraId="5F6A279E" w14:textId="090EAD57" w:rsidR="00E61112" w:rsidRDefault="00E61112" w:rsidP="00AE17E1">
      <w:pPr>
        <w:rPr>
          <w:b/>
        </w:rPr>
      </w:pPr>
      <w:r w:rsidRPr="00E61112">
        <w:rPr>
          <w:b/>
        </w:rPr>
        <w:t>ENTRY REQUIREMENTS</w:t>
      </w:r>
    </w:p>
    <w:p w14:paraId="131CA5F9" w14:textId="1A9AA4DD" w:rsidR="00E61112" w:rsidRPr="00E61112" w:rsidRDefault="00E61112" w:rsidP="00AE17E1">
      <w:r w:rsidRPr="00E61112">
        <w:t>There are no entry requirements.</w:t>
      </w:r>
    </w:p>
    <w:p w14:paraId="2DBD1170" w14:textId="77777777" w:rsidR="00612E2D" w:rsidRDefault="00CD528A" w:rsidP="00AE17E1">
      <w:pPr>
        <w:rPr>
          <w:b/>
          <w:bCs/>
        </w:rPr>
      </w:pPr>
      <w:r w:rsidRPr="006F1142">
        <w:rPr>
          <w:b/>
          <w:bCs/>
        </w:rPr>
        <w:t>PACKAGING RULES</w:t>
      </w:r>
    </w:p>
    <w:p w14:paraId="4952C1D0" w14:textId="77777777" w:rsidR="00AE17E1" w:rsidRPr="00CC0B26" w:rsidRDefault="00AE17E1" w:rsidP="00AE17E1">
      <w:pPr>
        <w:pStyle w:val="BodyText"/>
      </w:pPr>
      <w:r w:rsidRPr="00CC0B26">
        <w:t>To achieve this qualification, competency must be demonstrated in:</w:t>
      </w:r>
    </w:p>
    <w:p w14:paraId="06E23763" w14:textId="4AD7CFE5" w:rsidR="00AE17E1" w:rsidRPr="00CC0B26" w:rsidRDefault="00EB5371" w:rsidP="00AE17E1">
      <w:pPr>
        <w:pStyle w:val="ListBullet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XX </w:t>
      </w:r>
      <w:r w:rsidR="00AE17E1" w:rsidRPr="00CC0B26">
        <w:rPr>
          <w:rFonts w:ascii="Calibri" w:eastAsia="Calibri" w:hAnsi="Calibri"/>
          <w:sz w:val="22"/>
        </w:rPr>
        <w:t>units of competency:</w:t>
      </w:r>
    </w:p>
    <w:p w14:paraId="2F7376E1" w14:textId="4E163151" w:rsidR="00AE17E1" w:rsidRPr="00CC0B26" w:rsidRDefault="00EB5371" w:rsidP="00AE17E1">
      <w:pPr>
        <w:pStyle w:val="ListBullet2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XX</w:t>
      </w:r>
      <w:r w:rsidR="00AE17E1" w:rsidRPr="00CC0B26">
        <w:rPr>
          <w:rFonts w:ascii="Calibri" w:eastAsia="Calibri" w:hAnsi="Calibri"/>
          <w:sz w:val="22"/>
        </w:rPr>
        <w:t xml:space="preserve"> core units</w:t>
      </w:r>
    </w:p>
    <w:p w14:paraId="7BA46C21" w14:textId="783C57AB" w:rsidR="00AE17E1" w:rsidRDefault="00EB5371" w:rsidP="00AE17E1">
      <w:pPr>
        <w:pStyle w:val="ListBullet2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 XX </w:t>
      </w:r>
      <w:r w:rsidR="00AE17E1" w:rsidRPr="00CC0B26">
        <w:rPr>
          <w:rFonts w:ascii="Calibri" w:eastAsia="Calibri" w:hAnsi="Calibri"/>
          <w:sz w:val="22"/>
        </w:rPr>
        <w:t>elective units.</w:t>
      </w:r>
    </w:p>
    <w:p w14:paraId="6DD51862" w14:textId="77777777" w:rsidR="00AE17E1" w:rsidRPr="00AE17E1" w:rsidRDefault="00AE17E1" w:rsidP="00AE17E1">
      <w:pPr>
        <w:pStyle w:val="ListBullet2"/>
        <w:numPr>
          <w:ilvl w:val="0"/>
          <w:numId w:val="0"/>
        </w:numPr>
        <w:ind w:left="700"/>
        <w:rPr>
          <w:rFonts w:ascii="Calibri" w:eastAsia="Calibri" w:hAnsi="Calibri"/>
          <w:sz w:val="22"/>
        </w:rPr>
      </w:pPr>
    </w:p>
    <w:p w14:paraId="2315651C" w14:textId="77777777" w:rsidR="00AE17E1" w:rsidRPr="00AE17E1" w:rsidRDefault="00AE17E1" w:rsidP="00AE17E1">
      <w:r w:rsidRPr="00AE17E1">
        <w:t>The elective units must ensure the integrity of the AQF alignment and contribute to a valid, industry-supported vocational outcome and are to be chosen as follows:</w:t>
      </w:r>
    </w:p>
    <w:p w14:paraId="06D4A03E" w14:textId="62107E11" w:rsidR="00AE17E1" w:rsidRPr="00AE17E1" w:rsidRDefault="00EB5371" w:rsidP="00AE17E1">
      <w:pPr>
        <w:numPr>
          <w:ilvl w:val="0"/>
          <w:numId w:val="8"/>
        </w:numPr>
      </w:pPr>
      <w:r>
        <w:t>a minimum of XX and up to XX</w:t>
      </w:r>
      <w:r w:rsidR="00AE17E1" w:rsidRPr="00AE17E1">
        <w:t xml:space="preserve"> units from the elective units listed below</w:t>
      </w:r>
    </w:p>
    <w:p w14:paraId="26141F6D" w14:textId="354DA2C9" w:rsidR="00AE17E1" w:rsidRPr="00AE17E1" w:rsidRDefault="00EB5371" w:rsidP="00AE17E1">
      <w:pPr>
        <w:numPr>
          <w:ilvl w:val="0"/>
          <w:numId w:val="8"/>
        </w:numPr>
      </w:pPr>
      <w:r>
        <w:t>up to XX</w:t>
      </w:r>
      <w:r w:rsidR="00AE17E1" w:rsidRPr="00AE17E1">
        <w:t xml:space="preserve"> of the units may be chosen from other Certificate III or Certi</w:t>
      </w:r>
      <w:r>
        <w:t>ficate IV qualifications in CPC</w:t>
      </w:r>
      <w:r w:rsidR="00AE17E1" w:rsidRPr="00AE17E1">
        <w:t xml:space="preserve"> or another current Training Package or accredited course.</w:t>
      </w:r>
    </w:p>
    <w:p w14:paraId="6D065536" w14:textId="742BDB5E" w:rsidR="00AE17E1" w:rsidRPr="00AE17E1" w:rsidRDefault="00AE17E1" w:rsidP="00AE17E1">
      <w:r w:rsidRPr="00AE17E1">
        <w:t xml:space="preserve">Some units in this qualification may have prerequisite requirements, which must be met when packaging the qualification. Users </w:t>
      </w:r>
      <w:r w:rsidR="00EB5371">
        <w:t>are referred to the list of CPC</w:t>
      </w:r>
      <w:r w:rsidRPr="00AE17E1">
        <w:t xml:space="preserve"> units with prerequisite unit requirements available in this Training Package for this purpose.</w:t>
      </w:r>
    </w:p>
    <w:p w14:paraId="26FFF6CC" w14:textId="77777777" w:rsidR="00AE17E1" w:rsidRPr="00342D03" w:rsidRDefault="00AE17E1" w:rsidP="00AE17E1">
      <w:pPr>
        <w:rPr>
          <w:b/>
          <w:bCs/>
        </w:rPr>
      </w:pPr>
    </w:p>
    <w:p w14:paraId="44ABC574" w14:textId="77777777" w:rsidR="00AE17E1" w:rsidRDefault="00AE17E1">
      <w:pPr>
        <w:rPr>
          <w:b/>
        </w:rPr>
      </w:pPr>
    </w:p>
    <w:p w14:paraId="0CC2C8B6" w14:textId="20B06002" w:rsidR="00214CA8" w:rsidRPr="00F47C59" w:rsidRDefault="00EB5371">
      <w:pPr>
        <w:rPr>
          <w:b/>
          <w:sz w:val="28"/>
        </w:rPr>
      </w:pPr>
      <w:r w:rsidRPr="00F47C59">
        <w:rPr>
          <w:b/>
          <w:sz w:val="28"/>
        </w:rPr>
        <w:t>Proposed c</w:t>
      </w:r>
      <w:r w:rsidR="00AE17E1" w:rsidRPr="00F47C59">
        <w:rPr>
          <w:b/>
          <w:sz w:val="28"/>
        </w:rPr>
        <w:t>ore units</w:t>
      </w:r>
    </w:p>
    <w:p w14:paraId="46A52753" w14:textId="3E870155" w:rsidR="009749F3" w:rsidRPr="00AF4FE6" w:rsidRDefault="00AF4FE6" w:rsidP="00BE6205">
      <w:r>
        <w:t>CPCCCM1014</w:t>
      </w:r>
      <w:r w:rsidR="009749F3" w:rsidRPr="00AF4FE6">
        <w:t xml:space="preserve"> </w:t>
      </w:r>
      <w:r w:rsidR="00BE6205">
        <w:tab/>
      </w:r>
      <w:r w:rsidR="009749F3" w:rsidRPr="00AF4FE6">
        <w:t xml:space="preserve">Conduct workplace communication </w:t>
      </w:r>
    </w:p>
    <w:p w14:paraId="48E2766A" w14:textId="5C4AE1CF" w:rsidR="009749F3" w:rsidRPr="00AF4FE6" w:rsidRDefault="00AF4FE6" w:rsidP="00BE6205">
      <w:r>
        <w:t>CPCCCM2010</w:t>
      </w:r>
      <w:r w:rsidR="009749F3" w:rsidRPr="00AF4FE6">
        <w:t xml:space="preserve"> </w:t>
      </w:r>
      <w:r w:rsidR="00BE6205">
        <w:tab/>
      </w:r>
      <w:r w:rsidR="009749F3" w:rsidRPr="00AF4FE6">
        <w:t>Work safely at heights</w:t>
      </w:r>
    </w:p>
    <w:p w14:paraId="32E5A37D" w14:textId="44F92C47" w:rsidR="009749F3" w:rsidRDefault="00AF4FE6" w:rsidP="00BE6205">
      <w:r>
        <w:t>CPCCCM1015</w:t>
      </w:r>
      <w:r w:rsidR="009749F3" w:rsidRPr="00AF4FE6">
        <w:t xml:space="preserve"> </w:t>
      </w:r>
      <w:r w:rsidR="00BE6205">
        <w:tab/>
      </w:r>
      <w:r w:rsidR="009749F3" w:rsidRPr="00AF4FE6">
        <w:t>Carry out measurements and calculations</w:t>
      </w:r>
    </w:p>
    <w:p w14:paraId="262478CF" w14:textId="0B627514" w:rsidR="00B75CD3" w:rsidRPr="00AF4FE6" w:rsidRDefault="00B75CD3" w:rsidP="00BE6205">
      <w:r>
        <w:t>CPCCCM2009</w:t>
      </w:r>
      <w:r>
        <w:tab/>
        <w:t xml:space="preserve">Carry out basic demolition </w:t>
      </w:r>
    </w:p>
    <w:p w14:paraId="2AF80014" w14:textId="1D27E47A" w:rsidR="009749F3" w:rsidRPr="00AF4FE6" w:rsidRDefault="00AF4FE6" w:rsidP="00BE6205">
      <w:r>
        <w:t>CPCCDE3016</w:t>
      </w:r>
      <w:r w:rsidR="001A4539" w:rsidRPr="00AF4FE6">
        <w:t xml:space="preserve"> </w:t>
      </w:r>
      <w:r w:rsidR="00BE6205">
        <w:tab/>
      </w:r>
      <w:r w:rsidR="009749F3" w:rsidRPr="00AF4FE6">
        <w:t>Identify hazards on demolition sites and apply risk management strategies</w:t>
      </w:r>
    </w:p>
    <w:p w14:paraId="0727C361" w14:textId="74DADCE9" w:rsidR="009749F3" w:rsidRPr="00AF4FE6" w:rsidRDefault="003E22D4" w:rsidP="00BE6205">
      <w:r>
        <w:t>CPCC</w:t>
      </w:r>
      <w:r w:rsidR="00AF4FE6">
        <w:t>DE3017</w:t>
      </w:r>
      <w:r w:rsidR="001A4539" w:rsidRPr="00AF4FE6">
        <w:t xml:space="preserve"> </w:t>
      </w:r>
      <w:r w:rsidR="00BE6205">
        <w:tab/>
      </w:r>
      <w:r w:rsidR="009749F3" w:rsidRPr="00AF4FE6">
        <w:t>Select and use hand tools and equipment for demolition tasks</w:t>
      </w:r>
    </w:p>
    <w:p w14:paraId="1B7F17FD" w14:textId="046B3EBB" w:rsidR="009749F3" w:rsidRPr="00AF4FE6" w:rsidRDefault="00AF4FE6" w:rsidP="00BE6205">
      <w:r>
        <w:t>CPCCDE3018</w:t>
      </w:r>
      <w:r w:rsidR="009749F3" w:rsidRPr="00AF4FE6">
        <w:t xml:space="preserve"> </w:t>
      </w:r>
      <w:r w:rsidR="00BE6205">
        <w:tab/>
      </w:r>
      <w:r w:rsidR="009749F3" w:rsidRPr="00AF4FE6">
        <w:t xml:space="preserve">Select and use small plant and equipment for demolition tasks </w:t>
      </w:r>
    </w:p>
    <w:p w14:paraId="75C7FDC7" w14:textId="21523FB6" w:rsidR="009749F3" w:rsidRPr="00AF4FE6" w:rsidRDefault="00AF4FE6" w:rsidP="00BE6205">
      <w:r>
        <w:t>CPCCDE3019</w:t>
      </w:r>
      <w:r w:rsidR="009749F3" w:rsidRPr="00AF4FE6">
        <w:t xml:space="preserve"> </w:t>
      </w:r>
      <w:r w:rsidR="00BE6205">
        <w:tab/>
      </w:r>
      <w:r w:rsidR="009749F3" w:rsidRPr="00AF4FE6">
        <w:t>Demolish small buildings and structures using hand tools and small plant and equipment</w:t>
      </w:r>
      <w:r w:rsidR="001A4539" w:rsidRPr="00AF4FE6">
        <w:t xml:space="preserve"> </w:t>
      </w:r>
    </w:p>
    <w:p w14:paraId="145FB654" w14:textId="6B62F04C" w:rsidR="009749F3" w:rsidRPr="00AF4FE6" w:rsidRDefault="00AF4FE6" w:rsidP="00BE6205">
      <w:r>
        <w:t>CPCCDE3020</w:t>
      </w:r>
      <w:r w:rsidR="009749F3" w:rsidRPr="00AF4FE6">
        <w:t xml:space="preserve"> </w:t>
      </w:r>
      <w:r w:rsidR="00BE6205">
        <w:tab/>
      </w:r>
      <w:r w:rsidR="009749F3" w:rsidRPr="00AF4FE6">
        <w:t>Select and use tools and equipment for hot work in the demolition industry</w:t>
      </w:r>
    </w:p>
    <w:p w14:paraId="2BF347A8" w14:textId="50D1F5ED" w:rsidR="00BE6205" w:rsidRDefault="00986353" w:rsidP="00BE6205">
      <w:proofErr w:type="spellStart"/>
      <w:r>
        <w:t>CPCCDE</w:t>
      </w:r>
      <w:r w:rsidR="00BE6205" w:rsidRPr="00AF4FE6">
        <w:t>xxxx</w:t>
      </w:r>
      <w:proofErr w:type="spellEnd"/>
      <w:r w:rsidR="00BE6205" w:rsidRPr="00AF4FE6">
        <w:t xml:space="preserve"> </w:t>
      </w:r>
      <w:r w:rsidR="00BE6205">
        <w:tab/>
      </w:r>
      <w:r w:rsidR="00BE6205" w:rsidRPr="00AF4FE6">
        <w:t>Re</w:t>
      </w:r>
      <w:r w:rsidR="00BE6205">
        <w:t xml:space="preserve">ad and interpret demolition </w:t>
      </w:r>
      <w:r w:rsidR="00BE6205" w:rsidRPr="00AF4FE6">
        <w:t>work</w:t>
      </w:r>
      <w:r w:rsidR="00846E5A">
        <w:t xml:space="preserve"> </w:t>
      </w:r>
      <w:r w:rsidR="00BE6205" w:rsidRPr="00AF4FE6">
        <w:t>plans</w:t>
      </w:r>
      <w:r w:rsidR="00BE6205">
        <w:t xml:space="preserve"> </w:t>
      </w:r>
    </w:p>
    <w:p w14:paraId="36E271E2" w14:textId="21D60E67" w:rsidR="009749F3" w:rsidRDefault="009749F3" w:rsidP="00BE6205">
      <w:r w:rsidRPr="00AF4FE6">
        <w:t>CPCCWHS2001</w:t>
      </w:r>
      <w:r w:rsidR="00BE6205">
        <w:tab/>
      </w:r>
      <w:r w:rsidRPr="00AF4FE6">
        <w:t>Apply OHS requirements, policies and procedures in the construction industry</w:t>
      </w:r>
    </w:p>
    <w:p w14:paraId="0C633325" w14:textId="00238FC5" w:rsidR="00612E2D" w:rsidRPr="00AF4FE6" w:rsidRDefault="009749F3" w:rsidP="00BE6205">
      <w:r w:rsidRPr="00AF4FE6">
        <w:t xml:space="preserve">MEM11011B </w:t>
      </w:r>
      <w:r w:rsidR="00BE6205">
        <w:tab/>
      </w:r>
      <w:r w:rsidRPr="00AF4FE6">
        <w:t>Undertake manual handling</w:t>
      </w:r>
    </w:p>
    <w:p w14:paraId="54ADB9C7" w14:textId="10D8940D" w:rsidR="00AE17E1" w:rsidRPr="00F47C59" w:rsidRDefault="00F316CD" w:rsidP="00612E2D">
      <w:pPr>
        <w:rPr>
          <w:b/>
          <w:sz w:val="28"/>
        </w:rPr>
      </w:pPr>
      <w:r w:rsidRPr="00F47C59">
        <w:rPr>
          <w:b/>
          <w:sz w:val="28"/>
        </w:rPr>
        <w:t>P</w:t>
      </w:r>
      <w:r>
        <w:rPr>
          <w:b/>
          <w:sz w:val="28"/>
        </w:rPr>
        <w:t>roposed</w:t>
      </w:r>
      <w:r w:rsidR="00EB5371" w:rsidRPr="00F47C59">
        <w:rPr>
          <w:b/>
          <w:sz w:val="28"/>
        </w:rPr>
        <w:t xml:space="preserve"> e</w:t>
      </w:r>
      <w:r w:rsidR="006F4EE1">
        <w:rPr>
          <w:b/>
          <w:sz w:val="28"/>
        </w:rPr>
        <w:t>lective</w:t>
      </w:r>
      <w:r w:rsidR="00AE17E1" w:rsidRPr="00F47C59">
        <w:rPr>
          <w:b/>
          <w:sz w:val="28"/>
        </w:rPr>
        <w:t xml:space="preserve"> units</w:t>
      </w:r>
    </w:p>
    <w:p w14:paraId="0064D4FE" w14:textId="23C131EC" w:rsidR="00401D48" w:rsidRPr="00AF4FE6" w:rsidRDefault="00AF4FE6" w:rsidP="00401D48">
      <w:r w:rsidRPr="00AF4FE6">
        <w:t>CPCCCA3001</w:t>
      </w:r>
      <w:r w:rsidR="00401D48" w:rsidRPr="00AF4FE6">
        <w:t xml:space="preserve"> </w:t>
      </w:r>
      <w:r w:rsidR="00BE6205">
        <w:tab/>
      </w:r>
      <w:r w:rsidR="00401D48" w:rsidRPr="00AF4FE6">
        <w:t>Carry out general demolition of minor building structures</w:t>
      </w:r>
    </w:p>
    <w:p w14:paraId="709CC989" w14:textId="6FA18D93" w:rsidR="00401D48" w:rsidRPr="00AF4FE6" w:rsidRDefault="00AF4FE6" w:rsidP="00401D48">
      <w:r w:rsidRPr="00AF4FE6">
        <w:t>CPCCCM1016</w:t>
      </w:r>
      <w:r w:rsidR="009749F3" w:rsidRPr="00AF4FE6">
        <w:t xml:space="preserve"> </w:t>
      </w:r>
      <w:r w:rsidR="00BE6205">
        <w:tab/>
      </w:r>
      <w:r w:rsidR="00401D48" w:rsidRPr="00AF4FE6">
        <w:t>Identify requirements for safe tilt-up work </w:t>
      </w:r>
    </w:p>
    <w:p w14:paraId="26673F91" w14:textId="264B262A" w:rsidR="00401D48" w:rsidRPr="00AE17E1" w:rsidRDefault="00AF4FE6" w:rsidP="00401D48">
      <w:r>
        <w:t xml:space="preserve">CPCCDE3014 </w:t>
      </w:r>
      <w:r w:rsidR="00BE6205">
        <w:tab/>
      </w:r>
      <w:r w:rsidR="00401D48" w:rsidRPr="00AE17E1">
        <w:t>Remove non-friable asbestos</w:t>
      </w:r>
    </w:p>
    <w:p w14:paraId="61FE6F1F" w14:textId="18022B7D" w:rsidR="00401D48" w:rsidRPr="00AE17E1" w:rsidRDefault="00AF4FE6" w:rsidP="00401D48">
      <w:r>
        <w:t>CPCCDE3015</w:t>
      </w:r>
      <w:r w:rsidR="00401D48">
        <w:t xml:space="preserve"> </w:t>
      </w:r>
      <w:r w:rsidR="00BE6205">
        <w:tab/>
      </w:r>
      <w:r w:rsidR="00401D48" w:rsidRPr="00AE17E1">
        <w:t>Remove friable asbestos</w:t>
      </w:r>
    </w:p>
    <w:p w14:paraId="78F9E31B" w14:textId="05FFA7B1" w:rsidR="00401D48" w:rsidRPr="00AE17E1" w:rsidRDefault="00AF4FE6" w:rsidP="00401D48">
      <w:r>
        <w:t>CPCCDE3021</w:t>
      </w:r>
      <w:r w:rsidR="00401D48">
        <w:t xml:space="preserve"> </w:t>
      </w:r>
      <w:r w:rsidR="00BE6205">
        <w:tab/>
      </w:r>
      <w:r w:rsidR="00401D48" w:rsidRPr="00AE17E1">
        <w:t>Operate demolition material crushing plants</w:t>
      </w:r>
    </w:p>
    <w:p w14:paraId="258A83C3" w14:textId="35A7EB6E" w:rsidR="00401D48" w:rsidRPr="00AE17E1" w:rsidRDefault="00AF4FE6" w:rsidP="00401D48">
      <w:r>
        <w:t>CPCCDE3022</w:t>
      </w:r>
      <w:r w:rsidR="00401D48">
        <w:t xml:space="preserve"> </w:t>
      </w:r>
      <w:r w:rsidR="00BE6205">
        <w:tab/>
      </w:r>
      <w:r w:rsidR="00401D48" w:rsidRPr="00AE17E1">
        <w:t>Manage demolition recyclable and waste materials using load shifting equipment</w:t>
      </w:r>
    </w:p>
    <w:p w14:paraId="4DED9A8B" w14:textId="2E7E12E7" w:rsidR="00401D48" w:rsidRPr="00AE17E1" w:rsidRDefault="00AF4FE6" w:rsidP="00401D48">
      <w:r>
        <w:t>CPCCDE3023</w:t>
      </w:r>
      <w:r w:rsidR="00401D48">
        <w:t xml:space="preserve"> </w:t>
      </w:r>
      <w:r w:rsidR="00BE6205">
        <w:tab/>
      </w:r>
      <w:r w:rsidR="00401D48" w:rsidRPr="00AE17E1">
        <w:t>Operate skid steer loaders at ground level on demolition sites</w:t>
      </w:r>
    </w:p>
    <w:p w14:paraId="2F4EA402" w14:textId="3AB78BE1" w:rsidR="00401D48" w:rsidRPr="00AE17E1" w:rsidRDefault="00AF4FE6" w:rsidP="00401D48">
      <w:r>
        <w:t>CPCCDE3024</w:t>
      </w:r>
      <w:r w:rsidR="00401D48">
        <w:t xml:space="preserve"> </w:t>
      </w:r>
      <w:r w:rsidR="00BE6205">
        <w:tab/>
      </w:r>
      <w:r w:rsidR="00401D48" w:rsidRPr="00AE17E1">
        <w:t>Operate mobile plant on suspended floors on demolition sites</w:t>
      </w:r>
    </w:p>
    <w:p w14:paraId="76F6AE93" w14:textId="1DC8C844" w:rsidR="00401D48" w:rsidRPr="00AE17E1" w:rsidRDefault="00AF4FE6" w:rsidP="00401D48">
      <w:r>
        <w:t>CPCCDE</w:t>
      </w:r>
      <w:r w:rsidR="00BE6205">
        <w:t>3025</w:t>
      </w:r>
      <w:r w:rsidR="00401D48">
        <w:t xml:space="preserve"> </w:t>
      </w:r>
      <w:r w:rsidR="00BE6205">
        <w:tab/>
      </w:r>
      <w:r w:rsidR="00401D48" w:rsidRPr="00AE17E1">
        <w:t>Operate remote-controlled plant on demolition sites</w:t>
      </w:r>
    </w:p>
    <w:p w14:paraId="7094330A" w14:textId="1C55EE89" w:rsidR="00401D48" w:rsidRDefault="00BE6205" w:rsidP="00401D48">
      <w:r>
        <w:t>CPCCDE3026</w:t>
      </w:r>
      <w:r w:rsidR="00401D48">
        <w:t xml:space="preserve"> </w:t>
      </w:r>
      <w:r>
        <w:tab/>
      </w:r>
      <w:r w:rsidR="00401D48" w:rsidRPr="00AE17E1">
        <w:t>Operate excavators at ground level to demolish building elements</w:t>
      </w:r>
    </w:p>
    <w:p w14:paraId="27ACBE0F" w14:textId="0A8B09F9" w:rsidR="00BE6205" w:rsidRDefault="00BE6205" w:rsidP="00401D48">
      <w:proofErr w:type="spellStart"/>
      <w:r>
        <w:t>CPCCDExxxxx</w:t>
      </w:r>
      <w:proofErr w:type="spellEnd"/>
      <w:r>
        <w:tab/>
        <w:t>Apply public liability</w:t>
      </w:r>
      <w:r w:rsidR="00846E5A">
        <w:t xml:space="preserve"> practices</w:t>
      </w:r>
      <w:r>
        <w:t xml:space="preserve"> in demolition</w:t>
      </w:r>
    </w:p>
    <w:p w14:paraId="2C51511E" w14:textId="1594F8AC" w:rsidR="00BE6205" w:rsidRPr="00AE17E1" w:rsidRDefault="00BE6205" w:rsidP="00401D48">
      <w:proofErr w:type="spellStart"/>
      <w:r>
        <w:t>CPCCDExxxxx</w:t>
      </w:r>
      <w:proofErr w:type="spellEnd"/>
      <w:r>
        <w:tab/>
        <w:t xml:space="preserve">Post-tensioning </w:t>
      </w:r>
      <w:r w:rsidR="00846E5A">
        <w:t xml:space="preserve">for </w:t>
      </w:r>
      <w:r>
        <w:t>demolition</w:t>
      </w:r>
    </w:p>
    <w:p w14:paraId="0076E75F" w14:textId="108071D9" w:rsidR="00401D48" w:rsidRDefault="00BE6205" w:rsidP="00401D48">
      <w:proofErr w:type="spellStart"/>
      <w:r>
        <w:t>CPCCDExxxxx</w:t>
      </w:r>
      <w:proofErr w:type="spellEnd"/>
      <w:r>
        <w:tab/>
      </w:r>
      <w:r w:rsidR="00401D48">
        <w:t>Interpret basic building and structural princip</w:t>
      </w:r>
      <w:r>
        <w:t>les</w:t>
      </w:r>
    </w:p>
    <w:p w14:paraId="7E9C395F" w14:textId="1D658BE6" w:rsidR="00BE6205" w:rsidRPr="00AF4FE6" w:rsidRDefault="00BE6205" w:rsidP="00BE6205">
      <w:pPr>
        <w:rPr>
          <w:b/>
        </w:rPr>
      </w:pPr>
      <w:proofErr w:type="spellStart"/>
      <w:r>
        <w:t>CPCCDExxxxx</w:t>
      </w:r>
      <w:proofErr w:type="spellEnd"/>
      <w:r w:rsidRPr="00F47C59">
        <w:t xml:space="preserve"> </w:t>
      </w:r>
      <w:r>
        <w:tab/>
      </w:r>
      <w:r w:rsidRPr="00F47C59">
        <w:t>Undertake was</w:t>
      </w:r>
      <w:r>
        <w:t xml:space="preserve">te recovery practices </w:t>
      </w:r>
      <w:bookmarkStart w:id="3" w:name="_GoBack"/>
      <w:bookmarkEnd w:id="3"/>
    </w:p>
    <w:p w14:paraId="6C96C7CE" w14:textId="5BB4BB7D" w:rsidR="00401D48" w:rsidRPr="00AE17E1" w:rsidRDefault="00BE6205" w:rsidP="00401D48">
      <w:r>
        <w:lastRenderedPageBreak/>
        <w:t>CPCCLDG3001</w:t>
      </w:r>
      <w:r w:rsidR="00401D48">
        <w:t xml:space="preserve"> </w:t>
      </w:r>
      <w:r>
        <w:tab/>
      </w:r>
      <w:r w:rsidR="00401D48" w:rsidRPr="00AE17E1">
        <w:t>Licence to perform dogging</w:t>
      </w:r>
    </w:p>
    <w:p w14:paraId="6F7C0EB0" w14:textId="3F898872" w:rsidR="00401D48" w:rsidRPr="00AE17E1" w:rsidRDefault="00BE6205" w:rsidP="00401D48">
      <w:r>
        <w:t>CPCCLRG3001</w:t>
      </w:r>
      <w:r w:rsidR="00401D48">
        <w:t xml:space="preserve"> </w:t>
      </w:r>
      <w:r>
        <w:tab/>
      </w:r>
      <w:r w:rsidR="00401D48" w:rsidRPr="00AE17E1">
        <w:t>Licence to perform rigging basic level</w:t>
      </w:r>
    </w:p>
    <w:p w14:paraId="054C6E0D" w14:textId="1A4455AF" w:rsidR="00401D48" w:rsidRPr="00AE17E1" w:rsidRDefault="00BE6205" w:rsidP="00401D48">
      <w:r>
        <w:t>CPCCLRG3002</w:t>
      </w:r>
      <w:r w:rsidR="00401D48">
        <w:t xml:space="preserve"> </w:t>
      </w:r>
      <w:r>
        <w:tab/>
      </w:r>
      <w:r w:rsidR="00401D48" w:rsidRPr="00AE17E1">
        <w:t>Licence to perform rigging intermediate level</w:t>
      </w:r>
    </w:p>
    <w:p w14:paraId="6026A2CA" w14:textId="4A97CD00" w:rsidR="00401D48" w:rsidRPr="00AE17E1" w:rsidRDefault="00BE6205" w:rsidP="00401D48">
      <w:r>
        <w:t>CPCCLSF2001</w:t>
      </w:r>
      <w:r w:rsidR="00401D48">
        <w:t xml:space="preserve"> </w:t>
      </w:r>
      <w:r>
        <w:tab/>
      </w:r>
      <w:r w:rsidR="00401D48" w:rsidRPr="00AE17E1">
        <w:t>Licence to erect, alter and dismantle scaffolding basic level</w:t>
      </w:r>
    </w:p>
    <w:p w14:paraId="454016D2" w14:textId="3CA05C35" w:rsidR="00401D48" w:rsidRPr="00AE17E1" w:rsidRDefault="00BE6205" w:rsidP="00401D48">
      <w:r>
        <w:t>CPCCLSF3001</w:t>
      </w:r>
      <w:r w:rsidR="00401D48">
        <w:t xml:space="preserve"> </w:t>
      </w:r>
      <w:r>
        <w:tab/>
      </w:r>
      <w:r w:rsidR="00401D48" w:rsidRPr="00AE17E1">
        <w:t>Licence to erect, alter and dismantle scaffolding intermediate level</w:t>
      </w:r>
    </w:p>
    <w:p w14:paraId="46B83E4C" w14:textId="6EFE239C" w:rsidR="00401D48" w:rsidRPr="00AE17E1" w:rsidRDefault="00BE6205" w:rsidP="00401D48">
      <w:r>
        <w:t>CPCCLSF4001</w:t>
      </w:r>
      <w:r w:rsidR="00401D48">
        <w:t xml:space="preserve"> </w:t>
      </w:r>
      <w:r>
        <w:tab/>
      </w:r>
      <w:r w:rsidR="00401D48" w:rsidRPr="00AE17E1">
        <w:t>Licence to erect, alter and dismantle scaffolding advanced level</w:t>
      </w:r>
    </w:p>
    <w:p w14:paraId="253AB271" w14:textId="26A90704" w:rsidR="00401D48" w:rsidRPr="00D60DCD" w:rsidRDefault="00BE6205" w:rsidP="00401D48">
      <w:r>
        <w:t>CPCCLHS3001</w:t>
      </w:r>
      <w:r w:rsidR="00401D48">
        <w:t xml:space="preserve"> </w:t>
      </w:r>
      <w:r>
        <w:tab/>
      </w:r>
      <w:r w:rsidR="00401D48" w:rsidRPr="003F5F27">
        <w:t>Licence to operate a personnel and materials hoist</w:t>
      </w:r>
    </w:p>
    <w:p w14:paraId="57DC61CE" w14:textId="3D7EFB4C" w:rsidR="00401D48" w:rsidRPr="00AE17E1" w:rsidRDefault="00BE6205" w:rsidP="00401D48">
      <w:r>
        <w:t>CPCCSC2001</w:t>
      </w:r>
      <w:r w:rsidR="00401D48">
        <w:t xml:space="preserve"> </w:t>
      </w:r>
      <w:r>
        <w:tab/>
      </w:r>
      <w:r w:rsidR="00401D48" w:rsidRPr="00AE17E1">
        <w:t>Safely handle and use scaffolding tools and equipment</w:t>
      </w:r>
    </w:p>
    <w:p w14:paraId="3EE0407A" w14:textId="77777777" w:rsidR="00874FC1" w:rsidRPr="00AF4FE6" w:rsidRDefault="00874FC1" w:rsidP="00874FC1">
      <w:r w:rsidRPr="00AF4FE6">
        <w:t xml:space="preserve">CPCCSF3002 </w:t>
      </w:r>
      <w:r>
        <w:tab/>
      </w:r>
      <w:r w:rsidRPr="00AF4FE6">
        <w:t xml:space="preserve">Carry out </w:t>
      </w:r>
      <w:proofErr w:type="spellStart"/>
      <w:r w:rsidRPr="00AF4FE6">
        <w:t>monostrand</w:t>
      </w:r>
      <w:proofErr w:type="spellEnd"/>
      <w:r w:rsidRPr="00AF4FE6">
        <w:t xml:space="preserve"> post-tensioning</w:t>
      </w:r>
    </w:p>
    <w:p w14:paraId="3C1666A8" w14:textId="77777777" w:rsidR="00874FC1" w:rsidRPr="00AF4FE6" w:rsidRDefault="00874FC1" w:rsidP="00874FC1">
      <w:r w:rsidRPr="00AF4FE6">
        <w:t xml:space="preserve">CPCCSF3003 </w:t>
      </w:r>
      <w:r>
        <w:tab/>
      </w:r>
      <w:r w:rsidRPr="00AF4FE6">
        <w:t>Carry out multistrand post-tensioning</w:t>
      </w:r>
    </w:p>
    <w:p w14:paraId="0DDEFEC3" w14:textId="60EAAB98" w:rsidR="00874FC1" w:rsidRDefault="00874FC1" w:rsidP="00401D48">
      <w:r w:rsidRPr="00AF4FE6">
        <w:t xml:space="preserve">CPCCSF3004 </w:t>
      </w:r>
      <w:r>
        <w:tab/>
      </w:r>
      <w:r w:rsidRPr="00AF4FE6">
        <w:t xml:space="preserve">Carry out </w:t>
      </w:r>
      <w:proofErr w:type="spellStart"/>
      <w:r w:rsidRPr="00AF4FE6">
        <w:t>stressbar</w:t>
      </w:r>
      <w:proofErr w:type="spellEnd"/>
      <w:r w:rsidRPr="00AF4FE6">
        <w:t xml:space="preserve"> post-tensioning</w:t>
      </w:r>
    </w:p>
    <w:p w14:paraId="61B28F4C" w14:textId="3DE5ECA2" w:rsidR="00600B32" w:rsidRPr="00BE6205" w:rsidRDefault="00600B32" w:rsidP="00401D48">
      <w:r>
        <w:t xml:space="preserve">RIIHAN309E </w:t>
      </w:r>
      <w:r>
        <w:tab/>
      </w:r>
      <w:r w:rsidRPr="00600B32">
        <w:t>Conduct telescopic materials handler operations</w:t>
      </w:r>
    </w:p>
    <w:p w14:paraId="39322BD3" w14:textId="583742F4" w:rsidR="00401D48" w:rsidRPr="00AE17E1" w:rsidRDefault="00401D48" w:rsidP="00401D48">
      <w:r w:rsidRPr="00AE17E1">
        <w:t>RIIWHS202D</w:t>
      </w:r>
      <w:r>
        <w:t xml:space="preserve"> </w:t>
      </w:r>
      <w:r w:rsidR="00BE6205">
        <w:tab/>
      </w:r>
      <w:r w:rsidRPr="00AE17E1">
        <w:t>Enter and work in confined spaces</w:t>
      </w:r>
    </w:p>
    <w:p w14:paraId="54C806B5" w14:textId="5B10702B" w:rsidR="00401D48" w:rsidRPr="00AE17E1" w:rsidRDefault="00401D48" w:rsidP="00401D48">
      <w:r w:rsidRPr="00AE17E1">
        <w:t>RIIWHS205D</w:t>
      </w:r>
      <w:r>
        <w:t xml:space="preserve"> </w:t>
      </w:r>
      <w:r w:rsidR="00BE6205">
        <w:tab/>
      </w:r>
      <w:r w:rsidRPr="00AE17E1">
        <w:t>Control traffic with stop-slow bat</w:t>
      </w:r>
    </w:p>
    <w:p w14:paraId="18B62B6B" w14:textId="20AC002F" w:rsidR="00401D48" w:rsidRPr="00AE17E1" w:rsidRDefault="00401D48" w:rsidP="00401D48">
      <w:r w:rsidRPr="00AE17E1">
        <w:t>RIIWHS302D</w:t>
      </w:r>
      <w:r>
        <w:t xml:space="preserve"> </w:t>
      </w:r>
      <w:r w:rsidR="00BE6205">
        <w:tab/>
      </w:r>
      <w:r w:rsidRPr="00AE17E1">
        <w:t>Implement traffic management plan</w:t>
      </w:r>
    </w:p>
    <w:p w14:paraId="1FAC5D4C" w14:textId="05AB970C" w:rsidR="00401D48" w:rsidRPr="00AE17E1" w:rsidRDefault="00600B32" w:rsidP="00401D48">
      <w:r>
        <w:t>TLILIC0003</w:t>
      </w:r>
      <w:r w:rsidR="00401D48">
        <w:t xml:space="preserve"> </w:t>
      </w:r>
      <w:r w:rsidR="00BE6205">
        <w:tab/>
      </w:r>
      <w:r w:rsidR="00401D48" w:rsidRPr="00AE17E1">
        <w:t>Licence to operate a forklift truck</w:t>
      </w:r>
    </w:p>
    <w:p w14:paraId="23E8374B" w14:textId="7F9285AB" w:rsidR="00600B32" w:rsidRPr="00600B32" w:rsidRDefault="00600B32" w:rsidP="00600B32">
      <w:pPr>
        <w:rPr>
          <w:rFonts w:ascii="Times New Roman" w:eastAsia="Times New Roman" w:hAnsi="Times New Roman"/>
          <w:sz w:val="24"/>
          <w:szCs w:val="24"/>
        </w:rPr>
      </w:pPr>
      <w:r>
        <w:t>TLILIC</w:t>
      </w:r>
      <w:proofErr w:type="gramStart"/>
      <w:r>
        <w:t xml:space="preserve">0005 </w:t>
      </w:r>
      <w:r w:rsidRPr="00600B32">
        <w:t xml:space="preserve"> </w:t>
      </w:r>
      <w:r>
        <w:tab/>
      </w:r>
      <w:proofErr w:type="gramEnd"/>
      <w:r w:rsidRPr="00600B32">
        <w:t>Licence to operate a boom-type elevating work platform (boom length 11 metres or more)</w:t>
      </w:r>
    </w:p>
    <w:p w14:paraId="639E9E4C" w14:textId="18660601" w:rsidR="00EB5371" w:rsidRDefault="00EB5371" w:rsidP="003F5F27">
      <w:pPr>
        <w:pStyle w:val="Heading2"/>
        <w:shd w:val="clear" w:color="auto" w:fill="FFFFFF"/>
        <w:spacing w:after="0"/>
        <w:rPr>
          <w:rFonts w:ascii="Arial" w:hAnsi="Arial" w:cs="Arial"/>
          <w:color w:val="293790"/>
        </w:rPr>
      </w:pPr>
    </w:p>
    <w:p w14:paraId="024886A6" w14:textId="77777777" w:rsidR="003F5F27" w:rsidRDefault="003F5F27" w:rsidP="00612E2D"/>
    <w:p w14:paraId="16CD11D9" w14:textId="4CE2ADF7" w:rsidR="00AE17E1" w:rsidRPr="00342D03" w:rsidRDefault="00AE17E1" w:rsidP="00612E2D"/>
    <w:p w14:paraId="54327425" w14:textId="77777777" w:rsidR="00612E2D" w:rsidRDefault="00CD528A" w:rsidP="00612E2D">
      <w:pPr>
        <w:rPr>
          <w:b/>
          <w:bCs/>
        </w:rPr>
      </w:pPr>
      <w:r w:rsidRPr="00342D03">
        <w:rPr>
          <w:b/>
          <w:bCs/>
        </w:rPr>
        <w:t>QUALIFICATION MAPPING INFORMATION</w:t>
      </w:r>
    </w:p>
    <w:tbl>
      <w:tblPr>
        <w:tblW w:w="44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460"/>
        <w:gridCol w:w="2268"/>
        <w:gridCol w:w="1694"/>
      </w:tblGrid>
      <w:tr w:rsidR="00CD528A" w:rsidRPr="00CC0B26" w14:paraId="3C33829E" w14:textId="77777777" w:rsidTr="00AE17E1">
        <w:trPr>
          <w:trHeight w:hRule="exact" w:val="970"/>
        </w:trPr>
        <w:tc>
          <w:tcPr>
            <w:tcW w:w="1027" w:type="pct"/>
            <w:shd w:val="clear" w:color="auto" w:fill="auto"/>
            <w:hideMark/>
          </w:tcPr>
          <w:p w14:paraId="2E9E7FC4" w14:textId="77777777" w:rsidR="008710D4" w:rsidRPr="00CC0B26" w:rsidRDefault="008710D4" w:rsidP="001D0CFD">
            <w:pPr>
              <w:rPr>
                <w:b/>
              </w:rPr>
            </w:pPr>
            <w:r w:rsidRPr="00CC0B26">
              <w:rPr>
                <w:b/>
              </w:rPr>
              <w:t>Code and Title</w:t>
            </w:r>
          </w:p>
        </w:tc>
        <w:tc>
          <w:tcPr>
            <w:tcW w:w="1522" w:type="pct"/>
            <w:shd w:val="clear" w:color="auto" w:fill="auto"/>
            <w:hideMark/>
          </w:tcPr>
          <w:p w14:paraId="11985141" w14:textId="771F9751" w:rsidR="008710D4" w:rsidRPr="00CC0B26" w:rsidRDefault="00CD1717" w:rsidP="00CE0739">
            <w:pPr>
              <w:rPr>
                <w:b/>
              </w:rPr>
            </w:pPr>
            <w:r>
              <w:rPr>
                <w:b/>
              </w:rPr>
              <w:t xml:space="preserve">CPC08 Construction, Plumbing and </w:t>
            </w:r>
            <w:r w:rsidRPr="00CC0B26">
              <w:rPr>
                <w:b/>
              </w:rPr>
              <w:t>Services Training Package</w:t>
            </w:r>
          </w:p>
        </w:tc>
        <w:tc>
          <w:tcPr>
            <w:tcW w:w="1403" w:type="pct"/>
            <w:shd w:val="clear" w:color="auto" w:fill="auto"/>
            <w:hideMark/>
          </w:tcPr>
          <w:p w14:paraId="1B71F64B" w14:textId="77777777" w:rsidR="008710D4" w:rsidRPr="00CC0B26" w:rsidRDefault="008710D4" w:rsidP="001D0CFD">
            <w:pPr>
              <w:rPr>
                <w:b/>
              </w:rPr>
            </w:pPr>
            <w:r w:rsidRPr="00CC0B26">
              <w:rPr>
                <w:b/>
              </w:rPr>
              <w:t>Comments</w:t>
            </w:r>
          </w:p>
        </w:tc>
        <w:tc>
          <w:tcPr>
            <w:tcW w:w="1048" w:type="pct"/>
            <w:shd w:val="clear" w:color="auto" w:fill="auto"/>
            <w:hideMark/>
          </w:tcPr>
          <w:p w14:paraId="7E026040" w14:textId="31FDB8FA" w:rsidR="008710D4" w:rsidRPr="00CC0B26" w:rsidRDefault="00F468A1" w:rsidP="001D0CFD">
            <w:pPr>
              <w:rPr>
                <w:b/>
              </w:rPr>
            </w:pPr>
            <w:r>
              <w:rPr>
                <w:b/>
              </w:rPr>
              <w:t>Anticipated e</w:t>
            </w:r>
            <w:r w:rsidR="009F73A8" w:rsidRPr="00CC0B26">
              <w:rPr>
                <w:b/>
              </w:rPr>
              <w:t>quivalency statement</w:t>
            </w:r>
          </w:p>
        </w:tc>
      </w:tr>
      <w:tr w:rsidR="00CD528A" w:rsidRPr="00CC0B26" w14:paraId="2D17AC75" w14:textId="77777777" w:rsidTr="00AE17E1">
        <w:trPr>
          <w:trHeight w:val="28"/>
        </w:trPr>
        <w:tc>
          <w:tcPr>
            <w:tcW w:w="1027" w:type="pct"/>
            <w:shd w:val="clear" w:color="auto" w:fill="auto"/>
          </w:tcPr>
          <w:p w14:paraId="1F26BB8C" w14:textId="6B5A54B6" w:rsidR="008710D4" w:rsidRPr="00CC0B26" w:rsidRDefault="00FA704F" w:rsidP="00CC0B26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CPC3xx19</w:t>
            </w:r>
            <w:r w:rsidR="00AE17E1">
              <w:rPr>
                <w:color w:val="000000"/>
                <w:lang w:eastAsia="en-AU"/>
              </w:rPr>
              <w:t xml:space="preserve"> Certificate III in Demolition </w:t>
            </w:r>
          </w:p>
        </w:tc>
        <w:tc>
          <w:tcPr>
            <w:tcW w:w="1522" w:type="pct"/>
            <w:shd w:val="clear" w:color="auto" w:fill="auto"/>
          </w:tcPr>
          <w:p w14:paraId="2BF59CAA" w14:textId="7E30A2C4" w:rsidR="008710D4" w:rsidRPr="00CC0B26" w:rsidRDefault="00FA704F" w:rsidP="00CC0B26">
            <w:pPr>
              <w:spacing w:after="0" w:line="240" w:lineRule="auto"/>
              <w:rPr>
                <w:b/>
              </w:rPr>
            </w:pPr>
            <w:r>
              <w:rPr>
                <w:color w:val="000000"/>
                <w:lang w:eastAsia="en-AU"/>
              </w:rPr>
              <w:t>CPC30413 Certificate III in Demolition</w:t>
            </w:r>
          </w:p>
        </w:tc>
        <w:tc>
          <w:tcPr>
            <w:tcW w:w="1403" w:type="pct"/>
            <w:shd w:val="clear" w:color="auto" w:fill="auto"/>
          </w:tcPr>
          <w:p w14:paraId="0887DF15" w14:textId="62FAA889" w:rsidR="0049719B" w:rsidRPr="00CC0B26" w:rsidRDefault="0049719B" w:rsidP="00CC0B26">
            <w:pPr>
              <w:spacing w:after="0" w:line="240" w:lineRule="auto"/>
            </w:pPr>
            <w:r w:rsidRPr="00CC0B26">
              <w:t>Supersedes and is equivalent to</w:t>
            </w:r>
            <w:r w:rsidR="00FA704F">
              <w:rPr>
                <w:color w:val="000000"/>
                <w:lang w:eastAsia="en-AU"/>
              </w:rPr>
              <w:t xml:space="preserve"> CPC30413 Certificate III in Demolition</w:t>
            </w:r>
          </w:p>
        </w:tc>
        <w:tc>
          <w:tcPr>
            <w:tcW w:w="1048" w:type="pct"/>
            <w:shd w:val="clear" w:color="auto" w:fill="auto"/>
          </w:tcPr>
          <w:p w14:paraId="5F85DA61" w14:textId="6F87C520" w:rsidR="008710D4" w:rsidRPr="00CC0B26" w:rsidRDefault="00721C5E" w:rsidP="00CC0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14:paraId="003FC998" w14:textId="77777777" w:rsidR="008710D4" w:rsidRPr="00342D03" w:rsidRDefault="008710D4" w:rsidP="00612E2D">
      <w:pPr>
        <w:rPr>
          <w:b/>
          <w:bCs/>
        </w:rPr>
      </w:pPr>
    </w:p>
    <w:p w14:paraId="2A256B77" w14:textId="77777777" w:rsidR="00612E2D" w:rsidRPr="00342D03" w:rsidRDefault="00CD528A" w:rsidP="00612E2D">
      <w:pPr>
        <w:rPr>
          <w:b/>
          <w:bCs/>
        </w:rPr>
      </w:pPr>
      <w:bookmarkStart w:id="4" w:name="O_661075"/>
      <w:bookmarkEnd w:id="4"/>
      <w:r w:rsidRPr="00342D03">
        <w:rPr>
          <w:b/>
          <w:bCs/>
        </w:rPr>
        <w:t>LINKS</w:t>
      </w:r>
    </w:p>
    <w:p w14:paraId="78988441" w14:textId="77777777" w:rsidR="00612E2D" w:rsidRPr="00342D03" w:rsidRDefault="00612E2D" w:rsidP="00612E2D">
      <w:pPr>
        <w:pStyle w:val="BodyText"/>
      </w:pPr>
      <w:r w:rsidRPr="00342D03">
        <w:t>An Implementation Guide to this Training Package is available at:</w:t>
      </w:r>
    </w:p>
    <w:p w14:paraId="0E16998B" w14:textId="77777777" w:rsidR="00612E2D" w:rsidRPr="00342D03" w:rsidRDefault="00612E2D" w:rsidP="00612E2D">
      <w:pPr>
        <w:pStyle w:val="BodyText"/>
      </w:pPr>
    </w:p>
    <w:p w14:paraId="140D1A94" w14:textId="77777777" w:rsidR="00E6083E" w:rsidRPr="00CC0B26" w:rsidRDefault="00E6083E" w:rsidP="00612E2D">
      <w:pPr>
        <w:spacing w:after="0" w:line="240" w:lineRule="auto"/>
        <w:rPr>
          <w:rFonts w:eastAsia="Yu Gothic Light"/>
          <w:b/>
          <w:sz w:val="32"/>
          <w:szCs w:val="26"/>
        </w:rPr>
      </w:pPr>
    </w:p>
    <w:sectPr w:rsidR="00E6083E" w:rsidRPr="00CC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45B5" w14:textId="77777777" w:rsidR="00466204" w:rsidRDefault="00466204" w:rsidP="00A66B71">
      <w:pPr>
        <w:spacing w:after="0" w:line="240" w:lineRule="auto"/>
      </w:pPr>
      <w:r>
        <w:separator/>
      </w:r>
    </w:p>
  </w:endnote>
  <w:endnote w:type="continuationSeparator" w:id="0">
    <w:p w14:paraId="1B0804FB" w14:textId="77777777" w:rsidR="00466204" w:rsidRDefault="00466204" w:rsidP="00A6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9DC0" w14:textId="77777777" w:rsidR="00A66B71" w:rsidRDefault="00A6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9262" w14:textId="77777777" w:rsidR="00A66B71" w:rsidRDefault="00A6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640F" w14:textId="77777777" w:rsidR="00A66B71" w:rsidRDefault="00A6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1ADA" w14:textId="77777777" w:rsidR="00466204" w:rsidRDefault="00466204" w:rsidP="00A66B71">
      <w:pPr>
        <w:spacing w:after="0" w:line="240" w:lineRule="auto"/>
      </w:pPr>
      <w:r>
        <w:separator/>
      </w:r>
    </w:p>
  </w:footnote>
  <w:footnote w:type="continuationSeparator" w:id="0">
    <w:p w14:paraId="5A24453D" w14:textId="77777777" w:rsidR="00466204" w:rsidRDefault="00466204" w:rsidP="00A6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9D0" w14:textId="2A4C1549" w:rsidR="00A66B71" w:rsidRDefault="00466204">
    <w:pPr>
      <w:pStyle w:val="Header"/>
    </w:pPr>
    <w:r>
      <w:rPr>
        <w:noProof/>
      </w:rPr>
      <w:pict w14:anchorId="43D95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2641" o:spid="_x0000_s2051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F090" w14:textId="0E8E6E56" w:rsidR="00A66B71" w:rsidRDefault="00466204">
    <w:pPr>
      <w:pStyle w:val="Header"/>
    </w:pPr>
    <w:r>
      <w:rPr>
        <w:noProof/>
      </w:rPr>
      <w:pict w14:anchorId="092B84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2642" o:spid="_x0000_s2050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B52" w14:textId="12AC2FAA" w:rsidR="00A66B71" w:rsidRDefault="00466204">
    <w:pPr>
      <w:pStyle w:val="Header"/>
    </w:pPr>
    <w:r>
      <w:rPr>
        <w:noProof/>
      </w:rPr>
      <w:pict w14:anchorId="72AD3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2640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922"/>
    <w:multiLevelType w:val="hybridMultilevel"/>
    <w:tmpl w:val="6B6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F74"/>
    <w:multiLevelType w:val="multilevel"/>
    <w:tmpl w:val="002E6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15EE9"/>
    <w:multiLevelType w:val="hybridMultilevel"/>
    <w:tmpl w:val="921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5" w15:restartNumberingAfterBreak="0">
    <w:nsid w:val="38C944E3"/>
    <w:multiLevelType w:val="hybridMultilevel"/>
    <w:tmpl w:val="FCD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6E906C2A"/>
    <w:multiLevelType w:val="multilevel"/>
    <w:tmpl w:val="A9686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1"/>
    <w:rsid w:val="000230B1"/>
    <w:rsid w:val="000B6792"/>
    <w:rsid w:val="000C3CAC"/>
    <w:rsid w:val="000D35EA"/>
    <w:rsid w:val="001133DB"/>
    <w:rsid w:val="00131BFF"/>
    <w:rsid w:val="001958B6"/>
    <w:rsid w:val="001A4539"/>
    <w:rsid w:val="001C2F29"/>
    <w:rsid w:val="001C3869"/>
    <w:rsid w:val="001D0CFD"/>
    <w:rsid w:val="00214CA8"/>
    <w:rsid w:val="002214A9"/>
    <w:rsid w:val="00275118"/>
    <w:rsid w:val="002C7BE3"/>
    <w:rsid w:val="002E511F"/>
    <w:rsid w:val="00330A15"/>
    <w:rsid w:val="003553AB"/>
    <w:rsid w:val="00361A30"/>
    <w:rsid w:val="003C22D8"/>
    <w:rsid w:val="003E22D4"/>
    <w:rsid w:val="003F15B7"/>
    <w:rsid w:val="003F5F27"/>
    <w:rsid w:val="00401D48"/>
    <w:rsid w:val="00466204"/>
    <w:rsid w:val="00495FE5"/>
    <w:rsid w:val="0049719B"/>
    <w:rsid w:val="004C4E1E"/>
    <w:rsid w:val="005210D2"/>
    <w:rsid w:val="005322CE"/>
    <w:rsid w:val="0053341E"/>
    <w:rsid w:val="00546A95"/>
    <w:rsid w:val="00546FFF"/>
    <w:rsid w:val="00586961"/>
    <w:rsid w:val="005C187E"/>
    <w:rsid w:val="005D5EA2"/>
    <w:rsid w:val="00600B32"/>
    <w:rsid w:val="00612E2D"/>
    <w:rsid w:val="0067115A"/>
    <w:rsid w:val="00696BED"/>
    <w:rsid w:val="006A037A"/>
    <w:rsid w:val="006B6AAA"/>
    <w:rsid w:val="006C1E5D"/>
    <w:rsid w:val="006D159E"/>
    <w:rsid w:val="006D3416"/>
    <w:rsid w:val="006D7DC8"/>
    <w:rsid w:val="006F082C"/>
    <w:rsid w:val="006F1142"/>
    <w:rsid w:val="006F4EE1"/>
    <w:rsid w:val="007176F9"/>
    <w:rsid w:val="00721C5E"/>
    <w:rsid w:val="007435DC"/>
    <w:rsid w:val="007707BE"/>
    <w:rsid w:val="007742DC"/>
    <w:rsid w:val="007A62CF"/>
    <w:rsid w:val="007D58C3"/>
    <w:rsid w:val="00810FDB"/>
    <w:rsid w:val="00812EF3"/>
    <w:rsid w:val="0084389C"/>
    <w:rsid w:val="00846E5A"/>
    <w:rsid w:val="0085667F"/>
    <w:rsid w:val="008710D4"/>
    <w:rsid w:val="00874FC1"/>
    <w:rsid w:val="00886716"/>
    <w:rsid w:val="008B22CC"/>
    <w:rsid w:val="008C324F"/>
    <w:rsid w:val="008D2A60"/>
    <w:rsid w:val="008D2B3F"/>
    <w:rsid w:val="008D45D8"/>
    <w:rsid w:val="009048DA"/>
    <w:rsid w:val="00970FCD"/>
    <w:rsid w:val="009749F3"/>
    <w:rsid w:val="00986353"/>
    <w:rsid w:val="009F73A8"/>
    <w:rsid w:val="00A44BBB"/>
    <w:rsid w:val="00A5238A"/>
    <w:rsid w:val="00A66B71"/>
    <w:rsid w:val="00A8419C"/>
    <w:rsid w:val="00A947AA"/>
    <w:rsid w:val="00AB2869"/>
    <w:rsid w:val="00AC6DC2"/>
    <w:rsid w:val="00AC75B6"/>
    <w:rsid w:val="00AD7458"/>
    <w:rsid w:val="00AE17E1"/>
    <w:rsid w:val="00AF4FE6"/>
    <w:rsid w:val="00B0612A"/>
    <w:rsid w:val="00B157D2"/>
    <w:rsid w:val="00B417BB"/>
    <w:rsid w:val="00B64154"/>
    <w:rsid w:val="00B75CD3"/>
    <w:rsid w:val="00BE3D0A"/>
    <w:rsid w:val="00BE6205"/>
    <w:rsid w:val="00C770E3"/>
    <w:rsid w:val="00CB1D12"/>
    <w:rsid w:val="00CC0B26"/>
    <w:rsid w:val="00CD1717"/>
    <w:rsid w:val="00CD528A"/>
    <w:rsid w:val="00CE0739"/>
    <w:rsid w:val="00CF5DEB"/>
    <w:rsid w:val="00D22F80"/>
    <w:rsid w:val="00D60DCD"/>
    <w:rsid w:val="00DC19EB"/>
    <w:rsid w:val="00DE6A37"/>
    <w:rsid w:val="00E30509"/>
    <w:rsid w:val="00E404E3"/>
    <w:rsid w:val="00E442C0"/>
    <w:rsid w:val="00E530A4"/>
    <w:rsid w:val="00E6083E"/>
    <w:rsid w:val="00E61112"/>
    <w:rsid w:val="00EB5371"/>
    <w:rsid w:val="00EC6591"/>
    <w:rsid w:val="00EE4C4B"/>
    <w:rsid w:val="00F316CD"/>
    <w:rsid w:val="00F468A1"/>
    <w:rsid w:val="00F47C59"/>
    <w:rsid w:val="00F70322"/>
    <w:rsid w:val="00F712DA"/>
    <w:rsid w:val="00FA704F"/>
    <w:rsid w:val="00FC0F5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7DE4E0"/>
  <w15:docId w15:val="{92DA4DFA-8ECD-E346-A993-6916583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E17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53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EA53D-3A07-41BE-83A9-ED8339D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Katalin Bolkeny</cp:lastModifiedBy>
  <cp:revision>30</cp:revision>
  <dcterms:created xsi:type="dcterms:W3CDTF">2018-07-06T05:35:00Z</dcterms:created>
  <dcterms:modified xsi:type="dcterms:W3CDTF">2018-10-11T03:54:00Z</dcterms:modified>
</cp:coreProperties>
</file>