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6EC0" w14:textId="77777777" w:rsidR="00E73F14" w:rsidRDefault="00E73F14">
      <w:pPr>
        <w:rPr>
          <w:color w:val="A6A6A6" w:themeColor="background1" w:themeShade="A6"/>
          <w:sz w:val="32"/>
        </w:rPr>
      </w:pPr>
    </w:p>
    <w:p w14:paraId="53A4C45C" w14:textId="77777777" w:rsidR="006C3AE9" w:rsidRDefault="0001475A" w:rsidP="00D84328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6"/>
        </w:rPr>
        <w:t>High Risk Work</w:t>
      </w:r>
      <w:r w:rsidR="00D84328" w:rsidRPr="00D84328">
        <w:rPr>
          <w:color w:val="FFFFFF" w:themeColor="background1"/>
          <w:sz w:val="36"/>
        </w:rPr>
        <w:t xml:space="preserve"> </w:t>
      </w:r>
      <w:proofErr w:type="spellStart"/>
      <w:r w:rsidR="006C3AE9">
        <w:rPr>
          <w:color w:val="FFFFFF" w:themeColor="background1"/>
          <w:sz w:val="36"/>
        </w:rPr>
        <w:t>Licence</w:t>
      </w:r>
      <w:proofErr w:type="spellEnd"/>
      <w:r w:rsidR="006C3AE9">
        <w:rPr>
          <w:color w:val="FFFFFF" w:themeColor="background1"/>
          <w:sz w:val="36"/>
        </w:rPr>
        <w:t xml:space="preserve"> Units of Competency</w:t>
      </w:r>
    </w:p>
    <w:p w14:paraId="44981FC4" w14:textId="60F83295" w:rsidR="00D84328" w:rsidRPr="00D84328" w:rsidRDefault="00D84328" w:rsidP="00D84328">
      <w:pPr>
        <w:shd w:val="clear" w:color="auto" w:fill="A6A6A6" w:themeFill="background1" w:themeFillShade="A6"/>
        <w:rPr>
          <w:color w:val="FFFFFF" w:themeColor="background1"/>
          <w:sz w:val="36"/>
        </w:rPr>
      </w:pPr>
      <w:r w:rsidRPr="00D84328">
        <w:rPr>
          <w:color w:val="FFFFFF" w:themeColor="background1"/>
          <w:sz w:val="36"/>
        </w:rPr>
        <w:t xml:space="preserve">Project </w:t>
      </w:r>
      <w:r w:rsidR="002711A8">
        <w:rPr>
          <w:color w:val="FFFFFF" w:themeColor="background1"/>
          <w:sz w:val="36"/>
        </w:rPr>
        <w:t xml:space="preserve">Brief </w:t>
      </w:r>
      <w:r w:rsidR="00B7792E">
        <w:rPr>
          <w:color w:val="FFFFFF" w:themeColor="background1"/>
          <w:sz w:val="36"/>
        </w:rPr>
        <w:t xml:space="preserve">2 </w:t>
      </w:r>
      <w:r w:rsidR="006C3AE9">
        <w:rPr>
          <w:color w:val="FFFFFF" w:themeColor="background1"/>
          <w:sz w:val="36"/>
        </w:rPr>
        <w:t>December 2018</w:t>
      </w:r>
    </w:p>
    <w:p w14:paraId="741F06F3" w14:textId="77777777" w:rsidR="00D84328" w:rsidRPr="00D84328" w:rsidRDefault="00D84328" w:rsidP="00D84328">
      <w:pPr>
        <w:rPr>
          <w:color w:val="000000" w:themeColor="text1"/>
        </w:rPr>
      </w:pPr>
    </w:p>
    <w:p w14:paraId="1AB5C03D" w14:textId="6640E7AE" w:rsidR="00D84328" w:rsidRDefault="003928B2" w:rsidP="0037611C">
      <w:pPr>
        <w:pStyle w:val="Heading1"/>
      </w:pPr>
      <w:bookmarkStart w:id="0" w:name="_Toc475695374"/>
      <w:bookmarkStart w:id="1" w:name="_Toc475695482"/>
      <w:bookmarkStart w:id="2" w:name="_Toc475972867"/>
      <w:bookmarkStart w:id="3" w:name="_Toc475972963"/>
      <w:bookmarkStart w:id="4" w:name="_Toc482092938"/>
      <w:bookmarkStart w:id="5" w:name="_Toc485194391"/>
      <w:bookmarkStart w:id="6" w:name="_Toc497142357"/>
      <w:bookmarkStart w:id="7" w:name="_Toc498336450"/>
      <w:bookmarkStart w:id="8" w:name="_Toc522023262"/>
      <w:r w:rsidRPr="004763B0">
        <w:t xml:space="preserve">Project </w:t>
      </w:r>
      <w:r w:rsidR="00E46CC6">
        <w:t>activities and progress</w:t>
      </w:r>
    </w:p>
    <w:p w14:paraId="3EC73688" w14:textId="4E3B2A56" w:rsidR="004763B0" w:rsidRPr="0001475A" w:rsidRDefault="0001475A" w:rsidP="004763B0">
      <w:pPr>
        <w:rPr>
          <w:b/>
          <w:lang w:val="en-AU"/>
        </w:rPr>
      </w:pPr>
      <w:r w:rsidRPr="0001475A">
        <w:rPr>
          <w:b/>
          <w:lang w:val="en-AU"/>
        </w:rPr>
        <w:t xml:space="preserve">11 High Risk Work </w:t>
      </w:r>
      <w:r w:rsidR="00B45983">
        <w:rPr>
          <w:b/>
          <w:lang w:val="en-AU"/>
        </w:rPr>
        <w:t>Licence</w:t>
      </w:r>
      <w:r w:rsidRPr="0001475A">
        <w:rPr>
          <w:b/>
          <w:lang w:val="en-AU"/>
        </w:rPr>
        <w:t xml:space="preserve"> </w:t>
      </w:r>
      <w:r w:rsidR="00B45983">
        <w:rPr>
          <w:b/>
          <w:lang w:val="en-AU"/>
        </w:rPr>
        <w:t>U</w:t>
      </w:r>
      <w:r w:rsidRPr="0001475A">
        <w:rPr>
          <w:b/>
          <w:lang w:val="en-AU"/>
        </w:rPr>
        <w:t xml:space="preserve">nits of </w:t>
      </w:r>
      <w:r w:rsidR="00B45983">
        <w:rPr>
          <w:b/>
          <w:lang w:val="en-AU"/>
        </w:rPr>
        <w:t>C</w:t>
      </w:r>
      <w:r w:rsidRPr="0001475A">
        <w:rPr>
          <w:b/>
          <w:lang w:val="en-AU"/>
        </w:rPr>
        <w:t>ompetency</w:t>
      </w:r>
    </w:p>
    <w:p w14:paraId="7FD31480" w14:textId="27EC9CA1" w:rsidR="0001475A" w:rsidRDefault="0001475A" w:rsidP="004763B0">
      <w:pPr>
        <w:rPr>
          <w:lang w:val="en-AU"/>
        </w:rPr>
      </w:pPr>
    </w:p>
    <w:p w14:paraId="3B419CE3" w14:textId="707A0C66" w:rsidR="0001475A" w:rsidRDefault="0001475A" w:rsidP="004763B0">
      <w:pPr>
        <w:rPr>
          <w:lang w:val="en-AU"/>
        </w:rPr>
      </w:pPr>
      <w:r>
        <w:rPr>
          <w:lang w:val="en-AU"/>
        </w:rPr>
        <w:t xml:space="preserve">On behalf of the Construction, Plumbing and Services IRC, Artibus Innovation has been working with a Technical Advisory Group to review the 11 High Risk Work units of competency which relate to licensing.  </w:t>
      </w:r>
      <w:r w:rsidR="006C3AE9">
        <w:rPr>
          <w:lang w:val="en-AU"/>
        </w:rPr>
        <w:t>As well as the Work Safely at heights unit.</w:t>
      </w:r>
    </w:p>
    <w:p w14:paraId="6F0382D4" w14:textId="74BEEB5C" w:rsidR="0001475A" w:rsidRDefault="0001475A" w:rsidP="004763B0">
      <w:pPr>
        <w:rPr>
          <w:lang w:val="en-AU"/>
        </w:rPr>
      </w:pPr>
    </w:p>
    <w:p w14:paraId="5B581B6F" w14:textId="02D4C9E7" w:rsidR="0001475A" w:rsidRDefault="006C3AE9" w:rsidP="004763B0">
      <w:pPr>
        <w:rPr>
          <w:lang w:val="en-AU"/>
        </w:rPr>
      </w:pPr>
      <w:r>
        <w:rPr>
          <w:lang w:val="en-AU"/>
        </w:rPr>
        <w:t>We have received feedback on t</w:t>
      </w:r>
      <w:r w:rsidR="0001475A">
        <w:rPr>
          <w:lang w:val="en-AU"/>
        </w:rPr>
        <w:t>hese 1</w:t>
      </w:r>
      <w:r>
        <w:rPr>
          <w:lang w:val="en-AU"/>
        </w:rPr>
        <w:t>2</w:t>
      </w:r>
      <w:r w:rsidR="0001475A">
        <w:rPr>
          <w:lang w:val="en-AU"/>
        </w:rPr>
        <w:t xml:space="preserve"> units </w:t>
      </w:r>
      <w:r>
        <w:rPr>
          <w:lang w:val="en-AU"/>
        </w:rPr>
        <w:t>of competency from</w:t>
      </w:r>
      <w:r w:rsidR="0001475A">
        <w:rPr>
          <w:lang w:val="en-AU"/>
        </w:rPr>
        <w:t xml:space="preserve"> Safe Work Australia and State Training Authorit</w:t>
      </w:r>
      <w:r>
        <w:rPr>
          <w:lang w:val="en-AU"/>
        </w:rPr>
        <w:t>ies which is reflected, where recommended by the TAG, in the latest draft of the units.</w:t>
      </w:r>
    </w:p>
    <w:p w14:paraId="3ACB301E" w14:textId="2001B5B5" w:rsidR="00B92503" w:rsidRDefault="00B92503" w:rsidP="004763B0">
      <w:pPr>
        <w:rPr>
          <w:lang w:val="en-AU"/>
        </w:rPr>
      </w:pPr>
    </w:p>
    <w:p w14:paraId="664572BA" w14:textId="6FC2A19A" w:rsidR="003928B2" w:rsidRDefault="004763B0" w:rsidP="0037611C">
      <w:pPr>
        <w:pStyle w:val="Heading1"/>
      </w:pPr>
      <w:r>
        <w:t>Key points</w:t>
      </w:r>
      <w:r w:rsidR="00E46CC6">
        <w:t>/recommendations</w:t>
      </w:r>
    </w:p>
    <w:p w14:paraId="16AA2B5F" w14:textId="57F74B5C" w:rsidR="00B7792E" w:rsidRDefault="006C3AE9" w:rsidP="00B7792E">
      <w:pPr>
        <w:rPr>
          <w:lang w:val="en-AU"/>
        </w:rPr>
      </w:pPr>
      <w:r>
        <w:rPr>
          <w:lang w:val="en-AU"/>
        </w:rPr>
        <w:t>These units of competency are being made available for wider industry consultation.</w:t>
      </w:r>
    </w:p>
    <w:p w14:paraId="73C8D821" w14:textId="77777777" w:rsidR="003928B2" w:rsidRPr="0037611C" w:rsidRDefault="003928B2" w:rsidP="003928B2">
      <w:pPr>
        <w:rPr>
          <w:color w:val="2F5496" w:themeColor="accent1" w:themeShade="BF"/>
          <w:sz w:val="28"/>
        </w:rPr>
      </w:pPr>
      <w:bookmarkStart w:id="9" w:name="O_661071"/>
      <w:bookmarkStart w:id="10" w:name="O_661072"/>
      <w:bookmarkStart w:id="11" w:name="O_661073"/>
      <w:bookmarkStart w:id="12" w:name="O_6610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B1856A2" w14:textId="0728724F" w:rsidR="003928B2" w:rsidRPr="0037611C" w:rsidRDefault="00E46CC6" w:rsidP="003928B2">
      <w:pPr>
        <w:rPr>
          <w:color w:val="2F5496" w:themeColor="accent1" w:themeShade="BF"/>
          <w:sz w:val="28"/>
        </w:rPr>
      </w:pPr>
      <w:r>
        <w:rPr>
          <w:color w:val="2F5496" w:themeColor="accent1" w:themeShade="BF"/>
          <w:sz w:val="28"/>
        </w:rPr>
        <w:t xml:space="preserve">Proposed </w:t>
      </w:r>
      <w:r w:rsidR="003928B2" w:rsidRPr="0037611C">
        <w:rPr>
          <w:color w:val="2F5496" w:themeColor="accent1" w:themeShade="BF"/>
          <w:sz w:val="28"/>
        </w:rPr>
        <w:t>Units of competency mapping</w:t>
      </w:r>
      <w:bookmarkStart w:id="13" w:name="_GoBack"/>
      <w:bookmarkEnd w:id="13"/>
    </w:p>
    <w:p w14:paraId="3D37F6EB" w14:textId="77777777" w:rsidR="006104F5" w:rsidRPr="00716C59" w:rsidRDefault="006104F5" w:rsidP="003928B2">
      <w:pPr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401"/>
        <w:gridCol w:w="2711"/>
        <w:gridCol w:w="3101"/>
        <w:gridCol w:w="1352"/>
      </w:tblGrid>
      <w:tr w:rsidR="006104F5" w:rsidRPr="00E505E3" w14:paraId="0DD2729F" w14:textId="77777777" w:rsidTr="003A0FBB">
        <w:trPr>
          <w:tblHeader/>
        </w:trPr>
        <w:tc>
          <w:tcPr>
            <w:tcW w:w="1255" w:type="pct"/>
          </w:tcPr>
          <w:p w14:paraId="4D125DA6" w14:textId="57BE597B" w:rsidR="00B7792E" w:rsidRDefault="006104F5" w:rsidP="006104F5">
            <w:pPr>
              <w:rPr>
                <w:b/>
                <w:szCs w:val="22"/>
              </w:rPr>
            </w:pPr>
            <w:r w:rsidRPr="00E505E3">
              <w:rPr>
                <w:b/>
                <w:szCs w:val="22"/>
              </w:rPr>
              <w:t>CP</w:t>
            </w:r>
            <w:r w:rsidR="00B96DA6">
              <w:rPr>
                <w:b/>
                <w:szCs w:val="22"/>
              </w:rPr>
              <w:t>C</w:t>
            </w:r>
          </w:p>
          <w:p w14:paraId="6FC06D60" w14:textId="6C6DD85D" w:rsidR="006104F5" w:rsidRPr="00E505E3" w:rsidRDefault="006104F5" w:rsidP="006104F5">
            <w:pPr>
              <w:rPr>
                <w:b/>
                <w:color w:val="000000" w:themeColor="text1"/>
                <w:szCs w:val="22"/>
              </w:rPr>
            </w:pPr>
            <w:r w:rsidRPr="00E505E3">
              <w:rPr>
                <w:b/>
                <w:szCs w:val="22"/>
              </w:rPr>
              <w:t>Training Package</w:t>
            </w:r>
          </w:p>
        </w:tc>
        <w:tc>
          <w:tcPr>
            <w:tcW w:w="1417" w:type="pct"/>
          </w:tcPr>
          <w:p w14:paraId="263ACCA9" w14:textId="6221F2F8" w:rsidR="00B7792E" w:rsidRDefault="00B7792E" w:rsidP="00B7792E">
            <w:pPr>
              <w:rPr>
                <w:b/>
                <w:szCs w:val="22"/>
              </w:rPr>
            </w:pPr>
            <w:r w:rsidRPr="00E505E3">
              <w:rPr>
                <w:b/>
                <w:szCs w:val="22"/>
              </w:rPr>
              <w:t>CP</w:t>
            </w:r>
            <w:r w:rsidR="00B96DA6">
              <w:rPr>
                <w:b/>
                <w:szCs w:val="22"/>
              </w:rPr>
              <w:t>C08</w:t>
            </w:r>
          </w:p>
          <w:p w14:paraId="4430E4B3" w14:textId="38CA2D49" w:rsidR="006104F5" w:rsidRPr="00E505E3" w:rsidRDefault="00B7792E" w:rsidP="00B7792E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E505E3">
              <w:rPr>
                <w:b/>
                <w:szCs w:val="22"/>
              </w:rPr>
              <w:t>Training Package</w:t>
            </w:r>
          </w:p>
        </w:tc>
        <w:tc>
          <w:tcPr>
            <w:tcW w:w="1621" w:type="pct"/>
          </w:tcPr>
          <w:p w14:paraId="22C2855D" w14:textId="77777777" w:rsidR="006104F5" w:rsidRPr="00E505E3" w:rsidRDefault="006104F5" w:rsidP="006104F5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E505E3">
              <w:rPr>
                <w:b/>
                <w:color w:val="000000" w:themeColor="text1"/>
                <w:szCs w:val="22"/>
              </w:rPr>
              <w:t>Comments</w:t>
            </w:r>
          </w:p>
        </w:tc>
        <w:tc>
          <w:tcPr>
            <w:tcW w:w="707" w:type="pct"/>
          </w:tcPr>
          <w:p w14:paraId="1B830E90" w14:textId="4AD20281" w:rsidR="006104F5" w:rsidRPr="00E505E3" w:rsidRDefault="00A7195C" w:rsidP="006104F5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Anticipated </w:t>
            </w:r>
            <w:r w:rsidR="006104F5" w:rsidRPr="00E505E3">
              <w:rPr>
                <w:b/>
                <w:color w:val="000000" w:themeColor="text1"/>
                <w:szCs w:val="22"/>
              </w:rPr>
              <w:t>Equivalen</w:t>
            </w:r>
            <w:r w:rsidR="00B45983">
              <w:rPr>
                <w:b/>
                <w:color w:val="000000" w:themeColor="text1"/>
                <w:szCs w:val="22"/>
              </w:rPr>
              <w:t>t</w:t>
            </w:r>
            <w:r w:rsidR="006104F5" w:rsidRPr="00E505E3">
              <w:rPr>
                <w:b/>
                <w:color w:val="000000" w:themeColor="text1"/>
                <w:szCs w:val="22"/>
              </w:rPr>
              <w:t xml:space="preserve"> statement</w:t>
            </w:r>
          </w:p>
        </w:tc>
      </w:tr>
      <w:tr w:rsidR="0061037E" w:rsidRPr="00B96DA6" w14:paraId="0A5AAD1E" w14:textId="77777777" w:rsidTr="0061037E">
        <w:tc>
          <w:tcPr>
            <w:tcW w:w="1255" w:type="pct"/>
            <w:shd w:val="clear" w:color="auto" w:fill="auto"/>
          </w:tcPr>
          <w:p w14:paraId="737023FD" w14:textId="26799669" w:rsidR="0061037E" w:rsidRPr="00B96DA6" w:rsidRDefault="0061037E" w:rsidP="0061037E">
            <w:pPr>
              <w:rPr>
                <w:rFonts w:cs="Calibri"/>
                <w:color w:val="000000"/>
                <w:szCs w:val="22"/>
              </w:rPr>
            </w:pPr>
            <w:r w:rsidRPr="00B96DA6">
              <w:rPr>
                <w:color w:val="000000"/>
              </w:rPr>
              <w:t>CPCCCM2010 Work safely at heights</w:t>
            </w:r>
          </w:p>
        </w:tc>
        <w:tc>
          <w:tcPr>
            <w:tcW w:w="1417" w:type="pct"/>
            <w:shd w:val="clear" w:color="auto" w:fill="auto"/>
          </w:tcPr>
          <w:p w14:paraId="3021955A" w14:textId="218C0573" w:rsidR="0061037E" w:rsidRPr="00B96DA6" w:rsidRDefault="0061037E" w:rsidP="0061037E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B96DA6">
              <w:rPr>
                <w:color w:val="000000"/>
              </w:rPr>
              <w:t>CPCCCM2010B Work safely at heights</w:t>
            </w:r>
          </w:p>
        </w:tc>
        <w:tc>
          <w:tcPr>
            <w:tcW w:w="1621" w:type="pct"/>
            <w:shd w:val="clear" w:color="auto" w:fill="auto"/>
          </w:tcPr>
          <w:p w14:paraId="136B5BAA" w14:textId="1FA2B5C8" w:rsidR="0061037E" w:rsidRPr="00B96DA6" w:rsidRDefault="00AF5CA4" w:rsidP="0061037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TBD</w:t>
            </w:r>
          </w:p>
        </w:tc>
        <w:tc>
          <w:tcPr>
            <w:tcW w:w="707" w:type="pct"/>
            <w:shd w:val="clear" w:color="auto" w:fill="auto"/>
          </w:tcPr>
          <w:p w14:paraId="18A8448E" w14:textId="171C49B2" w:rsidR="0061037E" w:rsidRPr="00B96DA6" w:rsidRDefault="00AF5CA4" w:rsidP="0061037E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TBD</w:t>
            </w:r>
          </w:p>
        </w:tc>
      </w:tr>
      <w:tr w:rsidR="00A64DAF" w:rsidRPr="00B96DA6" w14:paraId="02A55C8C" w14:textId="77777777" w:rsidTr="0061037E">
        <w:tc>
          <w:tcPr>
            <w:tcW w:w="1255" w:type="pct"/>
            <w:shd w:val="clear" w:color="auto" w:fill="auto"/>
          </w:tcPr>
          <w:p w14:paraId="7F2E6222" w14:textId="53A8F1A1" w:rsidR="00A64DAF" w:rsidRPr="00B96DA6" w:rsidRDefault="00A64DAF" w:rsidP="00A64DAF">
            <w:pPr>
              <w:rPr>
                <w:rFonts w:cs="Calibri"/>
                <w:color w:val="000000"/>
                <w:szCs w:val="22"/>
              </w:rPr>
            </w:pPr>
            <w:r w:rsidRPr="00B96DA6">
              <w:rPr>
                <w:color w:val="000000"/>
              </w:rPr>
              <w:t xml:space="preserve">CPCCLDG3001 </w:t>
            </w:r>
            <w:proofErr w:type="spellStart"/>
            <w:r w:rsidRPr="00B96DA6">
              <w:rPr>
                <w:color w:val="000000"/>
              </w:rPr>
              <w:t>Licence</w:t>
            </w:r>
            <w:proofErr w:type="spellEnd"/>
            <w:r w:rsidRPr="00B96DA6">
              <w:rPr>
                <w:color w:val="000000"/>
              </w:rPr>
              <w:t xml:space="preserve"> to perform dogging</w:t>
            </w:r>
          </w:p>
        </w:tc>
        <w:tc>
          <w:tcPr>
            <w:tcW w:w="1417" w:type="pct"/>
            <w:shd w:val="clear" w:color="auto" w:fill="auto"/>
          </w:tcPr>
          <w:p w14:paraId="3177ACC9" w14:textId="134A9A83" w:rsidR="00A64DAF" w:rsidRPr="00B96DA6" w:rsidRDefault="00A64DAF" w:rsidP="00A64DAF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B96DA6">
              <w:rPr>
                <w:color w:val="000000"/>
              </w:rPr>
              <w:t xml:space="preserve">CPCCLDG3001A </w:t>
            </w:r>
            <w:proofErr w:type="spellStart"/>
            <w:r w:rsidRPr="00B96DA6">
              <w:rPr>
                <w:color w:val="000000"/>
              </w:rPr>
              <w:t>Licence</w:t>
            </w:r>
            <w:proofErr w:type="spellEnd"/>
            <w:r w:rsidRPr="00B96DA6">
              <w:rPr>
                <w:color w:val="000000"/>
              </w:rPr>
              <w:t xml:space="preserve"> to perform dogging</w:t>
            </w:r>
          </w:p>
        </w:tc>
        <w:tc>
          <w:tcPr>
            <w:tcW w:w="1621" w:type="pct"/>
            <w:shd w:val="clear" w:color="auto" w:fill="auto"/>
          </w:tcPr>
          <w:p w14:paraId="158B0735" w14:textId="7BBF4A66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equivalent to </w:t>
            </w:r>
          </w:p>
          <w:p w14:paraId="572C6D5D" w14:textId="6A02F3D1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CPCCLDG3001A </w:t>
            </w:r>
            <w:proofErr w:type="spellStart"/>
            <w:r w:rsidRPr="00B96DA6">
              <w:rPr>
                <w:color w:val="000000"/>
                <w:szCs w:val="22"/>
                <w:lang w:eastAsia="en-AU"/>
              </w:rPr>
              <w:t>Licence</w:t>
            </w:r>
            <w:proofErr w:type="spellEnd"/>
            <w:r w:rsidRPr="00B96DA6">
              <w:rPr>
                <w:color w:val="000000"/>
                <w:szCs w:val="22"/>
                <w:lang w:eastAsia="en-AU"/>
              </w:rPr>
              <w:t xml:space="preserve"> to perform dogging</w:t>
            </w:r>
          </w:p>
        </w:tc>
        <w:tc>
          <w:tcPr>
            <w:tcW w:w="707" w:type="pct"/>
            <w:shd w:val="clear" w:color="auto" w:fill="auto"/>
          </w:tcPr>
          <w:p w14:paraId="5E6C7A86" w14:textId="58D41A2E" w:rsidR="00A64DAF" w:rsidRPr="00B96DA6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B96DA6" w14:paraId="5A96D6B5" w14:textId="77777777" w:rsidTr="0061037E">
        <w:tc>
          <w:tcPr>
            <w:tcW w:w="1255" w:type="pct"/>
            <w:shd w:val="clear" w:color="auto" w:fill="auto"/>
          </w:tcPr>
          <w:p w14:paraId="71F6F4BC" w14:textId="77777777" w:rsidR="00A64DAF" w:rsidRPr="00B96DA6" w:rsidRDefault="00A64DAF" w:rsidP="00A64DAF">
            <w:pPr>
              <w:rPr>
                <w:rFonts w:cs="Calibri"/>
                <w:b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CPCCLHS3001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personnel and materials hoist</w:t>
            </w:r>
          </w:p>
          <w:p w14:paraId="4EF71793" w14:textId="77777777" w:rsidR="00A64DAF" w:rsidRPr="00B96DA6" w:rsidRDefault="00A64DAF" w:rsidP="00A64DAF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2A17D5D2" w14:textId="77777777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CPCCLHS3001A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personnel and materials hoist</w:t>
            </w:r>
          </w:p>
          <w:p w14:paraId="78504D3F" w14:textId="77777777" w:rsidR="00A64DAF" w:rsidRPr="00B96DA6" w:rsidRDefault="00A64DAF" w:rsidP="00A64DAF">
            <w:pPr>
              <w:spacing w:before="40" w:after="4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21" w:type="pct"/>
            <w:shd w:val="clear" w:color="auto" w:fill="auto"/>
          </w:tcPr>
          <w:p w14:paraId="67891803" w14:textId="0E043276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rPr>
                <w:rFonts w:cs="Calibri"/>
                <w:color w:val="000000"/>
              </w:rPr>
              <w:t xml:space="preserve">CPCCLHS3001A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personnel and materials hoist</w:t>
            </w:r>
          </w:p>
          <w:p w14:paraId="3BB06AD7" w14:textId="2364A7E1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7" w:type="pct"/>
            <w:shd w:val="clear" w:color="auto" w:fill="auto"/>
          </w:tcPr>
          <w:p w14:paraId="79FF84CE" w14:textId="1D478B5C" w:rsidR="00A64DAF" w:rsidRPr="00B96DA6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E505E3" w14:paraId="671173DA" w14:textId="77777777" w:rsidTr="0061037E">
        <w:tc>
          <w:tcPr>
            <w:tcW w:w="1255" w:type="pct"/>
            <w:shd w:val="clear" w:color="auto" w:fill="auto"/>
          </w:tcPr>
          <w:p w14:paraId="3FE3228B" w14:textId="77777777" w:rsidR="00A64DAF" w:rsidRPr="00B96DA6" w:rsidRDefault="00A64DAF" w:rsidP="00A64DAF">
            <w:pPr>
              <w:rPr>
                <w:rFonts w:cs="Calibri"/>
                <w:b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CPCCLHS3002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materials hoist</w:t>
            </w:r>
          </w:p>
          <w:p w14:paraId="54577BAD" w14:textId="77777777" w:rsidR="00A64DAF" w:rsidRPr="00B96DA6" w:rsidRDefault="00A64DAF" w:rsidP="00A64DAF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07B10C63" w14:textId="77777777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CPCCLHS3002A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materials hoist</w:t>
            </w:r>
          </w:p>
          <w:p w14:paraId="3B308BCB" w14:textId="77777777" w:rsidR="00A64DAF" w:rsidRPr="00B96DA6" w:rsidRDefault="00A64DAF" w:rsidP="00A64DAF">
            <w:pPr>
              <w:spacing w:before="40" w:after="4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21" w:type="pct"/>
            <w:shd w:val="clear" w:color="auto" w:fill="auto"/>
          </w:tcPr>
          <w:p w14:paraId="5280866F" w14:textId="5210A30C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rPr>
                <w:rFonts w:cs="Calibri"/>
                <w:color w:val="000000"/>
              </w:rPr>
              <w:t xml:space="preserve">CPCCLHS3002A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materials hoist</w:t>
            </w:r>
          </w:p>
          <w:p w14:paraId="506FAC75" w14:textId="116B0A8D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7" w:type="pct"/>
            <w:shd w:val="clear" w:color="auto" w:fill="auto"/>
          </w:tcPr>
          <w:p w14:paraId="6737E9CE" w14:textId="68855B41" w:rsidR="00A64DAF" w:rsidRPr="00E505E3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B96DA6" w14:paraId="148B36F3" w14:textId="77777777" w:rsidTr="0061037E">
        <w:tc>
          <w:tcPr>
            <w:tcW w:w="1255" w:type="pct"/>
            <w:shd w:val="clear" w:color="auto" w:fill="auto"/>
          </w:tcPr>
          <w:p w14:paraId="580E1678" w14:textId="4DE424D6" w:rsidR="00A64DAF" w:rsidRPr="00B96DA6" w:rsidRDefault="00A64DAF" w:rsidP="00A64DAF">
            <w:pPr>
              <w:rPr>
                <w:rFonts w:cs="Calibri"/>
                <w:color w:val="000000"/>
                <w:szCs w:val="22"/>
              </w:rPr>
            </w:pPr>
            <w:r w:rsidRPr="00B96DA6">
              <w:rPr>
                <w:color w:val="000000"/>
              </w:rPr>
              <w:t xml:space="preserve">CPCCLRG3001 </w:t>
            </w:r>
            <w:proofErr w:type="spellStart"/>
            <w:r w:rsidRPr="00B96DA6">
              <w:rPr>
                <w:color w:val="000000"/>
              </w:rPr>
              <w:t>Licence</w:t>
            </w:r>
            <w:proofErr w:type="spellEnd"/>
            <w:r w:rsidRPr="00B96DA6">
              <w:rPr>
                <w:color w:val="000000"/>
              </w:rPr>
              <w:t xml:space="preserve"> to perform rigging basic level</w:t>
            </w:r>
          </w:p>
        </w:tc>
        <w:tc>
          <w:tcPr>
            <w:tcW w:w="1417" w:type="pct"/>
            <w:shd w:val="clear" w:color="auto" w:fill="auto"/>
          </w:tcPr>
          <w:p w14:paraId="2F80EBDC" w14:textId="4465F192" w:rsidR="00A64DAF" w:rsidRPr="00B96DA6" w:rsidRDefault="00A64DAF" w:rsidP="00A64DAF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B96DA6">
              <w:rPr>
                <w:color w:val="000000"/>
              </w:rPr>
              <w:t xml:space="preserve">CPCCLRG3001A </w:t>
            </w:r>
            <w:proofErr w:type="spellStart"/>
            <w:r w:rsidRPr="00B96DA6">
              <w:rPr>
                <w:color w:val="000000"/>
              </w:rPr>
              <w:t>Licence</w:t>
            </w:r>
            <w:proofErr w:type="spellEnd"/>
            <w:r w:rsidRPr="00B96DA6">
              <w:rPr>
                <w:color w:val="000000"/>
              </w:rPr>
              <w:t xml:space="preserve"> to perform rigging basic level</w:t>
            </w:r>
          </w:p>
        </w:tc>
        <w:tc>
          <w:tcPr>
            <w:tcW w:w="1621" w:type="pct"/>
            <w:shd w:val="clear" w:color="auto" w:fill="auto"/>
          </w:tcPr>
          <w:p w14:paraId="7FE530D5" w14:textId="634BD674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rPr>
                <w:color w:val="000000"/>
              </w:rPr>
              <w:t xml:space="preserve">CPCCLRG3001A </w:t>
            </w:r>
            <w:proofErr w:type="spellStart"/>
            <w:r w:rsidRPr="00B96DA6">
              <w:rPr>
                <w:color w:val="000000"/>
              </w:rPr>
              <w:t>Licence</w:t>
            </w:r>
            <w:proofErr w:type="spellEnd"/>
            <w:r w:rsidRPr="00B96DA6">
              <w:rPr>
                <w:color w:val="000000"/>
              </w:rPr>
              <w:t xml:space="preserve"> to perform rigging basic level</w:t>
            </w:r>
          </w:p>
        </w:tc>
        <w:tc>
          <w:tcPr>
            <w:tcW w:w="707" w:type="pct"/>
            <w:shd w:val="clear" w:color="auto" w:fill="auto"/>
          </w:tcPr>
          <w:p w14:paraId="168F5A63" w14:textId="3BF30483" w:rsidR="00A64DAF" w:rsidRPr="00B96DA6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B96DA6" w14:paraId="457C8654" w14:textId="77777777" w:rsidTr="0061037E">
        <w:tc>
          <w:tcPr>
            <w:tcW w:w="1255" w:type="pct"/>
            <w:shd w:val="clear" w:color="auto" w:fill="auto"/>
          </w:tcPr>
          <w:p w14:paraId="41BF4A3B" w14:textId="5F119857" w:rsidR="00A64DAF" w:rsidRPr="00B96DA6" w:rsidRDefault="00A64DAF" w:rsidP="00A64DAF">
            <w:pPr>
              <w:rPr>
                <w:rFonts w:cs="Calibri"/>
                <w:color w:val="000000"/>
                <w:szCs w:val="22"/>
              </w:rPr>
            </w:pPr>
            <w:r w:rsidRPr="00B96DA6">
              <w:lastRenderedPageBreak/>
              <w:t xml:space="preserve">CPCCLRG3002 </w:t>
            </w:r>
            <w:proofErr w:type="spellStart"/>
            <w:r w:rsidRPr="00B96DA6">
              <w:t>Licence</w:t>
            </w:r>
            <w:proofErr w:type="spellEnd"/>
            <w:r w:rsidRPr="00B96DA6">
              <w:t xml:space="preserve"> to perform rigging intermediate level</w:t>
            </w:r>
          </w:p>
        </w:tc>
        <w:tc>
          <w:tcPr>
            <w:tcW w:w="1417" w:type="pct"/>
            <w:shd w:val="clear" w:color="auto" w:fill="auto"/>
          </w:tcPr>
          <w:p w14:paraId="628F9D03" w14:textId="410E1E71" w:rsidR="00A64DAF" w:rsidRPr="00B96DA6" w:rsidRDefault="00A64DAF" w:rsidP="00A64DAF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 w:rsidRPr="00B96DA6">
              <w:rPr>
                <w:bCs/>
              </w:rPr>
              <w:t xml:space="preserve">CPCCLRG3002A </w:t>
            </w:r>
            <w:proofErr w:type="spellStart"/>
            <w:r w:rsidRPr="00B96DA6">
              <w:rPr>
                <w:bCs/>
              </w:rPr>
              <w:t>Licence</w:t>
            </w:r>
            <w:proofErr w:type="spellEnd"/>
            <w:r w:rsidRPr="00B96DA6">
              <w:rPr>
                <w:bCs/>
              </w:rPr>
              <w:t xml:space="preserve"> to perform rigging intermediate level</w:t>
            </w:r>
          </w:p>
        </w:tc>
        <w:tc>
          <w:tcPr>
            <w:tcW w:w="1621" w:type="pct"/>
            <w:shd w:val="clear" w:color="auto" w:fill="auto"/>
          </w:tcPr>
          <w:p w14:paraId="3A87654A" w14:textId="6F6F0AD6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rPr>
                <w:bCs/>
              </w:rPr>
              <w:t xml:space="preserve">CPCCLRG3002A </w:t>
            </w:r>
            <w:proofErr w:type="spellStart"/>
            <w:r w:rsidRPr="00B96DA6">
              <w:rPr>
                <w:bCs/>
              </w:rPr>
              <w:t>Licence</w:t>
            </w:r>
            <w:proofErr w:type="spellEnd"/>
            <w:r w:rsidRPr="00B96DA6">
              <w:rPr>
                <w:bCs/>
              </w:rPr>
              <w:t xml:space="preserve"> to perform rigging intermediate level</w:t>
            </w:r>
          </w:p>
        </w:tc>
        <w:tc>
          <w:tcPr>
            <w:tcW w:w="707" w:type="pct"/>
            <w:shd w:val="clear" w:color="auto" w:fill="auto"/>
          </w:tcPr>
          <w:p w14:paraId="7745A29E" w14:textId="3ECC6EE1" w:rsidR="00A64DAF" w:rsidRPr="00B96DA6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B96DA6" w14:paraId="1E5C7F0B" w14:textId="77777777" w:rsidTr="0061037E">
        <w:tc>
          <w:tcPr>
            <w:tcW w:w="1255" w:type="pct"/>
            <w:shd w:val="clear" w:color="auto" w:fill="auto"/>
          </w:tcPr>
          <w:p w14:paraId="7FAA1134" w14:textId="20FEF5ED" w:rsidR="00A64DAF" w:rsidRPr="00B96DA6" w:rsidRDefault="00A64DAF" w:rsidP="00A64DAF">
            <w:r w:rsidRPr="00B96DA6">
              <w:t xml:space="preserve">CPCCLRG4001 </w:t>
            </w:r>
            <w:proofErr w:type="spellStart"/>
            <w:r w:rsidRPr="00B96DA6">
              <w:t>Licence</w:t>
            </w:r>
            <w:proofErr w:type="spellEnd"/>
            <w:r w:rsidRPr="00B96DA6">
              <w:t xml:space="preserve"> to perform rigging advanced level</w:t>
            </w:r>
          </w:p>
        </w:tc>
        <w:tc>
          <w:tcPr>
            <w:tcW w:w="1417" w:type="pct"/>
            <w:shd w:val="clear" w:color="auto" w:fill="auto"/>
          </w:tcPr>
          <w:p w14:paraId="3A63020F" w14:textId="12A0C86A" w:rsidR="00A64DAF" w:rsidRPr="00B96DA6" w:rsidRDefault="00A64DAF" w:rsidP="00A64DAF">
            <w:pPr>
              <w:spacing w:before="40" w:after="40"/>
              <w:rPr>
                <w:bCs/>
              </w:rPr>
            </w:pPr>
            <w:r w:rsidRPr="00B96DA6">
              <w:t xml:space="preserve">CPCCLRG4001A </w:t>
            </w:r>
            <w:proofErr w:type="spellStart"/>
            <w:r w:rsidRPr="00B96DA6">
              <w:t>Licence</w:t>
            </w:r>
            <w:proofErr w:type="spellEnd"/>
            <w:r w:rsidRPr="00B96DA6">
              <w:t xml:space="preserve"> to perform rigging advanced level</w:t>
            </w:r>
          </w:p>
        </w:tc>
        <w:tc>
          <w:tcPr>
            <w:tcW w:w="1621" w:type="pct"/>
            <w:shd w:val="clear" w:color="auto" w:fill="auto"/>
          </w:tcPr>
          <w:p w14:paraId="0352D132" w14:textId="11FFA6C3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t xml:space="preserve">CPCCLRG4001A </w:t>
            </w:r>
            <w:proofErr w:type="spellStart"/>
            <w:r w:rsidRPr="00B96DA6">
              <w:t>Licence</w:t>
            </w:r>
            <w:proofErr w:type="spellEnd"/>
            <w:r w:rsidRPr="00B96DA6">
              <w:t xml:space="preserve"> to perform rigging advanced level</w:t>
            </w:r>
          </w:p>
        </w:tc>
        <w:tc>
          <w:tcPr>
            <w:tcW w:w="707" w:type="pct"/>
            <w:shd w:val="clear" w:color="auto" w:fill="auto"/>
          </w:tcPr>
          <w:p w14:paraId="1B30132E" w14:textId="30E79A7A" w:rsidR="00A64DAF" w:rsidRPr="00B96DA6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B96DA6" w14:paraId="2CAF3263" w14:textId="77777777" w:rsidTr="0061037E">
        <w:tc>
          <w:tcPr>
            <w:tcW w:w="1255" w:type="pct"/>
            <w:shd w:val="clear" w:color="auto" w:fill="auto"/>
          </w:tcPr>
          <w:p w14:paraId="285DD3E8" w14:textId="4A453B87" w:rsidR="00A64DAF" w:rsidRPr="00B96DA6" w:rsidRDefault="00A64DAF" w:rsidP="00A64DAF">
            <w:pPr>
              <w:rPr>
                <w:rFonts w:cs="Calibri"/>
                <w:color w:val="000000"/>
                <w:szCs w:val="22"/>
              </w:rPr>
            </w:pPr>
            <w:r w:rsidRPr="00B96DA6">
              <w:rPr>
                <w:rFonts w:cs="Calibri"/>
                <w:color w:val="000000"/>
              </w:rPr>
              <w:t xml:space="preserve">CPCCLSF2001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erect, alter and dismantle scaffolding basic level</w:t>
            </w:r>
          </w:p>
        </w:tc>
        <w:tc>
          <w:tcPr>
            <w:tcW w:w="1417" w:type="pct"/>
            <w:shd w:val="clear" w:color="auto" w:fill="auto"/>
          </w:tcPr>
          <w:p w14:paraId="5D0989CD" w14:textId="77777777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CPCCLSF2001A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erect, alter and dismantle scaffolding basic level</w:t>
            </w:r>
          </w:p>
          <w:p w14:paraId="32972979" w14:textId="77777777" w:rsidR="00A64DAF" w:rsidRPr="00B96DA6" w:rsidRDefault="00A64DAF" w:rsidP="00A64DAF">
            <w:pPr>
              <w:spacing w:before="40" w:after="4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21" w:type="pct"/>
            <w:shd w:val="clear" w:color="auto" w:fill="auto"/>
          </w:tcPr>
          <w:p w14:paraId="0F9A284D" w14:textId="17AD336D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rPr>
                <w:rFonts w:cs="Calibri"/>
                <w:color w:val="000000"/>
              </w:rPr>
              <w:t xml:space="preserve">CPCCLSF2001A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erect, alter and dismantle scaffolding basic level</w:t>
            </w:r>
          </w:p>
          <w:p w14:paraId="6C1ED7A7" w14:textId="4DF6C96D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7" w:type="pct"/>
            <w:shd w:val="clear" w:color="auto" w:fill="auto"/>
          </w:tcPr>
          <w:p w14:paraId="7644138E" w14:textId="58FEA859" w:rsidR="00A64DAF" w:rsidRPr="00B96DA6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B96DA6" w14:paraId="693170ED" w14:textId="77777777" w:rsidTr="0061037E">
        <w:tc>
          <w:tcPr>
            <w:tcW w:w="1255" w:type="pct"/>
            <w:shd w:val="clear" w:color="auto" w:fill="auto"/>
          </w:tcPr>
          <w:p w14:paraId="120B5E5C" w14:textId="77777777" w:rsidR="00A64DAF" w:rsidRPr="00B96DA6" w:rsidRDefault="00A64DAF" w:rsidP="00A64DAF">
            <w:pPr>
              <w:rPr>
                <w:rFonts w:cs="Calibri"/>
                <w:b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CPCCLSF3001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erect, alter and dismantle scaffolding intermediate level</w:t>
            </w:r>
          </w:p>
          <w:p w14:paraId="130000E5" w14:textId="77777777" w:rsidR="00A64DAF" w:rsidRPr="00B96DA6" w:rsidRDefault="00A64DAF" w:rsidP="00A64DAF">
            <w:pPr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417" w:type="pct"/>
            <w:shd w:val="clear" w:color="auto" w:fill="auto"/>
          </w:tcPr>
          <w:p w14:paraId="592FAAD7" w14:textId="77777777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CPCCLSF3001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erect, alter and dismantle scaffolding intermediate level</w:t>
            </w:r>
          </w:p>
          <w:p w14:paraId="022F044C" w14:textId="77777777" w:rsidR="00A64DAF" w:rsidRPr="00B96DA6" w:rsidRDefault="00A64DAF" w:rsidP="00A64DAF">
            <w:pPr>
              <w:spacing w:before="40" w:after="40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621" w:type="pct"/>
            <w:shd w:val="clear" w:color="auto" w:fill="auto"/>
          </w:tcPr>
          <w:p w14:paraId="759F6685" w14:textId="6A9A92FE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rPr>
                <w:rFonts w:cs="Calibri"/>
                <w:color w:val="000000"/>
              </w:rPr>
              <w:t xml:space="preserve">CPCCLSF3001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erect, alter and dismantle scaffolding intermediate level</w:t>
            </w:r>
          </w:p>
          <w:p w14:paraId="60C48670" w14:textId="2808D350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7" w:type="pct"/>
            <w:shd w:val="clear" w:color="auto" w:fill="auto"/>
          </w:tcPr>
          <w:p w14:paraId="6E6664AF" w14:textId="10C7C0A0" w:rsidR="00A64DAF" w:rsidRPr="00B96DA6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B96DA6" w14:paraId="72EED8A7" w14:textId="77777777" w:rsidTr="0061037E">
        <w:tc>
          <w:tcPr>
            <w:tcW w:w="1255" w:type="pct"/>
            <w:shd w:val="clear" w:color="auto" w:fill="auto"/>
          </w:tcPr>
          <w:p w14:paraId="2CC57CFA" w14:textId="5F5344C1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CPCCLSF4001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erect, alter and dismantle scaffolding advanced level</w:t>
            </w:r>
          </w:p>
        </w:tc>
        <w:tc>
          <w:tcPr>
            <w:tcW w:w="1417" w:type="pct"/>
            <w:shd w:val="clear" w:color="auto" w:fill="auto"/>
          </w:tcPr>
          <w:p w14:paraId="3E8F48D0" w14:textId="3C4122BF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CPCCLSF4001A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erect, alter and dismantle scaffolding advanced level</w:t>
            </w:r>
          </w:p>
          <w:p w14:paraId="2F585EC2" w14:textId="77777777" w:rsidR="00A64DAF" w:rsidRPr="00B96DA6" w:rsidRDefault="00A64DAF" w:rsidP="00A64DAF">
            <w:pPr>
              <w:rPr>
                <w:rFonts w:cs="Calibri"/>
                <w:color w:val="000000"/>
              </w:rPr>
            </w:pPr>
          </w:p>
        </w:tc>
        <w:tc>
          <w:tcPr>
            <w:tcW w:w="1621" w:type="pct"/>
            <w:shd w:val="clear" w:color="auto" w:fill="auto"/>
          </w:tcPr>
          <w:p w14:paraId="7C89E481" w14:textId="47061588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rPr>
                <w:rFonts w:cs="Calibri"/>
                <w:color w:val="000000"/>
              </w:rPr>
              <w:t xml:space="preserve">CPCCLSF4001A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erect, alter and dismantle scaffolding advanced level</w:t>
            </w:r>
          </w:p>
          <w:p w14:paraId="6C380D71" w14:textId="7F2D00F0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7" w:type="pct"/>
            <w:shd w:val="clear" w:color="auto" w:fill="auto"/>
          </w:tcPr>
          <w:p w14:paraId="3D68A781" w14:textId="4F783615" w:rsidR="00A64DAF" w:rsidRPr="00B96DA6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B96DA6" w14:paraId="38AE09D1" w14:textId="77777777" w:rsidTr="0061037E">
        <w:tc>
          <w:tcPr>
            <w:tcW w:w="1255" w:type="pct"/>
            <w:shd w:val="clear" w:color="auto" w:fill="auto"/>
          </w:tcPr>
          <w:p w14:paraId="6928B4FE" w14:textId="4DC70A8A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CPCCLTC4001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tower crane</w:t>
            </w:r>
          </w:p>
        </w:tc>
        <w:tc>
          <w:tcPr>
            <w:tcW w:w="1417" w:type="pct"/>
            <w:shd w:val="clear" w:color="auto" w:fill="auto"/>
          </w:tcPr>
          <w:p w14:paraId="59B45FB8" w14:textId="01043F21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CPCCLTC4001A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tower crane</w:t>
            </w:r>
          </w:p>
        </w:tc>
        <w:tc>
          <w:tcPr>
            <w:tcW w:w="1621" w:type="pct"/>
            <w:shd w:val="clear" w:color="auto" w:fill="auto"/>
          </w:tcPr>
          <w:p w14:paraId="77C901D0" w14:textId="4F74D487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rPr>
                <w:rFonts w:cs="Calibri"/>
                <w:color w:val="000000"/>
              </w:rPr>
              <w:t xml:space="preserve">CPCCLTC4001A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tower crane</w:t>
            </w:r>
          </w:p>
        </w:tc>
        <w:tc>
          <w:tcPr>
            <w:tcW w:w="707" w:type="pct"/>
            <w:shd w:val="clear" w:color="auto" w:fill="auto"/>
          </w:tcPr>
          <w:p w14:paraId="75577EF2" w14:textId="3E735CFE" w:rsidR="00A64DAF" w:rsidRPr="00B96DA6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A64DAF" w:rsidRPr="00E505E3" w14:paraId="711F196C" w14:textId="77777777" w:rsidTr="0061037E">
        <w:tc>
          <w:tcPr>
            <w:tcW w:w="1255" w:type="pct"/>
            <w:shd w:val="clear" w:color="auto" w:fill="auto"/>
          </w:tcPr>
          <w:p w14:paraId="09552686" w14:textId="526988C7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CPCCLTC4002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self-erecting tower crane</w:t>
            </w:r>
          </w:p>
        </w:tc>
        <w:tc>
          <w:tcPr>
            <w:tcW w:w="1417" w:type="pct"/>
            <w:shd w:val="clear" w:color="auto" w:fill="auto"/>
          </w:tcPr>
          <w:p w14:paraId="22B3A78A" w14:textId="642911B3" w:rsidR="00A64DAF" w:rsidRPr="00B96DA6" w:rsidRDefault="00A64DAF" w:rsidP="00A64DAF">
            <w:pPr>
              <w:rPr>
                <w:rFonts w:cs="Calibri"/>
                <w:color w:val="000000"/>
              </w:rPr>
            </w:pPr>
            <w:r w:rsidRPr="00B96DA6">
              <w:rPr>
                <w:rFonts w:cs="Calibri"/>
                <w:color w:val="000000"/>
              </w:rPr>
              <w:t xml:space="preserve">CPCCLTC4002A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self-erecting tower crane</w:t>
            </w:r>
          </w:p>
        </w:tc>
        <w:tc>
          <w:tcPr>
            <w:tcW w:w="1621" w:type="pct"/>
            <w:shd w:val="clear" w:color="auto" w:fill="auto"/>
          </w:tcPr>
          <w:p w14:paraId="612F3033" w14:textId="500A1BE1" w:rsidR="00A64DAF" w:rsidRPr="00B96DA6" w:rsidRDefault="00A64DAF" w:rsidP="00A64DAF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Pr="00B96DA6">
              <w:rPr>
                <w:rFonts w:cs="Calibri"/>
                <w:color w:val="000000"/>
              </w:rPr>
              <w:t xml:space="preserve">CPCCLTC4002A </w:t>
            </w:r>
            <w:proofErr w:type="spellStart"/>
            <w:r w:rsidRPr="00B96DA6">
              <w:rPr>
                <w:rFonts w:cs="Calibri"/>
                <w:color w:val="000000"/>
              </w:rPr>
              <w:t>Licence</w:t>
            </w:r>
            <w:proofErr w:type="spellEnd"/>
            <w:r w:rsidRPr="00B96DA6">
              <w:rPr>
                <w:rFonts w:cs="Calibri"/>
                <w:color w:val="000000"/>
              </w:rPr>
              <w:t xml:space="preserve"> to operate a self-erecting tower crane</w:t>
            </w:r>
          </w:p>
        </w:tc>
        <w:tc>
          <w:tcPr>
            <w:tcW w:w="707" w:type="pct"/>
            <w:shd w:val="clear" w:color="auto" w:fill="auto"/>
          </w:tcPr>
          <w:p w14:paraId="6A58F0E9" w14:textId="6058C466" w:rsidR="00A64DAF" w:rsidRDefault="00A64DAF" w:rsidP="00A64DAF">
            <w:pPr>
              <w:spacing w:before="40" w:after="40"/>
              <w:jc w:val="center"/>
              <w:rPr>
                <w:color w:val="000000"/>
                <w:szCs w:val="22"/>
                <w:lang w:eastAsia="en-AU"/>
              </w:rPr>
            </w:pPr>
            <w:r w:rsidRPr="00B96DA6">
              <w:rPr>
                <w:color w:val="000000"/>
                <w:szCs w:val="22"/>
                <w:lang w:eastAsia="en-AU"/>
              </w:rPr>
              <w:t>E</w:t>
            </w:r>
          </w:p>
        </w:tc>
      </w:tr>
    </w:tbl>
    <w:p w14:paraId="6C1B4FD3" w14:textId="4ED3F32B" w:rsidR="003928B2" w:rsidRDefault="003928B2"/>
    <w:p w14:paraId="236B0453" w14:textId="5B91B3CD" w:rsidR="00A026C1" w:rsidRDefault="00A026C1"/>
    <w:p w14:paraId="3C43C60F" w14:textId="7040AFD7" w:rsidR="00A026C1" w:rsidRDefault="00A026C1"/>
    <w:p w14:paraId="7CA6CC5A" w14:textId="25FAA5A3" w:rsidR="00B96DA6" w:rsidRPr="00B96DA6" w:rsidRDefault="00B96DA6" w:rsidP="00B96DA6"/>
    <w:p w14:paraId="1BB12B52" w14:textId="76D798BD" w:rsidR="00B96DA6" w:rsidRPr="00B96DA6" w:rsidRDefault="00B96DA6" w:rsidP="00B96DA6"/>
    <w:p w14:paraId="480B9474" w14:textId="7F4B017A" w:rsidR="00B96DA6" w:rsidRPr="00B96DA6" w:rsidRDefault="00B96DA6" w:rsidP="00B96DA6"/>
    <w:p w14:paraId="7B848F44" w14:textId="27791DEA" w:rsidR="00B96DA6" w:rsidRPr="00B96DA6" w:rsidRDefault="00B96DA6" w:rsidP="00B96DA6"/>
    <w:p w14:paraId="6C7D575F" w14:textId="1F8DCEA6" w:rsidR="00B96DA6" w:rsidRPr="00B96DA6" w:rsidRDefault="00B96DA6" w:rsidP="00B96DA6"/>
    <w:p w14:paraId="1E3D88F4" w14:textId="39BBB987" w:rsidR="00B96DA6" w:rsidRPr="00B96DA6" w:rsidRDefault="00B96DA6" w:rsidP="00B96DA6"/>
    <w:p w14:paraId="71C9556B" w14:textId="53DEE0DB" w:rsidR="00B96DA6" w:rsidRPr="00B96DA6" w:rsidRDefault="00B96DA6" w:rsidP="00B96DA6"/>
    <w:p w14:paraId="28651C7C" w14:textId="4A027C3D" w:rsidR="00B96DA6" w:rsidRPr="00B96DA6" w:rsidRDefault="00B96DA6" w:rsidP="00B96DA6"/>
    <w:p w14:paraId="5C651D08" w14:textId="2E1792D3" w:rsidR="00B96DA6" w:rsidRPr="00B96DA6" w:rsidRDefault="00B96DA6" w:rsidP="00B96DA6"/>
    <w:p w14:paraId="5968771A" w14:textId="17AE011B" w:rsidR="00B96DA6" w:rsidRPr="00B96DA6" w:rsidRDefault="00B96DA6" w:rsidP="00B96DA6"/>
    <w:p w14:paraId="096D286D" w14:textId="77777777" w:rsidR="00B96DA6" w:rsidRPr="00B96DA6" w:rsidRDefault="00B96DA6" w:rsidP="00B96DA6">
      <w:pPr>
        <w:ind w:firstLine="720"/>
      </w:pPr>
    </w:p>
    <w:sectPr w:rsidR="00B96DA6" w:rsidRPr="00B96DA6" w:rsidSect="00933E5B">
      <w:footerReference w:type="default" r:id="rId9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C41A" w14:textId="77777777" w:rsidR="006F425E" w:rsidRDefault="006F425E" w:rsidP="00D84328">
      <w:r>
        <w:separator/>
      </w:r>
    </w:p>
  </w:endnote>
  <w:endnote w:type="continuationSeparator" w:id="0">
    <w:p w14:paraId="0DAAD98C" w14:textId="77777777" w:rsidR="006F425E" w:rsidRDefault="006F425E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A85B1" w14:textId="47D5F316" w:rsidR="007C0564" w:rsidRPr="007C0564" w:rsidRDefault="00B92503" w:rsidP="00B96DA6">
    <w:pPr>
      <w:pStyle w:val="ListBullet"/>
      <w:numPr>
        <w:ilvl w:val="0"/>
        <w:numId w:val="0"/>
      </w:numPr>
      <w:ind w:left="360" w:hanging="360"/>
    </w:pPr>
    <w:r>
      <w:t xml:space="preserve">High Risk Work </w:t>
    </w:r>
    <w:proofErr w:type="spellStart"/>
    <w:r w:rsidR="00B96DA6">
      <w:t>Licence</w:t>
    </w:r>
    <w:proofErr w:type="spellEnd"/>
    <w:r w:rsidR="00B96DA6">
      <w:t xml:space="preserve"> Units of Competency</w:t>
    </w:r>
    <w:r w:rsidR="007C0564" w:rsidRPr="007C0564">
      <w:t xml:space="preserve"> Project Brief</w:t>
    </w:r>
    <w:r>
      <w:t xml:space="preserve"> 2</w:t>
    </w:r>
    <w:r w:rsidR="00E73F14">
      <w:tab/>
    </w:r>
    <w:r w:rsidR="00E73F14">
      <w:tab/>
      <w:t xml:space="preserve"> </w:t>
    </w:r>
    <w:r w:rsidR="007C0564" w:rsidRPr="007C0564">
      <w:t xml:space="preserve">Page </w:t>
    </w:r>
    <w:r w:rsidR="007C0564">
      <w:t xml:space="preserve"> </w:t>
    </w:r>
    <w:r w:rsidR="007C0564" w:rsidRPr="007C0564">
      <w:fldChar w:fldCharType="begin"/>
    </w:r>
    <w:r w:rsidR="007C0564" w:rsidRPr="007C0564">
      <w:instrText xml:space="preserve"> PAGE  \* Arabic  \* MERGEFORMAT </w:instrText>
    </w:r>
    <w:r w:rsidR="007C0564" w:rsidRPr="007C0564">
      <w:fldChar w:fldCharType="separate"/>
    </w:r>
    <w:r w:rsidR="007C0564" w:rsidRPr="007C0564">
      <w:rPr>
        <w:noProof/>
      </w:rPr>
      <w:t>2</w:t>
    </w:r>
    <w:r w:rsidR="007C0564" w:rsidRPr="007C0564">
      <w:fldChar w:fldCharType="end"/>
    </w:r>
    <w:r w:rsidR="007C0564" w:rsidRPr="007C0564">
      <w:t xml:space="preserve"> of </w:t>
    </w:r>
    <w:fldSimple w:instr=" NUMPAGES  \* Arabic  \* MERGEFORMAT ">
      <w:r w:rsidR="007C0564" w:rsidRPr="007C0564">
        <w:rPr>
          <w:noProof/>
        </w:rPr>
        <w:t>2</w:t>
      </w:r>
    </w:fldSimple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0B3D" w14:textId="77777777" w:rsidR="006F425E" w:rsidRDefault="006F425E" w:rsidP="00D84328">
      <w:r>
        <w:separator/>
      </w:r>
    </w:p>
  </w:footnote>
  <w:footnote w:type="continuationSeparator" w:id="0">
    <w:p w14:paraId="126215E4" w14:textId="77777777" w:rsidR="006F425E" w:rsidRDefault="006F425E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02294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62EB1EF7"/>
    <w:multiLevelType w:val="hybridMultilevel"/>
    <w:tmpl w:val="4AE6E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2F"/>
    <w:rsid w:val="00000E9F"/>
    <w:rsid w:val="0001475A"/>
    <w:rsid w:val="00075772"/>
    <w:rsid w:val="000C26CC"/>
    <w:rsid w:val="001216E3"/>
    <w:rsid w:val="00153B53"/>
    <w:rsid w:val="001923B1"/>
    <w:rsid w:val="001D6DD8"/>
    <w:rsid w:val="00256A9A"/>
    <w:rsid w:val="002711A8"/>
    <w:rsid w:val="0037611C"/>
    <w:rsid w:val="0038489E"/>
    <w:rsid w:val="003928B2"/>
    <w:rsid w:val="003D6689"/>
    <w:rsid w:val="004763B0"/>
    <w:rsid w:val="004B22D6"/>
    <w:rsid w:val="004D182E"/>
    <w:rsid w:val="0052537F"/>
    <w:rsid w:val="00537301"/>
    <w:rsid w:val="00542C9D"/>
    <w:rsid w:val="00546D4F"/>
    <w:rsid w:val="005936B5"/>
    <w:rsid w:val="005E079F"/>
    <w:rsid w:val="00603827"/>
    <w:rsid w:val="0061037E"/>
    <w:rsid w:val="006104F5"/>
    <w:rsid w:val="00641DDE"/>
    <w:rsid w:val="0067525A"/>
    <w:rsid w:val="006C3AE9"/>
    <w:rsid w:val="006F425E"/>
    <w:rsid w:val="00702EF7"/>
    <w:rsid w:val="00702F2F"/>
    <w:rsid w:val="007C0564"/>
    <w:rsid w:val="007C088B"/>
    <w:rsid w:val="008201D8"/>
    <w:rsid w:val="008631DB"/>
    <w:rsid w:val="00864828"/>
    <w:rsid w:val="00871EC2"/>
    <w:rsid w:val="009224EE"/>
    <w:rsid w:val="00933E5B"/>
    <w:rsid w:val="009D64BC"/>
    <w:rsid w:val="009E5DBE"/>
    <w:rsid w:val="009F4C96"/>
    <w:rsid w:val="00A026C1"/>
    <w:rsid w:val="00A64DAF"/>
    <w:rsid w:val="00A7195C"/>
    <w:rsid w:val="00A758D8"/>
    <w:rsid w:val="00AC05B3"/>
    <w:rsid w:val="00AF5CA4"/>
    <w:rsid w:val="00AF5F8D"/>
    <w:rsid w:val="00B45983"/>
    <w:rsid w:val="00B7792E"/>
    <w:rsid w:val="00B878B7"/>
    <w:rsid w:val="00B92503"/>
    <w:rsid w:val="00B944FA"/>
    <w:rsid w:val="00B96DA6"/>
    <w:rsid w:val="00C56BED"/>
    <w:rsid w:val="00D84328"/>
    <w:rsid w:val="00D965CF"/>
    <w:rsid w:val="00DC1CB3"/>
    <w:rsid w:val="00DD60C0"/>
    <w:rsid w:val="00E36AB4"/>
    <w:rsid w:val="00E46CC6"/>
    <w:rsid w:val="00E505E3"/>
    <w:rsid w:val="00E67BF8"/>
    <w:rsid w:val="00E73F14"/>
    <w:rsid w:val="00E87AA6"/>
    <w:rsid w:val="00F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D84328"/>
    <w:pPr>
      <w:ind w:left="720"/>
      <w:contextualSpacing/>
    </w:pPr>
  </w:style>
  <w:style w:type="paragraph" w:styleId="NoSpacing">
    <w:name w:val="No Spacing"/>
    <w:uiPriority w:val="1"/>
    <w:qFormat/>
    <w:rsid w:val="0061037E"/>
    <w:rPr>
      <w:rFonts w:eastAsiaTheme="minorEastAsia"/>
      <w:sz w:val="22"/>
      <w:szCs w:val="22"/>
    </w:rPr>
  </w:style>
  <w:style w:type="paragraph" w:styleId="ListBullet">
    <w:name w:val="List Bullet"/>
    <w:basedOn w:val="Normal"/>
    <w:uiPriority w:val="99"/>
    <w:unhideWhenUsed/>
    <w:rsid w:val="00B96DA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08F684-FE60-49F8-86BE-D566F5C8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Wendy</cp:lastModifiedBy>
  <cp:revision>2</cp:revision>
  <dcterms:created xsi:type="dcterms:W3CDTF">2018-12-20T02:26:00Z</dcterms:created>
  <dcterms:modified xsi:type="dcterms:W3CDTF">2018-12-20T02:26:00Z</dcterms:modified>
</cp:coreProperties>
</file>