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57691" w14:textId="1D046245" w:rsidR="00F4162F" w:rsidRDefault="00E73F14">
      <w:pPr>
        <w:rPr>
          <w:color w:val="A6A6A6" w:themeColor="background1" w:themeShade="A6"/>
          <w:sz w:val="32"/>
        </w:rPr>
      </w:pPr>
      <w:r>
        <w:rPr>
          <w:rFonts w:asciiTheme="majorHAnsi" w:hAnsiTheme="majorHAnsi"/>
          <w:b/>
          <w:noProof/>
          <w:color w:val="A6A6A6" w:themeColor="background1" w:themeShade="A6"/>
          <w:sz w:val="32"/>
          <w:szCs w:val="32"/>
        </w:rPr>
        <w:drawing>
          <wp:inline distT="0" distB="0" distL="0" distR="0" wp14:anchorId="4C3AB4CD" wp14:editId="4F53650F">
            <wp:extent cx="2480553" cy="107662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 Logo with ta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4334" cy="111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16EC0" w14:textId="77777777" w:rsidR="00E73F14" w:rsidRDefault="00E73F14">
      <w:pPr>
        <w:rPr>
          <w:color w:val="A6A6A6" w:themeColor="background1" w:themeShade="A6"/>
          <w:sz w:val="32"/>
        </w:rPr>
      </w:pPr>
    </w:p>
    <w:p w14:paraId="79020EEE" w14:textId="2639D79F" w:rsidR="00BF19EF" w:rsidRDefault="00D84328" w:rsidP="00D84328">
      <w:pPr>
        <w:shd w:val="clear" w:color="auto" w:fill="A6A6A6" w:themeFill="background1" w:themeFillShade="A6"/>
        <w:rPr>
          <w:color w:val="FFFFFF" w:themeColor="background1"/>
          <w:sz w:val="36"/>
        </w:rPr>
      </w:pPr>
      <w:r w:rsidRPr="00D84328">
        <w:rPr>
          <w:color w:val="FFFFFF" w:themeColor="background1"/>
          <w:sz w:val="36"/>
        </w:rPr>
        <w:t xml:space="preserve">Project </w:t>
      </w:r>
      <w:r w:rsidR="002711A8">
        <w:rPr>
          <w:color w:val="FFFFFF" w:themeColor="background1"/>
          <w:sz w:val="36"/>
        </w:rPr>
        <w:t xml:space="preserve">Brief 1 </w:t>
      </w:r>
    </w:p>
    <w:p w14:paraId="44981FC4" w14:textId="5F03B234" w:rsidR="00D84328" w:rsidRPr="00D84328" w:rsidRDefault="00BF19EF" w:rsidP="00D84328">
      <w:pPr>
        <w:shd w:val="clear" w:color="auto" w:fill="A6A6A6" w:themeFill="background1" w:themeFillShade="A6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Prepare to work safely in the construction industry</w:t>
      </w:r>
      <w:r w:rsidR="00CA18C1">
        <w:rPr>
          <w:color w:val="FFFFFF" w:themeColor="background1"/>
          <w:sz w:val="36"/>
        </w:rPr>
        <w:tab/>
        <w:t xml:space="preserve">       </w:t>
      </w:r>
      <w:r>
        <w:rPr>
          <w:color w:val="FFFFFF" w:themeColor="background1"/>
          <w:sz w:val="36"/>
        </w:rPr>
        <w:t xml:space="preserve">                                                  </w:t>
      </w:r>
      <w:r w:rsidR="00CA18C1">
        <w:rPr>
          <w:color w:val="FFFFFF" w:themeColor="background1"/>
          <w:sz w:val="36"/>
        </w:rPr>
        <w:t>September 2018</w:t>
      </w:r>
    </w:p>
    <w:p w14:paraId="26204E8A" w14:textId="693863D4" w:rsidR="00D84328" w:rsidRDefault="00D84328">
      <w:pPr>
        <w:rPr>
          <w:color w:val="A6A6A6" w:themeColor="background1" w:themeShade="A6"/>
          <w:sz w:val="32"/>
        </w:rPr>
      </w:pPr>
    </w:p>
    <w:p w14:paraId="4BD4E902" w14:textId="1985B7EE" w:rsidR="00D84328" w:rsidRPr="0037611C" w:rsidRDefault="00D84328" w:rsidP="0037611C">
      <w:pPr>
        <w:pStyle w:val="Heading1"/>
      </w:pPr>
      <w:r w:rsidRPr="0037611C">
        <w:t xml:space="preserve">Project Scope </w:t>
      </w:r>
    </w:p>
    <w:p w14:paraId="6E8A1DF0" w14:textId="0E00B25F" w:rsidR="00D84328" w:rsidRDefault="00BF19EF" w:rsidP="00D84328">
      <w:pPr>
        <w:rPr>
          <w:lang w:val="en-AU"/>
        </w:rPr>
      </w:pPr>
      <w:r>
        <w:rPr>
          <w:lang w:val="en-AU"/>
        </w:rPr>
        <w:t>As directed by the Australian Industry Skills Committee and o</w:t>
      </w:r>
      <w:r w:rsidR="00D84328" w:rsidRPr="00D84328">
        <w:rPr>
          <w:lang w:val="en-AU"/>
        </w:rPr>
        <w:t xml:space="preserve">n behalf of the Construction, Plumbing and Services IRC, </w:t>
      </w:r>
      <w:r w:rsidR="00D84328">
        <w:rPr>
          <w:lang w:val="en-AU"/>
        </w:rPr>
        <w:t xml:space="preserve">Artibus Innovation is reviewing </w:t>
      </w:r>
      <w:r>
        <w:rPr>
          <w:lang w:val="en-AU"/>
        </w:rPr>
        <w:t>the CPCCWHS1001 Unit of Competency</w:t>
      </w:r>
      <w:r w:rsidR="00D32589">
        <w:rPr>
          <w:lang w:val="en-AU"/>
        </w:rPr>
        <w:t xml:space="preserve"> following representation</w:t>
      </w:r>
      <w:r w:rsidR="00807598">
        <w:rPr>
          <w:lang w:val="en-AU"/>
        </w:rPr>
        <w:t>s</w:t>
      </w:r>
      <w:r w:rsidR="00D32589">
        <w:rPr>
          <w:lang w:val="en-AU"/>
        </w:rPr>
        <w:t xml:space="preserve"> from Safe Work Australia.</w:t>
      </w:r>
    </w:p>
    <w:p w14:paraId="741F06F3" w14:textId="77777777" w:rsidR="00D84328" w:rsidRPr="00D84328" w:rsidRDefault="00D84328" w:rsidP="00D84328">
      <w:pPr>
        <w:rPr>
          <w:color w:val="000000" w:themeColor="text1"/>
        </w:rPr>
      </w:pPr>
    </w:p>
    <w:p w14:paraId="1AB5C03D" w14:textId="7D54A574" w:rsidR="00D84328" w:rsidRDefault="003928B2" w:rsidP="0037611C">
      <w:pPr>
        <w:pStyle w:val="Heading1"/>
      </w:pPr>
      <w:bookmarkStart w:id="0" w:name="_Toc475695374"/>
      <w:bookmarkStart w:id="1" w:name="_Toc475695482"/>
      <w:bookmarkStart w:id="2" w:name="_Toc475972867"/>
      <w:bookmarkStart w:id="3" w:name="_Toc475972963"/>
      <w:bookmarkStart w:id="4" w:name="_Toc482092938"/>
      <w:bookmarkStart w:id="5" w:name="_Toc485194391"/>
      <w:bookmarkStart w:id="6" w:name="_Toc497142357"/>
      <w:bookmarkStart w:id="7" w:name="_Toc498336450"/>
      <w:bookmarkStart w:id="8" w:name="_Toc522023262"/>
      <w:r w:rsidRPr="004763B0">
        <w:t xml:space="preserve">Project </w:t>
      </w:r>
      <w:r w:rsidR="00D84328" w:rsidRPr="004763B0">
        <w:t>Summary</w:t>
      </w:r>
    </w:p>
    <w:p w14:paraId="3E11AF2C" w14:textId="459228D7" w:rsidR="00692BC0" w:rsidRDefault="00692BC0" w:rsidP="00692BC0">
      <w:r>
        <w:t>Artibus Innovation is undertaking research and consultation to develop a case for change for the unit of competency CPCCWHS1001 – Prepare to work safely in the construction industry. This unit is a mandatory training requirement required prior to undertaking work in the construction industry.</w:t>
      </w:r>
    </w:p>
    <w:p w14:paraId="13358E2F" w14:textId="77777777" w:rsidR="00692BC0" w:rsidRDefault="00692BC0" w:rsidP="00692BC0"/>
    <w:p w14:paraId="477A1190" w14:textId="31CBD852" w:rsidR="00692BC0" w:rsidRDefault="00692BC0" w:rsidP="00692BC0">
      <w:r>
        <w:t>The unit requires the person to demonstrate personal awareness and knowledge of health and safety legislative requirements to work safely and prevent injury or harm to self and others.</w:t>
      </w:r>
      <w:r w:rsidR="00361A02">
        <w:t xml:space="preserve">  It also covers correctly selecting and fitting common personal protective equipment used for construction work.</w:t>
      </w:r>
    </w:p>
    <w:p w14:paraId="71F1250B" w14:textId="77777777" w:rsidR="00692BC0" w:rsidRDefault="00692BC0" w:rsidP="00692BC0"/>
    <w:p w14:paraId="6C933331" w14:textId="7CFB2DC7" w:rsidR="008753B5" w:rsidRDefault="00692BC0" w:rsidP="00692BC0">
      <w:r w:rsidRPr="00E62AA7">
        <w:t xml:space="preserve">The unit supports the attainment of the basic OHS knowledge required prior to undertaking designated work tasks within any of the sectors </w:t>
      </w:r>
      <w:r>
        <w:t>of</w:t>
      </w:r>
      <w:r w:rsidRPr="00E62AA7">
        <w:t xml:space="preserve"> the construction industry</w:t>
      </w:r>
      <w:r>
        <w:t>.</w:t>
      </w:r>
    </w:p>
    <w:p w14:paraId="30D1099B" w14:textId="77777777" w:rsidR="00692BC0" w:rsidRDefault="00692BC0" w:rsidP="00692BC0">
      <w:pPr>
        <w:rPr>
          <w:color w:val="000000" w:themeColor="text1"/>
        </w:rPr>
      </w:pPr>
    </w:p>
    <w:p w14:paraId="6F223A66" w14:textId="2C271269" w:rsidR="008753B5" w:rsidRPr="008753B5" w:rsidRDefault="00692BC0" w:rsidP="008753B5">
      <w:pPr>
        <w:rPr>
          <w:color w:val="000000" w:themeColor="text1"/>
        </w:rPr>
      </w:pPr>
      <w:r>
        <w:rPr>
          <w:color w:val="000000" w:themeColor="text1"/>
        </w:rPr>
        <w:t>A</w:t>
      </w:r>
      <w:r w:rsidR="008753B5">
        <w:rPr>
          <w:color w:val="000000" w:themeColor="text1"/>
        </w:rPr>
        <w:t xml:space="preserve"> Technical Advisory Group </w:t>
      </w:r>
      <w:r>
        <w:rPr>
          <w:color w:val="000000" w:themeColor="text1"/>
        </w:rPr>
        <w:t xml:space="preserve">has been formed under the chairmanship of Construction IRC member, </w:t>
      </w:r>
      <w:proofErr w:type="spellStart"/>
      <w:r>
        <w:rPr>
          <w:color w:val="000000" w:themeColor="text1"/>
        </w:rPr>
        <w:t>Mr</w:t>
      </w:r>
      <w:proofErr w:type="spellEnd"/>
      <w:r>
        <w:rPr>
          <w:color w:val="000000" w:themeColor="text1"/>
        </w:rPr>
        <w:t xml:space="preserve"> Lindsay Le Compte</w:t>
      </w:r>
      <w:r w:rsidR="008753B5">
        <w:rPr>
          <w:color w:val="000000" w:themeColor="text1"/>
        </w:rPr>
        <w:t>.</w:t>
      </w:r>
    </w:p>
    <w:p w14:paraId="56447C91" w14:textId="26480F2B" w:rsidR="00E67BF8" w:rsidRDefault="00E67BF8" w:rsidP="006104F5">
      <w:pPr>
        <w:rPr>
          <w:lang w:val="en-AU"/>
        </w:rPr>
      </w:pPr>
    </w:p>
    <w:p w14:paraId="664572BA" w14:textId="7436872B" w:rsidR="003928B2" w:rsidRDefault="004763B0" w:rsidP="0037611C">
      <w:pPr>
        <w:pStyle w:val="Heading1"/>
      </w:pPr>
      <w:r>
        <w:t>Key points</w:t>
      </w:r>
    </w:p>
    <w:p w14:paraId="0C2DF9A3" w14:textId="3EFF7B8D" w:rsidR="00AB57E6" w:rsidRDefault="00E13878" w:rsidP="00E13878">
      <w:bookmarkStart w:id="9" w:name="O_661071"/>
      <w:bookmarkStart w:id="10" w:name="O_661072"/>
      <w:bookmarkStart w:id="11" w:name="O_661073"/>
      <w:bookmarkStart w:id="12" w:name="O_66107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t>The case for change will detail:</w:t>
      </w:r>
    </w:p>
    <w:p w14:paraId="6A33B8F8" w14:textId="77777777" w:rsidR="00E13878" w:rsidRDefault="00E13878" w:rsidP="00E13878"/>
    <w:p w14:paraId="752D99DC" w14:textId="1355A414" w:rsidR="00E13878" w:rsidRPr="00E13878" w:rsidRDefault="00E13878" w:rsidP="00E13878">
      <w:pPr>
        <w:pStyle w:val="ListParagraph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d</w:t>
      </w:r>
      <w:r w:rsidRPr="00E13878">
        <w:rPr>
          <w:color w:val="000000" w:themeColor="text1"/>
        </w:rPr>
        <w:t>elivery issues observed by industry; and</w:t>
      </w:r>
    </w:p>
    <w:p w14:paraId="50716990" w14:textId="6E5DCF46" w:rsidR="00E13878" w:rsidRDefault="00E13878" w:rsidP="00E13878">
      <w:pPr>
        <w:pStyle w:val="ListParagraph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o</w:t>
      </w:r>
      <w:r w:rsidRPr="00E13878">
        <w:rPr>
          <w:color w:val="000000" w:themeColor="text1"/>
        </w:rPr>
        <w:t>ptions for addressing these delivery issues that would lead to improved safety in the industry and the level of industry support for those options being progressed.</w:t>
      </w:r>
    </w:p>
    <w:p w14:paraId="1FE5B55B" w14:textId="77777777" w:rsidR="00362AB2" w:rsidRDefault="00362AB2" w:rsidP="00362AB2">
      <w:pPr>
        <w:pStyle w:val="ListParagraph"/>
        <w:rPr>
          <w:color w:val="000000" w:themeColor="text1"/>
        </w:rPr>
      </w:pPr>
    </w:p>
    <w:p w14:paraId="4CFD4006" w14:textId="2D0262ED" w:rsidR="00362AB2" w:rsidRDefault="00362AB2" w:rsidP="00362AB2">
      <w:pPr>
        <w:rPr>
          <w:color w:val="000000" w:themeColor="text1"/>
        </w:rPr>
      </w:pPr>
      <w:r>
        <w:rPr>
          <w:color w:val="000000" w:themeColor="text1"/>
        </w:rPr>
        <w:t>Issues to be considered are:</w:t>
      </w:r>
    </w:p>
    <w:p w14:paraId="79493823" w14:textId="16ABA5F0" w:rsidR="00362AB2" w:rsidRDefault="00362AB2" w:rsidP="00362AB2">
      <w:pPr>
        <w:rPr>
          <w:color w:val="000000" w:themeColor="text1"/>
        </w:rPr>
      </w:pPr>
    </w:p>
    <w:p w14:paraId="55CAF8BF" w14:textId="77777777" w:rsidR="00362AB2" w:rsidRPr="00362AB2" w:rsidRDefault="00362AB2" w:rsidP="00362AB2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362AB2">
        <w:rPr>
          <w:color w:val="000000" w:themeColor="text1"/>
        </w:rPr>
        <w:t xml:space="preserve">Identified improvements in training delivery </w:t>
      </w:r>
      <w:proofErr w:type="gramStart"/>
      <w:r w:rsidRPr="00362AB2">
        <w:rPr>
          <w:color w:val="000000" w:themeColor="text1"/>
        </w:rPr>
        <w:t>as a result of</w:t>
      </w:r>
      <w:proofErr w:type="gramEnd"/>
      <w:r w:rsidRPr="00362AB2">
        <w:rPr>
          <w:color w:val="000000" w:themeColor="text1"/>
        </w:rPr>
        <w:t xml:space="preserve"> the transition to the updated unit of competency</w:t>
      </w:r>
    </w:p>
    <w:p w14:paraId="66B5A7ED" w14:textId="77777777" w:rsidR="00362AB2" w:rsidRPr="00362AB2" w:rsidRDefault="00362AB2" w:rsidP="00362AB2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362AB2">
        <w:rPr>
          <w:color w:val="000000" w:themeColor="text1"/>
        </w:rPr>
        <w:t>Training delivery mode issues particularly in relation to online environments compared to face to face</w:t>
      </w:r>
    </w:p>
    <w:p w14:paraId="61F8288E" w14:textId="77777777" w:rsidR="00362AB2" w:rsidRPr="00362AB2" w:rsidRDefault="00362AB2" w:rsidP="00362AB2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362AB2">
        <w:rPr>
          <w:color w:val="000000" w:themeColor="text1"/>
        </w:rPr>
        <w:t>Training duration and the hours allocated to training and assessment</w:t>
      </w:r>
    </w:p>
    <w:p w14:paraId="0838BA4A" w14:textId="77777777" w:rsidR="00362AB2" w:rsidRPr="00362AB2" w:rsidRDefault="00362AB2" w:rsidP="00362AB2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362AB2">
        <w:rPr>
          <w:color w:val="000000" w:themeColor="text1"/>
        </w:rPr>
        <w:t>Assessment strategies and challenges for different learner groups and geographic locations</w:t>
      </w:r>
    </w:p>
    <w:p w14:paraId="034F4F2D" w14:textId="77777777" w:rsidR="00362AB2" w:rsidRPr="00362AB2" w:rsidRDefault="00362AB2" w:rsidP="00362AB2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362AB2">
        <w:rPr>
          <w:color w:val="000000" w:themeColor="text1"/>
        </w:rPr>
        <w:lastRenderedPageBreak/>
        <w:t>Formative and summative assessment approaches</w:t>
      </w:r>
    </w:p>
    <w:p w14:paraId="149D1DDC" w14:textId="77777777" w:rsidR="00362AB2" w:rsidRPr="00362AB2" w:rsidRDefault="00362AB2" w:rsidP="00362AB2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362AB2">
        <w:rPr>
          <w:color w:val="000000" w:themeColor="text1"/>
        </w:rPr>
        <w:t>Verification of learner identity</w:t>
      </w:r>
    </w:p>
    <w:p w14:paraId="6A8F305A" w14:textId="77777777" w:rsidR="00362AB2" w:rsidRPr="00362AB2" w:rsidRDefault="00362AB2" w:rsidP="00362AB2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362AB2">
        <w:rPr>
          <w:color w:val="000000" w:themeColor="text1"/>
        </w:rPr>
        <w:t>Language, literacy and numeracy considerations</w:t>
      </w:r>
    </w:p>
    <w:p w14:paraId="52099CA3" w14:textId="77777777" w:rsidR="00362AB2" w:rsidRDefault="00362AB2" w:rsidP="00362AB2">
      <w:pPr>
        <w:rPr>
          <w:color w:val="000000" w:themeColor="text1"/>
        </w:rPr>
      </w:pPr>
    </w:p>
    <w:p w14:paraId="24DB2850" w14:textId="5A5A714C" w:rsidR="000A7BB8" w:rsidRDefault="00AB57E6" w:rsidP="009E36A3">
      <w:pPr>
        <w:pStyle w:val="Heading1"/>
      </w:pPr>
      <w:r w:rsidRPr="000A7BB8">
        <w:t>Consultation Plan</w:t>
      </w:r>
    </w:p>
    <w:p w14:paraId="3FC4680E" w14:textId="77777777" w:rsidR="000A7BB8" w:rsidRPr="005E5B10" w:rsidRDefault="000A7BB8" w:rsidP="000A7BB8">
      <w:r w:rsidRPr="005E5B10">
        <w:t xml:space="preserve">The key engagement methods </w:t>
      </w:r>
      <w:r>
        <w:t>will be</w:t>
      </w:r>
      <w:r w:rsidRPr="005E5B10">
        <w:t xml:space="preserve"> as follows:</w:t>
      </w:r>
    </w:p>
    <w:p w14:paraId="6CD8C530" w14:textId="60E22496" w:rsidR="000A7BB8" w:rsidRPr="005E5B10" w:rsidRDefault="000A7BB8" w:rsidP="000A7BB8">
      <w:pPr>
        <w:pStyle w:val="ListParagraph"/>
        <w:numPr>
          <w:ilvl w:val="0"/>
          <w:numId w:val="16"/>
        </w:numPr>
      </w:pPr>
      <w:r>
        <w:t>a Te</w:t>
      </w:r>
      <w:r w:rsidRPr="005E5B10">
        <w:t>chnical Advisory Group</w:t>
      </w:r>
      <w:r>
        <w:t xml:space="preserve"> (TAG)</w:t>
      </w:r>
      <w:r w:rsidRPr="005E5B10">
        <w:t xml:space="preserve"> </w:t>
      </w:r>
      <w:r w:rsidR="00E13878">
        <w:t>has been</w:t>
      </w:r>
      <w:r w:rsidRPr="005E5B10">
        <w:t xml:space="preserve"> established in accordance with internal policy and procedures to guide the subject matter e</w:t>
      </w:r>
      <w:r>
        <w:t>xpertise components of the work</w:t>
      </w:r>
    </w:p>
    <w:p w14:paraId="5311B60D" w14:textId="77777777" w:rsidR="000A7BB8" w:rsidRPr="005E5B10" w:rsidRDefault="000A7BB8" w:rsidP="000A7BB8">
      <w:pPr>
        <w:pStyle w:val="ListParagraph"/>
        <w:numPr>
          <w:ilvl w:val="0"/>
          <w:numId w:val="16"/>
        </w:numPr>
      </w:pPr>
      <w:r>
        <w:t>d</w:t>
      </w:r>
      <w:r w:rsidRPr="005E5B10">
        <w:t>irect correspondence with regulators</w:t>
      </w:r>
    </w:p>
    <w:p w14:paraId="6981F50D" w14:textId="77777777" w:rsidR="000A7BB8" w:rsidRPr="005E5B10" w:rsidRDefault="000A7BB8" w:rsidP="000A7BB8">
      <w:pPr>
        <w:pStyle w:val="ListParagraph"/>
        <w:numPr>
          <w:ilvl w:val="0"/>
          <w:numId w:val="16"/>
        </w:numPr>
      </w:pPr>
      <w:r>
        <w:t>d</w:t>
      </w:r>
      <w:r w:rsidRPr="005E5B10">
        <w:t>irect correspondence with State Training Authorities</w:t>
      </w:r>
    </w:p>
    <w:p w14:paraId="39A2D5E1" w14:textId="77777777" w:rsidR="000A7BB8" w:rsidRPr="005E5B10" w:rsidRDefault="000A7BB8" w:rsidP="000A7BB8">
      <w:pPr>
        <w:pStyle w:val="ListParagraph"/>
        <w:numPr>
          <w:ilvl w:val="0"/>
          <w:numId w:val="16"/>
        </w:numPr>
      </w:pPr>
      <w:r>
        <w:t>d</w:t>
      </w:r>
      <w:r w:rsidRPr="005E5B10">
        <w:t>irect correspondence with IRC and key stakeholders</w:t>
      </w:r>
    </w:p>
    <w:p w14:paraId="47632CCD" w14:textId="77777777" w:rsidR="000A7BB8" w:rsidRPr="005E5B10" w:rsidRDefault="000A7BB8" w:rsidP="000A7BB8">
      <w:pPr>
        <w:pStyle w:val="ListParagraph"/>
        <w:numPr>
          <w:ilvl w:val="0"/>
          <w:numId w:val="16"/>
        </w:numPr>
      </w:pPr>
      <w:r w:rsidRPr="005E5B10">
        <w:t xml:space="preserve">RTOs will be engaged through online survey and trainer networks </w:t>
      </w:r>
    </w:p>
    <w:p w14:paraId="08B07339" w14:textId="0ACD05A6" w:rsidR="000A7BB8" w:rsidRPr="005E5B10" w:rsidRDefault="000A7BB8" w:rsidP="000A7BB8">
      <w:pPr>
        <w:pStyle w:val="ListParagraph"/>
        <w:numPr>
          <w:ilvl w:val="0"/>
          <w:numId w:val="16"/>
        </w:numPr>
      </w:pPr>
      <w:r>
        <w:t>n</w:t>
      </w:r>
      <w:r w:rsidRPr="005E5B10">
        <w:t xml:space="preserve">ewsletter survey distribution to </w:t>
      </w:r>
      <w:r w:rsidR="00E13878">
        <w:t xml:space="preserve">approx. 4000 </w:t>
      </w:r>
      <w:r w:rsidRPr="005E5B10">
        <w:t>stakeholders, including all RTOs, regulators, industry associations</w:t>
      </w:r>
    </w:p>
    <w:p w14:paraId="7D8D6C73" w14:textId="77777777" w:rsidR="000A7BB8" w:rsidRDefault="000A7BB8" w:rsidP="000A7BB8">
      <w:pPr>
        <w:pStyle w:val="ListParagraph"/>
        <w:numPr>
          <w:ilvl w:val="0"/>
          <w:numId w:val="16"/>
        </w:numPr>
      </w:pPr>
      <w:r>
        <w:t>d</w:t>
      </w:r>
      <w:r w:rsidRPr="005E5B10">
        <w:t>istribution of survey through TAG networks and Artibus digital channels</w:t>
      </w:r>
    </w:p>
    <w:p w14:paraId="37151B48" w14:textId="77777777" w:rsidR="000A7BB8" w:rsidRPr="000A7BB8" w:rsidRDefault="000A7BB8" w:rsidP="000A7BB8">
      <w:pPr>
        <w:rPr>
          <w:lang w:val="en-AU"/>
        </w:rPr>
      </w:pPr>
    </w:p>
    <w:p w14:paraId="3382240A" w14:textId="5A3314DF" w:rsidR="00AB57E6" w:rsidRDefault="000A7BB8" w:rsidP="000A7BB8">
      <w:pPr>
        <w:pStyle w:val="Heading1"/>
      </w:pPr>
      <w:r w:rsidRPr="000A7BB8">
        <w:t>Project Timeline</w:t>
      </w:r>
    </w:p>
    <w:p w14:paraId="74B49596" w14:textId="4EDB8EE2" w:rsidR="001E56B4" w:rsidRDefault="001E56B4" w:rsidP="001E56B4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247"/>
        <w:gridCol w:w="3189"/>
      </w:tblGrid>
      <w:tr w:rsidR="001E56B4" w14:paraId="737646F7" w14:textId="77777777" w:rsidTr="009E36A3">
        <w:tc>
          <w:tcPr>
            <w:tcW w:w="1129" w:type="dxa"/>
          </w:tcPr>
          <w:p w14:paraId="4AE60DB0" w14:textId="29AC9B44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Stage 1</w:t>
            </w:r>
          </w:p>
        </w:tc>
        <w:tc>
          <w:tcPr>
            <w:tcW w:w="5247" w:type="dxa"/>
          </w:tcPr>
          <w:p w14:paraId="76A7FA6B" w14:textId="28D3D43B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Project commencement</w:t>
            </w:r>
            <w:r w:rsidR="001776CE">
              <w:rPr>
                <w:lang w:val="en-AU"/>
              </w:rPr>
              <w:t xml:space="preserve"> – TAG formation</w:t>
            </w:r>
          </w:p>
        </w:tc>
        <w:tc>
          <w:tcPr>
            <w:tcW w:w="3189" w:type="dxa"/>
          </w:tcPr>
          <w:p w14:paraId="253EC0C7" w14:textId="25E96B14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September 2018</w:t>
            </w:r>
          </w:p>
        </w:tc>
      </w:tr>
      <w:tr w:rsidR="001E56B4" w14:paraId="53AFD137" w14:textId="77777777" w:rsidTr="009E36A3">
        <w:tc>
          <w:tcPr>
            <w:tcW w:w="1129" w:type="dxa"/>
          </w:tcPr>
          <w:p w14:paraId="1B8D662C" w14:textId="77223A49" w:rsidR="001E56B4" w:rsidRDefault="001E56B4" w:rsidP="001E56B4">
            <w:pPr>
              <w:rPr>
                <w:lang w:val="en-AU"/>
              </w:rPr>
            </w:pPr>
          </w:p>
        </w:tc>
        <w:tc>
          <w:tcPr>
            <w:tcW w:w="5247" w:type="dxa"/>
          </w:tcPr>
          <w:p w14:paraId="1A9563F4" w14:textId="6D92645F" w:rsidR="001E56B4" w:rsidRDefault="001776CE" w:rsidP="001E56B4">
            <w:pPr>
              <w:rPr>
                <w:lang w:val="en-AU"/>
              </w:rPr>
            </w:pPr>
            <w:r>
              <w:rPr>
                <w:lang w:val="en-AU"/>
              </w:rPr>
              <w:t>First TAG meeting and r</w:t>
            </w:r>
            <w:r w:rsidR="001E56B4">
              <w:rPr>
                <w:lang w:val="en-AU"/>
              </w:rPr>
              <w:t>ound 1 of industry consultation</w:t>
            </w:r>
            <w:r>
              <w:rPr>
                <w:lang w:val="en-AU"/>
              </w:rPr>
              <w:t xml:space="preserve"> with key stakeholders</w:t>
            </w:r>
            <w:r w:rsidR="001E56B4">
              <w:rPr>
                <w:lang w:val="en-AU"/>
              </w:rPr>
              <w:t xml:space="preserve"> </w:t>
            </w:r>
          </w:p>
        </w:tc>
        <w:tc>
          <w:tcPr>
            <w:tcW w:w="3189" w:type="dxa"/>
          </w:tcPr>
          <w:p w14:paraId="7028436E" w14:textId="3E2DBA6F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October 2018</w:t>
            </w:r>
          </w:p>
        </w:tc>
      </w:tr>
      <w:tr w:rsidR="001E56B4" w14:paraId="720C0A98" w14:textId="77777777" w:rsidTr="009E36A3">
        <w:tc>
          <w:tcPr>
            <w:tcW w:w="1129" w:type="dxa"/>
          </w:tcPr>
          <w:p w14:paraId="1AFA075F" w14:textId="77777777" w:rsidR="001E56B4" w:rsidRDefault="001E56B4" w:rsidP="001E56B4">
            <w:pPr>
              <w:rPr>
                <w:lang w:val="en-AU"/>
              </w:rPr>
            </w:pPr>
          </w:p>
        </w:tc>
        <w:tc>
          <w:tcPr>
            <w:tcW w:w="5247" w:type="dxa"/>
          </w:tcPr>
          <w:p w14:paraId="04F97991" w14:textId="58EF8C90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 xml:space="preserve">Round 2 of </w:t>
            </w:r>
            <w:r w:rsidR="001776CE">
              <w:rPr>
                <w:lang w:val="en-AU"/>
              </w:rPr>
              <w:t xml:space="preserve">wider </w:t>
            </w:r>
            <w:r>
              <w:rPr>
                <w:lang w:val="en-AU"/>
              </w:rPr>
              <w:t>industry consultation</w:t>
            </w:r>
          </w:p>
        </w:tc>
        <w:tc>
          <w:tcPr>
            <w:tcW w:w="3189" w:type="dxa"/>
          </w:tcPr>
          <w:p w14:paraId="71B97009" w14:textId="26B01ADE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November 2018 – January 2019</w:t>
            </w:r>
          </w:p>
        </w:tc>
      </w:tr>
      <w:tr w:rsidR="001E56B4" w14:paraId="2FE36251" w14:textId="77777777" w:rsidTr="009E36A3">
        <w:tc>
          <w:tcPr>
            <w:tcW w:w="1129" w:type="dxa"/>
          </w:tcPr>
          <w:p w14:paraId="52FF56D7" w14:textId="7E907BA7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 xml:space="preserve">Stage </w:t>
            </w:r>
            <w:r w:rsidR="00F34C18">
              <w:rPr>
                <w:lang w:val="en-AU"/>
              </w:rPr>
              <w:t>2</w:t>
            </w:r>
          </w:p>
        </w:tc>
        <w:tc>
          <w:tcPr>
            <w:tcW w:w="5247" w:type="dxa"/>
          </w:tcPr>
          <w:p w14:paraId="28B3460E" w14:textId="59E0B8C9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Validation consultation</w:t>
            </w:r>
            <w:r w:rsidR="001776CE">
              <w:rPr>
                <w:lang w:val="en-AU"/>
              </w:rPr>
              <w:t xml:space="preserve"> on Case for Change</w:t>
            </w:r>
          </w:p>
        </w:tc>
        <w:tc>
          <w:tcPr>
            <w:tcW w:w="3189" w:type="dxa"/>
          </w:tcPr>
          <w:p w14:paraId="009359A9" w14:textId="2726D910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January 2019</w:t>
            </w:r>
          </w:p>
        </w:tc>
      </w:tr>
      <w:tr w:rsidR="001E56B4" w14:paraId="736F1F50" w14:textId="77777777" w:rsidTr="009E36A3">
        <w:tc>
          <w:tcPr>
            <w:tcW w:w="1129" w:type="dxa"/>
          </w:tcPr>
          <w:p w14:paraId="7EA18C79" w14:textId="6B2AC8E1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 xml:space="preserve">Stage </w:t>
            </w:r>
            <w:r w:rsidR="00F34C18">
              <w:rPr>
                <w:lang w:val="en-AU"/>
              </w:rPr>
              <w:t>3</w:t>
            </w:r>
          </w:p>
        </w:tc>
        <w:tc>
          <w:tcPr>
            <w:tcW w:w="5247" w:type="dxa"/>
          </w:tcPr>
          <w:p w14:paraId="1697098D" w14:textId="40A0BB2D" w:rsidR="001E56B4" w:rsidRDefault="001776CE" w:rsidP="001E56B4">
            <w:pPr>
              <w:rPr>
                <w:lang w:val="en-AU"/>
              </w:rPr>
            </w:pPr>
            <w:r>
              <w:rPr>
                <w:lang w:val="en-AU"/>
              </w:rPr>
              <w:t>IRC Endorsement and Final STA notification of Case for Change</w:t>
            </w:r>
          </w:p>
        </w:tc>
        <w:tc>
          <w:tcPr>
            <w:tcW w:w="3189" w:type="dxa"/>
          </w:tcPr>
          <w:p w14:paraId="3B5628FC" w14:textId="7FE14A12" w:rsidR="001E56B4" w:rsidRDefault="006C2DE4" w:rsidP="001E56B4">
            <w:pPr>
              <w:rPr>
                <w:lang w:val="en-AU"/>
              </w:rPr>
            </w:pPr>
            <w:r>
              <w:rPr>
                <w:lang w:val="en-AU"/>
              </w:rPr>
              <w:t xml:space="preserve">March </w:t>
            </w:r>
            <w:r w:rsidR="001776CE">
              <w:rPr>
                <w:lang w:val="en-AU"/>
              </w:rPr>
              <w:t>2019</w:t>
            </w:r>
          </w:p>
        </w:tc>
      </w:tr>
      <w:tr w:rsidR="001E56B4" w14:paraId="115EEE87" w14:textId="77777777" w:rsidTr="009E36A3">
        <w:tc>
          <w:tcPr>
            <w:tcW w:w="1129" w:type="dxa"/>
          </w:tcPr>
          <w:p w14:paraId="0911431E" w14:textId="592B7968" w:rsidR="001E56B4" w:rsidRDefault="001776CE" w:rsidP="001E56B4">
            <w:pPr>
              <w:rPr>
                <w:lang w:val="en-AU"/>
              </w:rPr>
            </w:pPr>
            <w:r>
              <w:rPr>
                <w:lang w:val="en-AU"/>
              </w:rPr>
              <w:t xml:space="preserve">Stage </w:t>
            </w:r>
            <w:r w:rsidR="00F34C18">
              <w:rPr>
                <w:lang w:val="en-AU"/>
              </w:rPr>
              <w:t>4</w:t>
            </w:r>
          </w:p>
        </w:tc>
        <w:tc>
          <w:tcPr>
            <w:tcW w:w="5247" w:type="dxa"/>
          </w:tcPr>
          <w:p w14:paraId="76487D88" w14:textId="3697C30A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 xml:space="preserve">Case for </w:t>
            </w:r>
            <w:r w:rsidR="001776CE">
              <w:rPr>
                <w:lang w:val="en-AU"/>
              </w:rPr>
              <w:t>Change ready to be submitted to the</w:t>
            </w:r>
            <w:r>
              <w:rPr>
                <w:lang w:val="en-AU"/>
              </w:rPr>
              <w:t xml:space="preserve"> Department of Education and Training</w:t>
            </w:r>
          </w:p>
        </w:tc>
        <w:tc>
          <w:tcPr>
            <w:tcW w:w="3189" w:type="dxa"/>
          </w:tcPr>
          <w:p w14:paraId="5604CDFB" w14:textId="32C66B36" w:rsidR="001E56B4" w:rsidRDefault="001776CE" w:rsidP="001E56B4">
            <w:pPr>
              <w:rPr>
                <w:lang w:val="en-AU"/>
              </w:rPr>
            </w:pPr>
            <w:r>
              <w:rPr>
                <w:lang w:val="en-AU"/>
              </w:rPr>
              <w:t>30 April</w:t>
            </w:r>
            <w:r w:rsidR="001E56B4">
              <w:rPr>
                <w:lang w:val="en-AU"/>
              </w:rPr>
              <w:t xml:space="preserve"> 2019</w:t>
            </w:r>
          </w:p>
        </w:tc>
      </w:tr>
    </w:tbl>
    <w:p w14:paraId="58054373" w14:textId="77777777" w:rsidR="001E56B4" w:rsidRPr="001E56B4" w:rsidRDefault="001E56B4" w:rsidP="001E56B4">
      <w:pPr>
        <w:rPr>
          <w:lang w:val="en-AU"/>
        </w:rPr>
      </w:pPr>
    </w:p>
    <w:p w14:paraId="54552BBB" w14:textId="3545946A" w:rsidR="000A7BB8" w:rsidRDefault="000A7BB8" w:rsidP="000A7BB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</w:p>
    <w:p w14:paraId="3665C2A8" w14:textId="0738B363" w:rsidR="000A7BB8" w:rsidRPr="000A7BB8" w:rsidRDefault="000A7BB8" w:rsidP="000A7BB8">
      <w:pPr>
        <w:rPr>
          <w:lang w:val="en-AU"/>
        </w:rPr>
      </w:pPr>
      <w:bookmarkStart w:id="13" w:name="_GoBack"/>
      <w:bookmarkEnd w:id="13"/>
    </w:p>
    <w:sectPr w:rsidR="000A7BB8" w:rsidRPr="000A7BB8" w:rsidSect="00933E5B">
      <w:footerReference w:type="default" r:id="rId9"/>
      <w:pgSz w:w="11900" w:h="16840"/>
      <w:pgMar w:top="1134" w:right="11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DA838" w14:textId="77777777" w:rsidR="009552DC" w:rsidRDefault="009552DC" w:rsidP="00D84328">
      <w:r>
        <w:separator/>
      </w:r>
    </w:p>
  </w:endnote>
  <w:endnote w:type="continuationSeparator" w:id="0">
    <w:p w14:paraId="135848A0" w14:textId="77777777" w:rsidR="009552DC" w:rsidRDefault="009552DC" w:rsidP="00D8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A85B1" w14:textId="0E1BF066" w:rsidR="007C0564" w:rsidRPr="007C0564" w:rsidRDefault="00E13878" w:rsidP="00E73F14">
    <w:pPr>
      <w:pStyle w:val="Footer"/>
      <w:rPr>
        <w:color w:val="000000" w:themeColor="text1"/>
        <w:sz w:val="18"/>
      </w:rPr>
    </w:pPr>
    <w:r>
      <w:rPr>
        <w:color w:val="000000" w:themeColor="text1"/>
        <w:sz w:val="18"/>
      </w:rPr>
      <w:t xml:space="preserve">White Card Case for Change </w:t>
    </w:r>
    <w:r w:rsidR="007C0564" w:rsidRPr="007C0564">
      <w:rPr>
        <w:color w:val="000000" w:themeColor="text1"/>
        <w:sz w:val="18"/>
      </w:rPr>
      <w:t xml:space="preserve">Project Brief </w:t>
    </w:r>
    <w:r w:rsidR="00E73F14">
      <w:rPr>
        <w:color w:val="000000" w:themeColor="text1"/>
        <w:sz w:val="18"/>
      </w:rPr>
      <w:t xml:space="preserve">                                                              </w:t>
    </w:r>
    <w:r w:rsidR="00E73F14">
      <w:rPr>
        <w:color w:val="000000" w:themeColor="text1"/>
        <w:sz w:val="18"/>
      </w:rPr>
      <w:tab/>
    </w:r>
    <w:r w:rsidR="00E73F14">
      <w:rPr>
        <w:color w:val="000000" w:themeColor="text1"/>
        <w:sz w:val="18"/>
      </w:rPr>
      <w:tab/>
      <w:t xml:space="preserve"> </w:t>
    </w:r>
    <w:r w:rsidR="007C0564" w:rsidRPr="007C0564">
      <w:rPr>
        <w:color w:val="000000" w:themeColor="text1"/>
        <w:sz w:val="18"/>
      </w:rPr>
      <w:t xml:space="preserve">Page </w:t>
    </w:r>
    <w:r w:rsidR="007C0564">
      <w:rPr>
        <w:color w:val="000000" w:themeColor="text1"/>
        <w:sz w:val="18"/>
      </w:rPr>
      <w:t xml:space="preserve"> </w:t>
    </w:r>
    <w:r w:rsidR="007C0564" w:rsidRPr="007C0564">
      <w:rPr>
        <w:color w:val="000000" w:themeColor="text1"/>
        <w:sz w:val="18"/>
      </w:rPr>
      <w:fldChar w:fldCharType="begin"/>
    </w:r>
    <w:r w:rsidR="007C0564" w:rsidRPr="007C0564">
      <w:rPr>
        <w:color w:val="000000" w:themeColor="text1"/>
        <w:sz w:val="18"/>
      </w:rPr>
      <w:instrText xml:space="preserve"> PAGE  \* Arabic  \* MERGEFORMAT </w:instrText>
    </w:r>
    <w:r w:rsidR="007C0564" w:rsidRPr="007C0564">
      <w:rPr>
        <w:color w:val="000000" w:themeColor="text1"/>
        <w:sz w:val="18"/>
      </w:rPr>
      <w:fldChar w:fldCharType="separate"/>
    </w:r>
    <w:r w:rsidR="007C0564" w:rsidRPr="007C0564">
      <w:rPr>
        <w:noProof/>
        <w:color w:val="000000" w:themeColor="text1"/>
        <w:sz w:val="18"/>
      </w:rPr>
      <w:t>2</w:t>
    </w:r>
    <w:r w:rsidR="007C0564" w:rsidRPr="007C0564">
      <w:rPr>
        <w:color w:val="000000" w:themeColor="text1"/>
        <w:sz w:val="18"/>
      </w:rPr>
      <w:fldChar w:fldCharType="end"/>
    </w:r>
    <w:r w:rsidR="007C0564" w:rsidRPr="007C0564">
      <w:rPr>
        <w:color w:val="000000" w:themeColor="text1"/>
        <w:sz w:val="18"/>
      </w:rPr>
      <w:t xml:space="preserve"> of </w:t>
    </w:r>
    <w:r w:rsidR="007C0564" w:rsidRPr="007C0564">
      <w:rPr>
        <w:color w:val="000000" w:themeColor="text1"/>
        <w:sz w:val="18"/>
      </w:rPr>
      <w:fldChar w:fldCharType="begin"/>
    </w:r>
    <w:r w:rsidR="007C0564" w:rsidRPr="007C0564">
      <w:rPr>
        <w:color w:val="000000" w:themeColor="text1"/>
        <w:sz w:val="18"/>
      </w:rPr>
      <w:instrText xml:space="preserve"> NUMPAGES  \* Arabic  \* MERGEFORMAT </w:instrText>
    </w:r>
    <w:r w:rsidR="007C0564" w:rsidRPr="007C0564">
      <w:rPr>
        <w:color w:val="000000" w:themeColor="text1"/>
        <w:sz w:val="18"/>
      </w:rPr>
      <w:fldChar w:fldCharType="separate"/>
    </w:r>
    <w:r w:rsidR="007C0564" w:rsidRPr="007C0564">
      <w:rPr>
        <w:noProof/>
        <w:color w:val="000000" w:themeColor="text1"/>
        <w:sz w:val="18"/>
      </w:rPr>
      <w:t>2</w:t>
    </w:r>
    <w:r w:rsidR="007C0564" w:rsidRPr="007C0564">
      <w:rPr>
        <w:color w:val="000000" w:themeColor="text1"/>
        <w:sz w:val="18"/>
      </w:rPr>
      <w:fldChar w:fldCharType="end"/>
    </w:r>
  </w:p>
  <w:p w14:paraId="1B1E28E5" w14:textId="77777777" w:rsidR="007C0564" w:rsidRDefault="007C0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AFA3A" w14:textId="77777777" w:rsidR="009552DC" w:rsidRDefault="009552DC" w:rsidP="00D84328">
      <w:r>
        <w:separator/>
      </w:r>
    </w:p>
  </w:footnote>
  <w:footnote w:type="continuationSeparator" w:id="0">
    <w:p w14:paraId="39C50D7E" w14:textId="77777777" w:rsidR="009552DC" w:rsidRDefault="009552DC" w:rsidP="00D84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FB"/>
    <w:multiLevelType w:val="hybridMultilevel"/>
    <w:tmpl w:val="B484BAD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5FB9"/>
    <w:multiLevelType w:val="hybridMultilevel"/>
    <w:tmpl w:val="09A0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4D15"/>
    <w:multiLevelType w:val="hybridMultilevel"/>
    <w:tmpl w:val="A74CA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93CE0"/>
    <w:multiLevelType w:val="hybridMultilevel"/>
    <w:tmpl w:val="5C7C8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F7176"/>
    <w:multiLevelType w:val="multilevel"/>
    <w:tmpl w:val="39EECC1E"/>
    <w:styleLink w:val="Artibuslis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93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634EA"/>
    <w:multiLevelType w:val="hybridMultilevel"/>
    <w:tmpl w:val="62FE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42E32"/>
    <w:multiLevelType w:val="multilevel"/>
    <w:tmpl w:val="EBF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4620CE"/>
    <w:multiLevelType w:val="hybridMultilevel"/>
    <w:tmpl w:val="B3E4D482"/>
    <w:lvl w:ilvl="0" w:tplc="67D6F6F4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845DBE"/>
    <w:multiLevelType w:val="hybridMultilevel"/>
    <w:tmpl w:val="CDBC5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A3984"/>
    <w:multiLevelType w:val="hybridMultilevel"/>
    <w:tmpl w:val="947E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93595"/>
    <w:multiLevelType w:val="hybridMultilevel"/>
    <w:tmpl w:val="8E4E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428D2"/>
    <w:multiLevelType w:val="multilevel"/>
    <w:tmpl w:val="39EECC1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93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A77CD"/>
    <w:multiLevelType w:val="hybridMultilevel"/>
    <w:tmpl w:val="98B28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85165"/>
    <w:multiLevelType w:val="hybridMultilevel"/>
    <w:tmpl w:val="90EA0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A6394"/>
    <w:multiLevelType w:val="hybridMultilevel"/>
    <w:tmpl w:val="EB802376"/>
    <w:lvl w:ilvl="0" w:tplc="468CDE96">
      <w:start w:val="17"/>
      <w:numFmt w:val="bullet"/>
      <w:lvlText w:val="-"/>
      <w:lvlJc w:val="left"/>
      <w:pPr>
        <w:ind w:left="76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E6D2B"/>
    <w:multiLevelType w:val="hybridMultilevel"/>
    <w:tmpl w:val="E8EAFB36"/>
    <w:lvl w:ilvl="0" w:tplc="B0B46728">
      <w:start w:val="19"/>
      <w:numFmt w:val="bullet"/>
      <w:lvlText w:val="-"/>
      <w:lvlJc w:val="left"/>
      <w:pPr>
        <w:ind w:left="40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6" w15:restartNumberingAfterBreak="0">
    <w:nsid w:val="5D31779E"/>
    <w:multiLevelType w:val="multilevel"/>
    <w:tmpl w:val="7B7E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D3481D"/>
    <w:multiLevelType w:val="hybridMultilevel"/>
    <w:tmpl w:val="C2747FFC"/>
    <w:lvl w:ilvl="0" w:tplc="468CDE96">
      <w:start w:val="17"/>
      <w:numFmt w:val="bullet"/>
      <w:lvlText w:val="-"/>
      <w:lvlJc w:val="left"/>
      <w:pPr>
        <w:ind w:left="76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6A7C6668"/>
    <w:multiLevelType w:val="hybridMultilevel"/>
    <w:tmpl w:val="BFA6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B27F5"/>
    <w:multiLevelType w:val="hybridMultilevel"/>
    <w:tmpl w:val="5E4AA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6"/>
  </w:num>
  <w:num w:numId="5">
    <w:abstractNumId w:val="14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18"/>
  </w:num>
  <w:num w:numId="11">
    <w:abstractNumId w:val="1"/>
  </w:num>
  <w:num w:numId="12">
    <w:abstractNumId w:val="3"/>
  </w:num>
  <w:num w:numId="13">
    <w:abstractNumId w:val="12"/>
  </w:num>
  <w:num w:numId="14">
    <w:abstractNumId w:val="4"/>
  </w:num>
  <w:num w:numId="15">
    <w:abstractNumId w:val="11"/>
  </w:num>
  <w:num w:numId="16">
    <w:abstractNumId w:val="8"/>
  </w:num>
  <w:num w:numId="17">
    <w:abstractNumId w:val="7"/>
  </w:num>
  <w:num w:numId="18">
    <w:abstractNumId w:val="2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2F"/>
    <w:rsid w:val="00000E9F"/>
    <w:rsid w:val="000309E1"/>
    <w:rsid w:val="00075772"/>
    <w:rsid w:val="000A7BB8"/>
    <w:rsid w:val="000C26CC"/>
    <w:rsid w:val="001216E3"/>
    <w:rsid w:val="00153B53"/>
    <w:rsid w:val="001776CE"/>
    <w:rsid w:val="001923B1"/>
    <w:rsid w:val="001D6DD8"/>
    <w:rsid w:val="001E56B4"/>
    <w:rsid w:val="00201F70"/>
    <w:rsid w:val="00224C37"/>
    <w:rsid w:val="0024650F"/>
    <w:rsid w:val="00256A9A"/>
    <w:rsid w:val="002711A8"/>
    <w:rsid w:val="00361A02"/>
    <w:rsid w:val="00362AB2"/>
    <w:rsid w:val="0037611C"/>
    <w:rsid w:val="003928B2"/>
    <w:rsid w:val="003D6689"/>
    <w:rsid w:val="004763B0"/>
    <w:rsid w:val="004D182E"/>
    <w:rsid w:val="005936B5"/>
    <w:rsid w:val="005E079F"/>
    <w:rsid w:val="006104F5"/>
    <w:rsid w:val="00641DDE"/>
    <w:rsid w:val="0067525A"/>
    <w:rsid w:val="00692BC0"/>
    <w:rsid w:val="006C2DE4"/>
    <w:rsid w:val="00702EF7"/>
    <w:rsid w:val="00702F2F"/>
    <w:rsid w:val="007C0564"/>
    <w:rsid w:val="007C088B"/>
    <w:rsid w:val="00807598"/>
    <w:rsid w:val="008201D8"/>
    <w:rsid w:val="00836A51"/>
    <w:rsid w:val="008631DB"/>
    <w:rsid w:val="00864828"/>
    <w:rsid w:val="00871EC2"/>
    <w:rsid w:val="008753B5"/>
    <w:rsid w:val="009224EE"/>
    <w:rsid w:val="00933E5B"/>
    <w:rsid w:val="009552DC"/>
    <w:rsid w:val="009D64BC"/>
    <w:rsid w:val="009E36A3"/>
    <w:rsid w:val="009E5DBE"/>
    <w:rsid w:val="009F4C96"/>
    <w:rsid w:val="00A026C1"/>
    <w:rsid w:val="00A7195C"/>
    <w:rsid w:val="00A758D8"/>
    <w:rsid w:val="00AB57E6"/>
    <w:rsid w:val="00AC05B3"/>
    <w:rsid w:val="00B878B7"/>
    <w:rsid w:val="00B93530"/>
    <w:rsid w:val="00B944FA"/>
    <w:rsid w:val="00BF19EF"/>
    <w:rsid w:val="00CA18C1"/>
    <w:rsid w:val="00D32589"/>
    <w:rsid w:val="00D84328"/>
    <w:rsid w:val="00D965CF"/>
    <w:rsid w:val="00DC1CB3"/>
    <w:rsid w:val="00DD60C0"/>
    <w:rsid w:val="00E13878"/>
    <w:rsid w:val="00E36AB4"/>
    <w:rsid w:val="00E505E3"/>
    <w:rsid w:val="00E67BF8"/>
    <w:rsid w:val="00E736F4"/>
    <w:rsid w:val="00E73F14"/>
    <w:rsid w:val="00F03E3A"/>
    <w:rsid w:val="00F34C18"/>
    <w:rsid w:val="00F4162F"/>
    <w:rsid w:val="00FD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30C73"/>
  <w14:defaultImageDpi w14:val="32767"/>
  <w15:chartTrackingRefBased/>
  <w15:docId w15:val="{FAA6C776-C934-E346-B8ED-7FA54C56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088B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11C"/>
    <w:pPr>
      <w:keepNext/>
      <w:keepLines/>
      <w:spacing w:after="160" w:line="252" w:lineRule="auto"/>
      <w:outlineLvl w:val="0"/>
    </w:pPr>
    <w:rPr>
      <w:rFonts w:cstheme="majorBidi"/>
      <w:color w:val="2F5496" w:themeColor="accent1" w:themeShade="BF"/>
      <w:sz w:val="28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C088B"/>
    <w:rPr>
      <w:rFonts w:ascii="Calibri" w:hAnsi="Calibri"/>
      <w:sz w:val="22"/>
    </w:r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  <w:tcPr>
      <w:shd w:val="clear" w:color="auto" w:fill="auto"/>
    </w:tcPr>
  </w:style>
  <w:style w:type="table" w:styleId="TableGrid">
    <w:name w:val="Table Grid"/>
    <w:basedOn w:val="TableNormal"/>
    <w:uiPriority w:val="39"/>
    <w:rsid w:val="007C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611C"/>
    <w:rPr>
      <w:rFonts w:ascii="Calibri" w:hAnsi="Calibri" w:cstheme="majorBidi"/>
      <w:color w:val="2F5496" w:themeColor="accent1" w:themeShade="BF"/>
      <w:sz w:val="28"/>
      <w:szCs w:val="32"/>
      <w:lang w:val="en-AU"/>
    </w:rPr>
  </w:style>
  <w:style w:type="table" w:customStyle="1" w:styleId="TableGridLight1">
    <w:name w:val="Table Grid Light1"/>
    <w:basedOn w:val="TableNormal"/>
    <w:uiPriority w:val="40"/>
    <w:rsid w:val="003928B2"/>
    <w:rPr>
      <w:rFonts w:eastAsia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84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28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4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28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D84328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en-AU"/>
    </w:rPr>
  </w:style>
  <w:style w:type="paragraph" w:styleId="ListParagraph">
    <w:name w:val="List Paragraph"/>
    <w:aliases w:val="List Paragraph1,List Paragraph11,Bullet point,Recommendation,Dot point 1.5 line spacing,L,bullet point list,List Paragraph - bullets,DDM Gen Text,NFP GP Bulleted List,List Paragraph Number,Content descriptions,Bullet Point,Bullet points"/>
    <w:basedOn w:val="Normal"/>
    <w:link w:val="ListParagraphChar"/>
    <w:uiPriority w:val="34"/>
    <w:qFormat/>
    <w:rsid w:val="00D84328"/>
    <w:pPr>
      <w:ind w:left="720"/>
      <w:contextualSpacing/>
    </w:pPr>
  </w:style>
  <w:style w:type="numbering" w:customStyle="1" w:styleId="Artibuslist">
    <w:name w:val="Artibus list"/>
    <w:uiPriority w:val="99"/>
    <w:rsid w:val="000A7BB8"/>
    <w:pPr>
      <w:numPr>
        <w:numId w:val="14"/>
      </w:numPr>
    </w:pPr>
  </w:style>
  <w:style w:type="character" w:customStyle="1" w:styleId="ListParagraphChar">
    <w:name w:val="List Paragraph Char"/>
    <w:aliases w:val="List Paragraph1 Char,List Paragraph11 Char,Bullet point Char,Recommendation Char,Dot point 1.5 line spacing Char,L Char,bullet point list Char,List Paragraph - bullets Char,DDM Gen Text Char,NFP GP Bulleted List Char"/>
    <w:link w:val="ListParagraph"/>
    <w:uiPriority w:val="34"/>
    <w:qFormat/>
    <w:locked/>
    <w:rsid w:val="000A7BB8"/>
    <w:rPr>
      <w:rFonts w:ascii="Calibri" w:hAnsi="Calibri" w:cs="Times New Roman"/>
      <w:color w:val="262626" w:themeColor="text1" w:themeTint="D9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175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5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8F50A6-2336-40CA-A31B-F9D610E2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Barragan@</dc:creator>
  <cp:keywords/>
  <dc:description/>
  <cp:lastModifiedBy>Wendy</cp:lastModifiedBy>
  <cp:revision>2</cp:revision>
  <dcterms:created xsi:type="dcterms:W3CDTF">2018-09-21T07:04:00Z</dcterms:created>
  <dcterms:modified xsi:type="dcterms:W3CDTF">2018-09-21T07:04:00Z</dcterms:modified>
</cp:coreProperties>
</file>