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AU" w:eastAsia="en-AU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718609B0" w:rsidR="00D84328" w:rsidRPr="00D84328" w:rsidRDefault="00B92EE8" w:rsidP="007C36EE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Investigative Services</w:t>
      </w:r>
      <w:r w:rsidR="00D84328" w:rsidRPr="00D84328">
        <w:rPr>
          <w:color w:val="FFFFFF" w:themeColor="background1"/>
          <w:sz w:val="36"/>
        </w:rPr>
        <w:t xml:space="preserve"> Project </w:t>
      </w:r>
      <w:r w:rsidR="002711A8">
        <w:rPr>
          <w:color w:val="FFFFFF" w:themeColor="background1"/>
          <w:sz w:val="36"/>
        </w:rPr>
        <w:t xml:space="preserve">Brief </w:t>
      </w:r>
      <w:r w:rsidR="00976222">
        <w:rPr>
          <w:color w:val="FFFFFF" w:themeColor="background1"/>
          <w:sz w:val="36"/>
        </w:rPr>
        <w:t>2</w:t>
      </w:r>
      <w:r w:rsidR="007C36EE">
        <w:rPr>
          <w:color w:val="FFFFFF" w:themeColor="background1"/>
          <w:sz w:val="36"/>
        </w:rPr>
        <w:tab/>
      </w:r>
      <w:r w:rsidR="00235B0C">
        <w:rPr>
          <w:color w:val="FFFFFF" w:themeColor="background1"/>
          <w:sz w:val="36"/>
        </w:rPr>
        <w:t xml:space="preserve">- </w:t>
      </w:r>
      <w:r w:rsidR="00B06B7D">
        <w:rPr>
          <w:color w:val="FFFFFF" w:themeColor="background1"/>
          <w:sz w:val="36"/>
        </w:rPr>
        <w:t xml:space="preserve">January </w:t>
      </w:r>
      <w:r w:rsidR="007C36EE">
        <w:rPr>
          <w:color w:val="FFFFFF" w:themeColor="background1"/>
          <w:sz w:val="36"/>
        </w:rPr>
        <w:t>201</w:t>
      </w:r>
      <w:r w:rsidR="00B06B7D">
        <w:rPr>
          <w:color w:val="FFFFFF" w:themeColor="background1"/>
          <w:sz w:val="36"/>
        </w:rPr>
        <w:t>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7F0BD456" w:rsidR="00D84328" w:rsidRPr="00366CE5" w:rsidRDefault="00D84328" w:rsidP="00D84328">
      <w:pPr>
        <w:rPr>
          <w:color w:val="auto"/>
          <w:lang w:val="en-AU"/>
        </w:rPr>
      </w:pPr>
      <w:r w:rsidRPr="00366CE5">
        <w:rPr>
          <w:color w:val="auto"/>
          <w:lang w:val="en-AU"/>
        </w:rPr>
        <w:t xml:space="preserve">On behalf of the </w:t>
      </w:r>
      <w:r w:rsidR="00B92EE8" w:rsidRPr="00366CE5">
        <w:rPr>
          <w:color w:val="auto"/>
          <w:lang w:val="en-AU"/>
        </w:rPr>
        <w:t>Property</w:t>
      </w:r>
      <w:r w:rsidRPr="00366CE5">
        <w:rPr>
          <w:color w:val="auto"/>
          <w:lang w:val="en-AU"/>
        </w:rPr>
        <w:t xml:space="preserve"> Services IRC, Artibus Innovation is reviewing and updating the </w:t>
      </w:r>
      <w:r w:rsidR="00B92EE8" w:rsidRPr="00366CE5">
        <w:rPr>
          <w:color w:val="auto"/>
          <w:lang w:val="en-AU"/>
        </w:rPr>
        <w:t>following</w:t>
      </w:r>
      <w:r w:rsidRPr="00366CE5">
        <w:rPr>
          <w:color w:val="auto"/>
          <w:lang w:val="en-AU"/>
        </w:rPr>
        <w:t xml:space="preserve"> </w:t>
      </w:r>
      <w:r w:rsidR="009E5DBE" w:rsidRPr="00366CE5">
        <w:rPr>
          <w:color w:val="auto"/>
          <w:lang w:val="en-AU"/>
        </w:rPr>
        <w:t>qualification</w:t>
      </w:r>
      <w:r w:rsidR="00BE73E6">
        <w:rPr>
          <w:color w:val="auto"/>
          <w:lang w:val="en-AU"/>
        </w:rPr>
        <w:t>:</w:t>
      </w:r>
    </w:p>
    <w:p w14:paraId="6DD3E1EC" w14:textId="748F1B29" w:rsidR="00224C37" w:rsidRPr="00366CE5" w:rsidRDefault="00224C37" w:rsidP="00D84328">
      <w:pPr>
        <w:rPr>
          <w:color w:val="auto"/>
          <w:lang w:val="en-AU"/>
        </w:rPr>
      </w:pPr>
    </w:p>
    <w:p w14:paraId="43AB68CA" w14:textId="5D5D37B8" w:rsidR="00D84328" w:rsidRPr="00366CE5" w:rsidRDefault="00224C37" w:rsidP="00ED380C">
      <w:pPr>
        <w:rPr>
          <w:color w:val="auto"/>
          <w:lang w:val="en-AU"/>
        </w:rPr>
      </w:pPr>
      <w:r w:rsidRPr="00366CE5">
        <w:rPr>
          <w:color w:val="auto"/>
          <w:lang w:val="en-AU"/>
        </w:rPr>
        <w:t>Project Qualification Review:</w:t>
      </w:r>
    </w:p>
    <w:p w14:paraId="66267B22" w14:textId="77777777" w:rsidR="00B92EE8" w:rsidRPr="00366CE5" w:rsidRDefault="00B92EE8" w:rsidP="00ED380C">
      <w:pPr>
        <w:pStyle w:val="ListParagraph"/>
        <w:numPr>
          <w:ilvl w:val="1"/>
          <w:numId w:val="18"/>
        </w:numPr>
        <w:shd w:val="clear" w:color="auto" w:fill="FFFFFF"/>
        <w:spacing w:after="200" w:line="276" w:lineRule="auto"/>
        <w:rPr>
          <w:color w:val="auto"/>
        </w:rPr>
      </w:pPr>
      <w:r w:rsidRPr="00366CE5">
        <w:rPr>
          <w:color w:val="auto"/>
        </w:rPr>
        <w:t>CPP30607 Certificate III in Investigative Services</w:t>
      </w:r>
    </w:p>
    <w:p w14:paraId="1AB5C03D" w14:textId="7D54A574" w:rsidR="00D84328" w:rsidRDefault="003928B2" w:rsidP="00ED380C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4D347C48" w14:textId="774350A0" w:rsidR="000C7AC6" w:rsidRDefault="00EE0D36" w:rsidP="00ED380C">
      <w:pPr>
        <w:rPr>
          <w:color w:val="auto"/>
        </w:rPr>
      </w:pPr>
      <w:r>
        <w:rPr>
          <w:color w:val="auto"/>
        </w:rPr>
        <w:t>A Technical Advisory Group (TAG</w:t>
      </w:r>
      <w:r w:rsidR="000C7AC6">
        <w:rPr>
          <w:color w:val="auto"/>
        </w:rPr>
        <w:t>) has been established to provide key input on the:</w:t>
      </w:r>
    </w:p>
    <w:p w14:paraId="633BC80A" w14:textId="107F4C90" w:rsidR="000C7AC6" w:rsidRDefault="000C7AC6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suitability of packaging of the qualifications</w:t>
      </w:r>
    </w:p>
    <w:p w14:paraId="315211B6" w14:textId="04426E1E" w:rsidR="000C7AC6" w:rsidRDefault="000C7AC6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unit relevancy and content.</w:t>
      </w:r>
    </w:p>
    <w:p w14:paraId="680E3635" w14:textId="77777777" w:rsidR="000C7AC6" w:rsidRDefault="000C7AC6" w:rsidP="00ED380C">
      <w:pPr>
        <w:rPr>
          <w:color w:val="auto"/>
        </w:rPr>
      </w:pPr>
    </w:p>
    <w:p w14:paraId="69DF7FFA" w14:textId="53429B3C" w:rsidR="000C7AC6" w:rsidRDefault="000C7AC6" w:rsidP="00ED380C">
      <w:pPr>
        <w:rPr>
          <w:color w:val="auto"/>
        </w:rPr>
      </w:pPr>
      <w:r>
        <w:rPr>
          <w:color w:val="auto"/>
        </w:rPr>
        <w:t>The first TA</w:t>
      </w:r>
      <w:r w:rsidR="00ED380C">
        <w:rPr>
          <w:color w:val="auto"/>
        </w:rPr>
        <w:t>G</w:t>
      </w:r>
      <w:r>
        <w:rPr>
          <w:color w:val="auto"/>
        </w:rPr>
        <w:t xml:space="preserve"> meeting was held 27 August</w:t>
      </w:r>
      <w:r w:rsidR="00ED380C">
        <w:rPr>
          <w:color w:val="auto"/>
        </w:rPr>
        <w:t xml:space="preserve">, followed by a subsequent meeting on </w:t>
      </w:r>
      <w:r>
        <w:rPr>
          <w:color w:val="auto"/>
        </w:rPr>
        <w:t>17 October 2018. TAG members advised on:</w:t>
      </w:r>
    </w:p>
    <w:p w14:paraId="49A65180" w14:textId="0C917F29" w:rsidR="00ED380C" w:rsidRDefault="00ED380C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updating the packaging rules to align with current vocational outcomes</w:t>
      </w:r>
    </w:p>
    <w:p w14:paraId="0B28E01F" w14:textId="3A2AC780" w:rsidR="00ED380C" w:rsidRDefault="00ED380C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introducing elective streams to the qualification</w:t>
      </w:r>
    </w:p>
    <w:p w14:paraId="7EA8E7FB" w14:textId="57425490" w:rsidR="000C7AC6" w:rsidRDefault="000C7AC6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updating </w:t>
      </w:r>
      <w:r w:rsidR="004A0B10">
        <w:rPr>
          <w:color w:val="auto"/>
        </w:rPr>
        <w:t>seven</w:t>
      </w:r>
      <w:r>
        <w:rPr>
          <w:color w:val="auto"/>
        </w:rPr>
        <w:t xml:space="preserve"> </w:t>
      </w:r>
      <w:r w:rsidR="00ED380C">
        <w:rPr>
          <w:color w:val="auto"/>
        </w:rPr>
        <w:t>security</w:t>
      </w:r>
      <w:r w:rsidRPr="006760A1">
        <w:rPr>
          <w:color w:val="auto"/>
        </w:rPr>
        <w:t xml:space="preserve"> unique units of competency</w:t>
      </w:r>
    </w:p>
    <w:p w14:paraId="70D9F129" w14:textId="057CF463" w:rsidR="003A3D7E" w:rsidRPr="006760A1" w:rsidRDefault="003A3D7E" w:rsidP="00ED380C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developing </w:t>
      </w:r>
      <w:r w:rsidR="00182AFE">
        <w:rPr>
          <w:color w:val="auto"/>
        </w:rPr>
        <w:t>two</w:t>
      </w:r>
      <w:bookmarkStart w:id="9" w:name="_GoBack"/>
      <w:bookmarkEnd w:id="9"/>
      <w:r>
        <w:rPr>
          <w:color w:val="auto"/>
        </w:rPr>
        <w:t xml:space="preserve"> new security unique unit of competency</w:t>
      </w:r>
    </w:p>
    <w:p w14:paraId="68041897" w14:textId="66F1C682" w:rsidR="000C7AC6" w:rsidRPr="006760A1" w:rsidRDefault="000C7AC6" w:rsidP="00ED380C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>importing HLTWHS003 as a core unit to replace a CPP unit which had been deleted as part of another project</w:t>
      </w:r>
    </w:p>
    <w:p w14:paraId="4F6185CD" w14:textId="77777777" w:rsidR="00276AC5" w:rsidRPr="006760A1" w:rsidRDefault="00276AC5" w:rsidP="00276AC5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 xml:space="preserve">replacing </w:t>
      </w:r>
      <w:r>
        <w:rPr>
          <w:color w:val="auto"/>
        </w:rPr>
        <w:t xml:space="preserve">existing imported units with </w:t>
      </w:r>
      <w:r w:rsidRPr="006760A1">
        <w:rPr>
          <w:color w:val="auto"/>
        </w:rPr>
        <w:t>new unit</w:t>
      </w:r>
      <w:r>
        <w:rPr>
          <w:color w:val="auto"/>
        </w:rPr>
        <w:t>s where they have been updated</w:t>
      </w:r>
    </w:p>
    <w:p w14:paraId="67DF4AC7" w14:textId="74820386" w:rsidR="000C7AC6" w:rsidRDefault="007C758E" w:rsidP="00ED380C">
      <w:pPr>
        <w:pStyle w:val="ListParagraph"/>
        <w:numPr>
          <w:ilvl w:val="0"/>
          <w:numId w:val="23"/>
        </w:numPr>
        <w:rPr>
          <w:color w:val="auto"/>
        </w:rPr>
      </w:pPr>
      <w:r w:rsidRPr="006760A1">
        <w:rPr>
          <w:color w:val="auto"/>
        </w:rPr>
        <w:t>removing units of competency that</w:t>
      </w:r>
      <w:r>
        <w:rPr>
          <w:color w:val="auto"/>
        </w:rPr>
        <w:t xml:space="preserve"> are not fit for purpose</w:t>
      </w:r>
    </w:p>
    <w:p w14:paraId="65205E6D" w14:textId="77777777" w:rsidR="007C758E" w:rsidRDefault="007C758E" w:rsidP="00ED380C">
      <w:pPr>
        <w:rPr>
          <w:color w:val="auto"/>
        </w:rPr>
      </w:pPr>
    </w:p>
    <w:p w14:paraId="664572BA" w14:textId="6EC6B8F8" w:rsidR="003928B2" w:rsidRDefault="004763B0" w:rsidP="00ED380C">
      <w:pPr>
        <w:pStyle w:val="Heading1"/>
      </w:pPr>
      <w:r>
        <w:t>Key points</w:t>
      </w:r>
    </w:p>
    <w:p w14:paraId="6F650BA9" w14:textId="29D908F0" w:rsidR="007C758E" w:rsidRDefault="007C758E" w:rsidP="00DD4AB1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 xml:space="preserve">There will be </w:t>
      </w:r>
      <w:r w:rsidR="00ED380C">
        <w:rPr>
          <w:color w:val="auto"/>
        </w:rPr>
        <w:t xml:space="preserve">significant </w:t>
      </w:r>
      <w:r>
        <w:rPr>
          <w:color w:val="auto"/>
        </w:rPr>
        <w:t>change to the packaging rules of this qualification</w:t>
      </w:r>
      <w:r w:rsidR="00ED380C">
        <w:rPr>
          <w:color w:val="auto"/>
        </w:rPr>
        <w:t xml:space="preserve">, due to </w:t>
      </w:r>
      <w:r w:rsidR="00276AC5">
        <w:rPr>
          <w:color w:val="auto"/>
        </w:rPr>
        <w:t>reduced core requirement and the int</w:t>
      </w:r>
      <w:r w:rsidR="00ED380C">
        <w:rPr>
          <w:color w:val="auto"/>
        </w:rPr>
        <w:t>roduction of elective streams. However, i</w:t>
      </w:r>
      <w:r>
        <w:rPr>
          <w:color w:val="auto"/>
        </w:rPr>
        <w:t>t is anticipated that the units of competency will remain equivalent.</w:t>
      </w:r>
    </w:p>
    <w:p w14:paraId="56EE3287" w14:textId="65922354" w:rsidR="007C758E" w:rsidRDefault="007C758E" w:rsidP="00DD4AB1">
      <w:pPr>
        <w:pStyle w:val="ListParagraph"/>
        <w:numPr>
          <w:ilvl w:val="0"/>
          <w:numId w:val="23"/>
        </w:numPr>
        <w:rPr>
          <w:color w:val="auto"/>
        </w:rPr>
      </w:pPr>
      <w:r>
        <w:rPr>
          <w:color w:val="auto"/>
        </w:rPr>
        <w:t>Updates to the units of competency include:</w:t>
      </w:r>
    </w:p>
    <w:p w14:paraId="4CB20C64" w14:textId="7F46C948" w:rsidR="007C758E" w:rsidRDefault="007C758E" w:rsidP="00DD4AB1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transition to the Standards for Training Packages 2012</w:t>
      </w:r>
    </w:p>
    <w:p w14:paraId="326246E7" w14:textId="2157FDE5" w:rsidR="007C758E" w:rsidRDefault="007C758E" w:rsidP="00DD4AB1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removing repetition from the performance criteria</w:t>
      </w:r>
    </w:p>
    <w:p w14:paraId="59A4C64A" w14:textId="5EB413A4" w:rsidR="007C758E" w:rsidRDefault="007C758E" w:rsidP="00DD4AB1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enhancing the performance evidence, specifying the required frequency and volume of a task/function</w:t>
      </w:r>
    </w:p>
    <w:p w14:paraId="47B3FB14" w14:textId="2AD98998" w:rsidR="007C758E" w:rsidRDefault="007C758E" w:rsidP="00DD4AB1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incorporating the range statement into the knowledge evidence</w:t>
      </w:r>
    </w:p>
    <w:p w14:paraId="76335890" w14:textId="76805AAA" w:rsidR="007C758E" w:rsidRPr="007C758E" w:rsidRDefault="007C758E" w:rsidP="00DD4AB1">
      <w:pPr>
        <w:pStyle w:val="ListParagraph"/>
        <w:numPr>
          <w:ilvl w:val="1"/>
          <w:numId w:val="23"/>
        </w:numPr>
        <w:rPr>
          <w:color w:val="auto"/>
        </w:rPr>
      </w:pPr>
      <w:r>
        <w:rPr>
          <w:color w:val="auto"/>
        </w:rPr>
        <w:t>amending the assessment conditions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750EEF5" w14:textId="77777777" w:rsidR="00DB1734" w:rsidRDefault="00DB1734" w:rsidP="00ED380C">
      <w:pPr>
        <w:spacing w:after="160" w:line="276" w:lineRule="auto"/>
        <w:rPr>
          <w:color w:val="auto"/>
        </w:rPr>
      </w:pPr>
    </w:p>
    <w:p w14:paraId="537E12D0" w14:textId="7F4202E0" w:rsidR="007C758E" w:rsidRPr="007C758E" w:rsidRDefault="007C758E" w:rsidP="00B06B7D">
      <w:pPr>
        <w:keepNext/>
        <w:spacing w:after="160" w:line="276" w:lineRule="auto"/>
        <w:rPr>
          <w:color w:val="auto"/>
        </w:rPr>
      </w:pPr>
      <w:r>
        <w:rPr>
          <w:color w:val="auto"/>
        </w:rPr>
        <w:lastRenderedPageBreak/>
        <w:t xml:space="preserve">Draft mapping information (as at </w:t>
      </w:r>
      <w:r w:rsidR="00B06B7D">
        <w:rPr>
          <w:color w:val="auto"/>
        </w:rPr>
        <w:t>9</w:t>
      </w:r>
      <w:r w:rsidR="003A3D7E">
        <w:rPr>
          <w:color w:val="auto"/>
        </w:rPr>
        <w:t xml:space="preserve"> </w:t>
      </w:r>
      <w:r w:rsidR="00B06B7D">
        <w:rPr>
          <w:color w:val="auto"/>
        </w:rPr>
        <w:t>January</w:t>
      </w:r>
      <w:r>
        <w:rPr>
          <w:color w:val="auto"/>
        </w:rPr>
        <w:t xml:space="preserve"> 201</w:t>
      </w:r>
      <w:r w:rsidR="00B06B7D">
        <w:rPr>
          <w:color w:val="auto"/>
        </w:rPr>
        <w:t>9</w:t>
      </w:r>
      <w:r>
        <w:rPr>
          <w:color w:val="auto"/>
        </w:rPr>
        <w:t>)</w:t>
      </w:r>
    </w:p>
    <w:p w14:paraId="24DB2850" w14:textId="0DAB8EDA" w:rsidR="000A7BB8" w:rsidRDefault="007C758E" w:rsidP="00ED380C">
      <w:pPr>
        <w:pStyle w:val="Heading1"/>
      </w:pPr>
      <w:r>
        <w:t>Qualification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348"/>
      </w:tblGrid>
      <w:tr w:rsidR="007C758E" w:rsidRPr="007C758E" w14:paraId="345668AA" w14:textId="77777777" w:rsidTr="006760A1">
        <w:tc>
          <w:tcPr>
            <w:tcW w:w="2405" w:type="dxa"/>
            <w:vAlign w:val="center"/>
          </w:tcPr>
          <w:p w14:paraId="388D692D" w14:textId="7DFB4FDB" w:rsidR="007C758E" w:rsidRPr="007C758E" w:rsidRDefault="007C758E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835" w:type="dxa"/>
            <w:vAlign w:val="center"/>
          </w:tcPr>
          <w:p w14:paraId="2408BB04" w14:textId="0193201F" w:rsidR="007C758E" w:rsidRPr="007C758E" w:rsidRDefault="007C758E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</w:t>
            </w:r>
            <w:r w:rsidR="00DD4AB1">
              <w:rPr>
                <w:b/>
                <w:lang w:val="en-AU"/>
              </w:rPr>
              <w:t>07</w:t>
            </w:r>
            <w:r>
              <w:rPr>
                <w:b/>
                <w:lang w:val="en-AU"/>
              </w:rPr>
              <w:t xml:space="preserve"> Property Services Training Package</w:t>
            </w:r>
          </w:p>
        </w:tc>
        <w:tc>
          <w:tcPr>
            <w:tcW w:w="2977" w:type="dxa"/>
            <w:vAlign w:val="center"/>
          </w:tcPr>
          <w:p w14:paraId="6DB498B1" w14:textId="1E6DCC60" w:rsidR="007C758E" w:rsidRPr="007C758E" w:rsidRDefault="005C6F50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4452B77F" w14:textId="71FA2051" w:rsidR="007C758E" w:rsidRPr="007C758E" w:rsidRDefault="007C758E" w:rsidP="00ED380C">
            <w:pPr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5C6F50" w:rsidRPr="007C758E" w14:paraId="5A0F8E9D" w14:textId="77777777" w:rsidTr="006760A1">
        <w:tc>
          <w:tcPr>
            <w:tcW w:w="2405" w:type="dxa"/>
            <w:vAlign w:val="center"/>
          </w:tcPr>
          <w:p w14:paraId="73142AAB" w14:textId="34D52622" w:rsidR="005C6F50" w:rsidRPr="005C6F50" w:rsidRDefault="005C6F50" w:rsidP="00ED380C">
            <w:pPr>
              <w:rPr>
                <w:lang w:val="en-AU"/>
              </w:rPr>
            </w:pPr>
            <w:r>
              <w:rPr>
                <w:lang w:val="en-AU"/>
              </w:rPr>
              <w:t>CPP3xx19</w:t>
            </w:r>
          </w:p>
        </w:tc>
        <w:tc>
          <w:tcPr>
            <w:tcW w:w="2835" w:type="dxa"/>
            <w:vAlign w:val="center"/>
          </w:tcPr>
          <w:p w14:paraId="67B5E219" w14:textId="594485FD" w:rsidR="005C6F50" w:rsidRDefault="005C6F50" w:rsidP="00ED380C">
            <w:pPr>
              <w:rPr>
                <w:b/>
                <w:lang w:val="en-AU"/>
              </w:rPr>
            </w:pPr>
            <w:r>
              <w:rPr>
                <w:lang w:val="en-AU"/>
              </w:rPr>
              <w:t>CPP30607 Certificate III in Investigative Services</w:t>
            </w:r>
          </w:p>
        </w:tc>
        <w:tc>
          <w:tcPr>
            <w:tcW w:w="2977" w:type="dxa"/>
            <w:vAlign w:val="center"/>
          </w:tcPr>
          <w:p w14:paraId="47AFBC36" w14:textId="0638B73B" w:rsidR="005C6F50" w:rsidRDefault="005C6F50" w:rsidP="00ED380C">
            <w:pPr>
              <w:rPr>
                <w:b/>
                <w:lang w:val="en-AU"/>
              </w:rPr>
            </w:pPr>
            <w:r w:rsidRPr="005C6F50">
              <w:rPr>
                <w:lang w:val="en-AU"/>
              </w:rPr>
              <w:t xml:space="preserve">Superseded and is </w:t>
            </w:r>
            <w:r w:rsidR="00276AC5">
              <w:rPr>
                <w:lang w:val="en-AU"/>
              </w:rPr>
              <w:t xml:space="preserve">not </w:t>
            </w:r>
            <w:r w:rsidRPr="005C6F50">
              <w:rPr>
                <w:lang w:val="en-AU"/>
              </w:rPr>
              <w:t>equivalent to</w:t>
            </w:r>
            <w:r>
              <w:rPr>
                <w:b/>
                <w:lang w:val="en-AU"/>
              </w:rPr>
              <w:t xml:space="preserve"> </w:t>
            </w:r>
            <w:r>
              <w:rPr>
                <w:lang w:val="en-AU"/>
              </w:rPr>
              <w:t>CPP30607 Certificate III in Investigative Services</w:t>
            </w:r>
          </w:p>
        </w:tc>
        <w:tc>
          <w:tcPr>
            <w:tcW w:w="1348" w:type="dxa"/>
            <w:vAlign w:val="center"/>
          </w:tcPr>
          <w:p w14:paraId="3BD4495F" w14:textId="719710FE" w:rsidR="005C6F50" w:rsidRPr="00101F05" w:rsidRDefault="00276AC5" w:rsidP="00101F05">
            <w:pPr>
              <w:jc w:val="center"/>
              <w:rPr>
                <w:lang w:val="en-AU"/>
              </w:rPr>
            </w:pPr>
            <w:r w:rsidRPr="00101F05">
              <w:rPr>
                <w:lang w:val="en-AU"/>
              </w:rPr>
              <w:t>N</w:t>
            </w:r>
          </w:p>
        </w:tc>
      </w:tr>
    </w:tbl>
    <w:p w14:paraId="145256A7" w14:textId="77777777" w:rsidR="007C758E" w:rsidRDefault="007C758E" w:rsidP="00ED380C">
      <w:pPr>
        <w:rPr>
          <w:lang w:val="en-AU"/>
        </w:rPr>
      </w:pPr>
    </w:p>
    <w:p w14:paraId="304DD514" w14:textId="52ADC1D0" w:rsidR="005C6F50" w:rsidRDefault="00E54FB4" w:rsidP="00ED380C">
      <w:pPr>
        <w:pStyle w:val="Heading1"/>
      </w:pPr>
      <w:r>
        <w:t>Unit</w:t>
      </w:r>
      <w:r w:rsidR="005C6F50">
        <w:t xml:space="preserve">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1348"/>
      </w:tblGrid>
      <w:tr w:rsidR="00C81EF8" w:rsidRPr="007C758E" w14:paraId="3E307523" w14:textId="77777777" w:rsidTr="00B06B7D">
        <w:trPr>
          <w:cantSplit/>
        </w:trPr>
        <w:tc>
          <w:tcPr>
            <w:tcW w:w="2405" w:type="dxa"/>
            <w:vAlign w:val="center"/>
          </w:tcPr>
          <w:p w14:paraId="28345103" w14:textId="77777777" w:rsidR="00C81EF8" w:rsidRPr="007C758E" w:rsidRDefault="00C81EF8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 Property Services Training Package</w:t>
            </w:r>
          </w:p>
        </w:tc>
        <w:tc>
          <w:tcPr>
            <w:tcW w:w="2835" w:type="dxa"/>
            <w:vAlign w:val="center"/>
          </w:tcPr>
          <w:p w14:paraId="07672693" w14:textId="5488154F" w:rsidR="00C81EF8" w:rsidRPr="007C758E" w:rsidRDefault="00C81EF8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CPP</w:t>
            </w:r>
            <w:r w:rsidR="009A308D">
              <w:rPr>
                <w:b/>
                <w:lang w:val="en-AU"/>
              </w:rPr>
              <w:t>07</w:t>
            </w:r>
            <w:r>
              <w:rPr>
                <w:b/>
                <w:lang w:val="en-AU"/>
              </w:rPr>
              <w:t xml:space="preserve"> Property Services Training Package</w:t>
            </w:r>
          </w:p>
        </w:tc>
        <w:tc>
          <w:tcPr>
            <w:tcW w:w="2977" w:type="dxa"/>
            <w:vAlign w:val="center"/>
          </w:tcPr>
          <w:p w14:paraId="04313F0C" w14:textId="1AE3AEA9" w:rsidR="00C81EF8" w:rsidRPr="007C758E" w:rsidRDefault="00C81EF8" w:rsidP="00ED380C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Comments</w:t>
            </w:r>
          </w:p>
        </w:tc>
        <w:tc>
          <w:tcPr>
            <w:tcW w:w="1348" w:type="dxa"/>
            <w:vAlign w:val="center"/>
          </w:tcPr>
          <w:p w14:paraId="704C67A1" w14:textId="77777777" w:rsidR="00C81EF8" w:rsidRPr="007C758E" w:rsidRDefault="00C81EF8" w:rsidP="00ED380C">
            <w:pPr>
              <w:rPr>
                <w:b/>
                <w:lang w:val="en-AU"/>
              </w:rPr>
            </w:pPr>
            <w:r w:rsidRPr="007C758E">
              <w:rPr>
                <w:b/>
                <w:lang w:val="en-AU"/>
              </w:rPr>
              <w:t>Anticipated Equivalent statement</w:t>
            </w:r>
          </w:p>
        </w:tc>
      </w:tr>
      <w:tr w:rsidR="005C6F50" w:rsidRPr="007C758E" w14:paraId="1CAF0499" w14:textId="77777777" w:rsidTr="00B06B7D">
        <w:trPr>
          <w:cantSplit/>
        </w:trPr>
        <w:tc>
          <w:tcPr>
            <w:tcW w:w="2405" w:type="dxa"/>
            <w:vAlign w:val="center"/>
          </w:tcPr>
          <w:p w14:paraId="4689A221" w14:textId="11DC2512" w:rsidR="005C6F50" w:rsidRPr="00101F05" w:rsidRDefault="005C6F50" w:rsidP="004911C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CPPSEC3</w:t>
            </w:r>
            <w:r w:rsidR="004911CC" w:rsidRPr="00101F05">
              <w:rPr>
                <w:rFonts w:asciiTheme="minorHAnsi" w:hAnsiTheme="minorHAnsi"/>
                <w:szCs w:val="22"/>
                <w:lang w:val="en-AU"/>
              </w:rPr>
              <w:t>026 Work effectively in investigative services</w:t>
            </w:r>
          </w:p>
        </w:tc>
        <w:tc>
          <w:tcPr>
            <w:tcW w:w="2835" w:type="dxa"/>
            <w:vAlign w:val="center"/>
          </w:tcPr>
          <w:p w14:paraId="291D986B" w14:textId="36A8FAEB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CPPSEC3026A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Work effectively in the investigative services industry</w:t>
            </w:r>
          </w:p>
        </w:tc>
        <w:tc>
          <w:tcPr>
            <w:tcW w:w="2977" w:type="dxa"/>
            <w:vAlign w:val="center"/>
          </w:tcPr>
          <w:p w14:paraId="4A505682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CPPSEC3026A Work effectively in the investigative services industry</w:t>
            </w:r>
          </w:p>
          <w:p w14:paraId="6F6CFED6" w14:textId="07139026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437939E6" w14:textId="517ECCCD" w:rsidR="005C6F50" w:rsidRPr="00101F05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5C6F50" w:rsidRPr="007C758E" w14:paraId="336F0D61" w14:textId="77777777" w:rsidTr="00B06B7D">
        <w:trPr>
          <w:cantSplit/>
        </w:trPr>
        <w:tc>
          <w:tcPr>
            <w:tcW w:w="2405" w:type="dxa"/>
            <w:vAlign w:val="center"/>
          </w:tcPr>
          <w:p w14:paraId="69C77F74" w14:textId="732BC5D4" w:rsidR="005C6F50" w:rsidRPr="00101F05" w:rsidRDefault="005C6F50" w:rsidP="004911C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CPPSEC3</w:t>
            </w:r>
            <w:r w:rsidR="004911CC" w:rsidRPr="00101F05">
              <w:rPr>
                <w:rFonts w:asciiTheme="minorHAnsi" w:hAnsiTheme="minorHAnsi"/>
                <w:szCs w:val="22"/>
                <w:lang w:val="en-AU"/>
              </w:rPr>
              <w:t>027 Develop investigation plans</w:t>
            </w:r>
          </w:p>
        </w:tc>
        <w:tc>
          <w:tcPr>
            <w:tcW w:w="2835" w:type="dxa"/>
            <w:vAlign w:val="center"/>
          </w:tcPr>
          <w:p w14:paraId="25717C21" w14:textId="4CFC5B0F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CPPSEC3027A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Develop investigative plan</w:t>
            </w:r>
          </w:p>
        </w:tc>
        <w:tc>
          <w:tcPr>
            <w:tcW w:w="2977" w:type="dxa"/>
            <w:vAlign w:val="center"/>
          </w:tcPr>
          <w:p w14:paraId="4B0A24CD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CPPSEC3027A Develop investigative plan</w:t>
            </w:r>
          </w:p>
          <w:p w14:paraId="0DB3C28D" w14:textId="5F329813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443B566B" w14:textId="0883A613" w:rsidR="005C6F50" w:rsidRPr="00101F05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1D0945" w:rsidRPr="001D0945" w14:paraId="458D2725" w14:textId="77777777" w:rsidTr="00B06B7D">
        <w:trPr>
          <w:cantSplit/>
        </w:trPr>
        <w:tc>
          <w:tcPr>
            <w:tcW w:w="2405" w:type="dxa"/>
            <w:vAlign w:val="center"/>
          </w:tcPr>
          <w:p w14:paraId="22DFA5C7" w14:textId="6513230A" w:rsidR="00EA3977" w:rsidRPr="001D0945" w:rsidRDefault="00EA3977" w:rsidP="004911CC">
            <w:pPr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>CPPSEC3</w:t>
            </w:r>
            <w:r w:rsidR="00581537">
              <w:rPr>
                <w:rFonts w:asciiTheme="minorHAnsi" w:hAnsiTheme="minorHAnsi"/>
                <w:color w:val="auto"/>
                <w:szCs w:val="22"/>
                <w:lang w:val="en-AU"/>
              </w:rPr>
              <w:t>028</w:t>
            </w: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 xml:space="preserve"> Develop factual investigation reports</w:t>
            </w:r>
          </w:p>
        </w:tc>
        <w:tc>
          <w:tcPr>
            <w:tcW w:w="2835" w:type="dxa"/>
            <w:vAlign w:val="center"/>
          </w:tcPr>
          <w:p w14:paraId="78E77771" w14:textId="54E701AE" w:rsidR="00EA3977" w:rsidRPr="001D0945" w:rsidRDefault="00EA3977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D0945">
              <w:rPr>
                <w:rFonts w:asciiTheme="minorHAnsi" w:hAnsiTheme="minorHAnsi"/>
                <w:sz w:val="22"/>
                <w:lang w:val="en-NZ"/>
              </w:rPr>
              <w:t>CPPSEC3028A Compile investigative report</w:t>
            </w:r>
          </w:p>
        </w:tc>
        <w:tc>
          <w:tcPr>
            <w:tcW w:w="2977" w:type="dxa"/>
            <w:vAlign w:val="center"/>
          </w:tcPr>
          <w:p w14:paraId="3300F54F" w14:textId="722FBC85" w:rsidR="00EA3977" w:rsidRPr="001D0945" w:rsidRDefault="00EA3977" w:rsidP="00ED380C">
            <w:pPr>
              <w:rPr>
                <w:rFonts w:asciiTheme="minorHAnsi" w:hAnsiTheme="minorHAnsi"/>
                <w:color w:val="auto"/>
                <w:szCs w:val="22"/>
                <w:lang w:val="en-NZ"/>
              </w:rPr>
            </w:pP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 xml:space="preserve">Supersedes and is equivalent to </w:t>
            </w:r>
            <w:r w:rsidRPr="001D0945">
              <w:rPr>
                <w:rFonts w:asciiTheme="minorHAnsi" w:hAnsiTheme="minorHAnsi"/>
                <w:color w:val="auto"/>
                <w:szCs w:val="22"/>
                <w:lang w:val="en-NZ"/>
              </w:rPr>
              <w:t>CPPSEC3028A Compile investigative report</w:t>
            </w:r>
          </w:p>
          <w:p w14:paraId="738D21FC" w14:textId="1B9E3BAE" w:rsidR="00500523" w:rsidRPr="001D0945" w:rsidRDefault="00500523" w:rsidP="00ED380C">
            <w:pPr>
              <w:spacing w:before="60"/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>Redeveloped to cover the specific requirements of factual investigation reporting</w:t>
            </w:r>
          </w:p>
          <w:p w14:paraId="62DE1413" w14:textId="1BD272DC" w:rsidR="00EA3977" w:rsidRPr="001D0945" w:rsidRDefault="00EA3977" w:rsidP="00ED380C">
            <w:pPr>
              <w:spacing w:before="60"/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7CB4F7A3" w14:textId="011C8461" w:rsidR="00EA3977" w:rsidRPr="001D0945" w:rsidRDefault="001D0945" w:rsidP="00B03446">
            <w:pPr>
              <w:jc w:val="center"/>
              <w:rPr>
                <w:rFonts w:asciiTheme="minorHAnsi" w:hAnsiTheme="minorHAnsi"/>
                <w:color w:val="auto"/>
                <w:szCs w:val="22"/>
                <w:lang w:val="en-AU"/>
              </w:rPr>
            </w:pPr>
            <w:r w:rsidRPr="001D0945">
              <w:rPr>
                <w:rFonts w:asciiTheme="minorHAnsi" w:hAnsiTheme="minorHAnsi"/>
                <w:color w:val="auto"/>
                <w:szCs w:val="22"/>
                <w:lang w:val="en-AU"/>
              </w:rPr>
              <w:t>E</w:t>
            </w:r>
          </w:p>
        </w:tc>
      </w:tr>
      <w:tr w:rsidR="005C6F50" w:rsidRPr="007C758E" w14:paraId="7DCA5787" w14:textId="77777777" w:rsidTr="00B06B7D">
        <w:trPr>
          <w:cantSplit/>
        </w:trPr>
        <w:tc>
          <w:tcPr>
            <w:tcW w:w="2405" w:type="dxa"/>
            <w:vAlign w:val="center"/>
          </w:tcPr>
          <w:p w14:paraId="1A8221E2" w14:textId="6F6D02FC" w:rsidR="005C6F50" w:rsidRPr="00101F05" w:rsidRDefault="004911CC" w:rsidP="00ED380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CPPSEC3030 Conduct covert surveillance operations</w:t>
            </w:r>
          </w:p>
        </w:tc>
        <w:tc>
          <w:tcPr>
            <w:tcW w:w="2835" w:type="dxa"/>
            <w:vAlign w:val="center"/>
          </w:tcPr>
          <w:p w14:paraId="0D5A8FB4" w14:textId="74EAE272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CPPSEC3030A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Conduct surveillance</w:t>
            </w:r>
          </w:p>
        </w:tc>
        <w:tc>
          <w:tcPr>
            <w:tcW w:w="2977" w:type="dxa"/>
            <w:vAlign w:val="center"/>
          </w:tcPr>
          <w:p w14:paraId="17E9C4F9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CPPSEC3030A Conduct surveillance</w:t>
            </w:r>
          </w:p>
          <w:p w14:paraId="6647B37F" w14:textId="7E364B09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67BDF76F" w14:textId="6213ACDB" w:rsidR="005C6F50" w:rsidRPr="00101F05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5C6F50" w:rsidRPr="007C758E" w14:paraId="77F6D67A" w14:textId="77777777" w:rsidTr="00B06B7D">
        <w:trPr>
          <w:cantSplit/>
        </w:trPr>
        <w:tc>
          <w:tcPr>
            <w:tcW w:w="2405" w:type="dxa"/>
            <w:vAlign w:val="center"/>
          </w:tcPr>
          <w:p w14:paraId="77F04E4A" w14:textId="792FF0D8" w:rsidR="005C6F50" w:rsidRPr="00101F05" w:rsidRDefault="004911CC" w:rsidP="00ED380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CPPSEC3031 Organise and operate surveillance vehicles</w:t>
            </w:r>
          </w:p>
        </w:tc>
        <w:tc>
          <w:tcPr>
            <w:tcW w:w="2835" w:type="dxa"/>
            <w:vAlign w:val="center"/>
          </w:tcPr>
          <w:p w14:paraId="58F86118" w14:textId="454DBFD5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CPPSEC3031A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Organise and operate a surveillance vehicle</w:t>
            </w:r>
          </w:p>
        </w:tc>
        <w:tc>
          <w:tcPr>
            <w:tcW w:w="2977" w:type="dxa"/>
            <w:vAlign w:val="center"/>
          </w:tcPr>
          <w:p w14:paraId="5B3C369C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CPPSEC3031A Organise and operate a surveillance vehicle</w:t>
            </w:r>
          </w:p>
          <w:p w14:paraId="4BB1CB6E" w14:textId="3007ED58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7ED62282" w14:textId="27DB4393" w:rsidR="005C6F50" w:rsidRPr="00101F05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5C6F50" w:rsidRPr="007C758E" w14:paraId="2E2AB8BB" w14:textId="77777777" w:rsidTr="00B06B7D">
        <w:trPr>
          <w:cantSplit/>
        </w:trPr>
        <w:tc>
          <w:tcPr>
            <w:tcW w:w="2405" w:type="dxa"/>
            <w:vAlign w:val="center"/>
          </w:tcPr>
          <w:p w14:paraId="217BD115" w14:textId="4F49E6C0" w:rsidR="005C6F50" w:rsidRPr="00101F05" w:rsidRDefault="004911CC" w:rsidP="00ED380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lastRenderedPageBreak/>
              <w:t xml:space="preserve">CPPSEC3032 Conduct factual investigations </w:t>
            </w:r>
          </w:p>
        </w:tc>
        <w:tc>
          <w:tcPr>
            <w:tcW w:w="2835" w:type="dxa"/>
            <w:vAlign w:val="center"/>
          </w:tcPr>
          <w:p w14:paraId="2610D458" w14:textId="754ECC74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CPPSEC3032A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Gather information by factual investigation</w:t>
            </w:r>
          </w:p>
        </w:tc>
        <w:tc>
          <w:tcPr>
            <w:tcW w:w="2977" w:type="dxa"/>
            <w:vAlign w:val="center"/>
          </w:tcPr>
          <w:p w14:paraId="22B64246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CPPSEC3032A Gather information by factual investigation</w:t>
            </w:r>
          </w:p>
          <w:p w14:paraId="6EAEF2E8" w14:textId="451947FA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48A99E4D" w14:textId="21BC151A" w:rsidR="005C6F50" w:rsidRPr="00B03446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B03446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5C6F50" w:rsidRPr="007C758E" w14:paraId="408A2CA4" w14:textId="77777777" w:rsidTr="00B06B7D">
        <w:trPr>
          <w:cantSplit/>
        </w:trPr>
        <w:tc>
          <w:tcPr>
            <w:tcW w:w="2405" w:type="dxa"/>
            <w:vAlign w:val="center"/>
          </w:tcPr>
          <w:p w14:paraId="2E131489" w14:textId="0EB3026C" w:rsidR="005C6F50" w:rsidRPr="00101F05" w:rsidRDefault="004911CC" w:rsidP="00ED380C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CPPSEC3033 Conduct interviews and take statements to support investigations </w:t>
            </w:r>
          </w:p>
        </w:tc>
        <w:tc>
          <w:tcPr>
            <w:tcW w:w="2835" w:type="dxa"/>
            <w:vAlign w:val="center"/>
          </w:tcPr>
          <w:p w14:paraId="2D078FCE" w14:textId="7F7B8A2B" w:rsidR="005C6F50" w:rsidRPr="00101F05" w:rsidRDefault="005C6F50" w:rsidP="00ED380C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CPPSEC3033A</w:t>
            </w:r>
            <w:r w:rsidR="006760A1" w:rsidRPr="00101F05">
              <w:rPr>
                <w:rFonts w:asciiTheme="minorHAnsi" w:hAnsiTheme="minorHAnsi"/>
                <w:sz w:val="22"/>
                <w:lang w:val="en-NZ"/>
              </w:rPr>
              <w:t xml:space="preserve"> </w:t>
            </w:r>
            <w:r w:rsidRPr="00101F05">
              <w:rPr>
                <w:rFonts w:asciiTheme="minorHAnsi" w:hAnsiTheme="minorHAnsi"/>
                <w:sz w:val="22"/>
                <w:lang w:val="en-NZ"/>
              </w:rPr>
              <w:t>Conduct interviews and take statements</w:t>
            </w:r>
          </w:p>
        </w:tc>
        <w:tc>
          <w:tcPr>
            <w:tcW w:w="2977" w:type="dxa"/>
            <w:vAlign w:val="center"/>
          </w:tcPr>
          <w:p w14:paraId="0C1EDF61" w14:textId="77777777" w:rsidR="005C6F50" w:rsidRPr="00101F05" w:rsidRDefault="006760A1" w:rsidP="00ED380C">
            <w:pPr>
              <w:rPr>
                <w:rFonts w:asciiTheme="minorHAnsi" w:hAnsiTheme="minorHAnsi"/>
                <w:szCs w:val="22"/>
                <w:lang w:val="en-NZ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 xml:space="preserve">Supersedes and is equivalent to </w:t>
            </w:r>
            <w:r w:rsidRPr="00101F05">
              <w:rPr>
                <w:rFonts w:asciiTheme="minorHAnsi" w:hAnsiTheme="minorHAnsi"/>
                <w:szCs w:val="22"/>
                <w:lang w:val="en-NZ"/>
              </w:rPr>
              <w:t>CPPSEC3033A Conduct interviews and take statements</w:t>
            </w:r>
          </w:p>
          <w:p w14:paraId="1624A8FB" w14:textId="176C4509" w:rsidR="00C81EF8" w:rsidRPr="00101F05" w:rsidRDefault="00C81EF8" w:rsidP="00ED380C">
            <w:pPr>
              <w:spacing w:before="60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Updated to meet the Standards for Training Packages</w:t>
            </w:r>
          </w:p>
        </w:tc>
        <w:tc>
          <w:tcPr>
            <w:tcW w:w="1348" w:type="dxa"/>
            <w:vAlign w:val="center"/>
          </w:tcPr>
          <w:p w14:paraId="1773622E" w14:textId="478250D9" w:rsidR="005C6F50" w:rsidRPr="00B03446" w:rsidRDefault="005C6F50" w:rsidP="00B03446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B03446">
              <w:rPr>
                <w:rFonts w:asciiTheme="minorHAnsi" w:hAnsiTheme="minorHAnsi"/>
                <w:szCs w:val="22"/>
                <w:lang w:val="en-AU"/>
              </w:rPr>
              <w:t>E</w:t>
            </w:r>
          </w:p>
        </w:tc>
      </w:tr>
      <w:tr w:rsidR="006A0BB0" w:rsidRPr="009418B1" w14:paraId="6AB985DB" w14:textId="77777777" w:rsidTr="00B06B7D">
        <w:trPr>
          <w:cantSplit/>
        </w:trPr>
        <w:tc>
          <w:tcPr>
            <w:tcW w:w="2405" w:type="dxa"/>
            <w:vAlign w:val="center"/>
          </w:tcPr>
          <w:p w14:paraId="0F12C423" w14:textId="773FBBB4" w:rsidR="006A0BB0" w:rsidRPr="00101F05" w:rsidRDefault="006A0BB0" w:rsidP="006A0BB0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NZ"/>
              </w:rPr>
              <w:t>CPPSEC3xx Investigate and locate subjects</w:t>
            </w:r>
          </w:p>
        </w:tc>
        <w:tc>
          <w:tcPr>
            <w:tcW w:w="2835" w:type="dxa"/>
            <w:vAlign w:val="center"/>
          </w:tcPr>
          <w:p w14:paraId="5DFB3925" w14:textId="168B1A16" w:rsidR="006A0BB0" w:rsidRPr="00101F05" w:rsidRDefault="006A0BB0" w:rsidP="006A0BB0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</w:p>
        </w:tc>
        <w:tc>
          <w:tcPr>
            <w:tcW w:w="2977" w:type="dxa"/>
            <w:vAlign w:val="center"/>
          </w:tcPr>
          <w:p w14:paraId="09CC36C2" w14:textId="02CFA73F" w:rsidR="006A0BB0" w:rsidRPr="00101F05" w:rsidRDefault="006A0BB0" w:rsidP="006A0BB0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New</w:t>
            </w:r>
            <w:r w:rsidR="00901F6E">
              <w:rPr>
                <w:rFonts w:asciiTheme="minorHAnsi" w:hAnsiTheme="minorHAnsi"/>
                <w:szCs w:val="22"/>
                <w:lang w:val="en-AU"/>
              </w:rPr>
              <w:t xml:space="preserve"> unit</w:t>
            </w:r>
          </w:p>
        </w:tc>
        <w:tc>
          <w:tcPr>
            <w:tcW w:w="1348" w:type="dxa"/>
            <w:vAlign w:val="center"/>
          </w:tcPr>
          <w:p w14:paraId="7A5D5CAE" w14:textId="6F3BA3A8" w:rsidR="006A0BB0" w:rsidRPr="00101F05" w:rsidRDefault="004911CC" w:rsidP="00101F05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  <w:tr w:rsidR="000342D7" w:rsidRPr="009418B1" w14:paraId="1AF4230B" w14:textId="77777777" w:rsidTr="00B06B7D">
        <w:trPr>
          <w:cantSplit/>
        </w:trPr>
        <w:tc>
          <w:tcPr>
            <w:tcW w:w="2405" w:type="dxa"/>
            <w:vAlign w:val="center"/>
          </w:tcPr>
          <w:p w14:paraId="39378B45" w14:textId="7B5A2771" w:rsidR="000342D7" w:rsidRPr="00901F6E" w:rsidRDefault="000342D7" w:rsidP="000342D7">
            <w:pPr>
              <w:rPr>
                <w:rFonts w:asciiTheme="minorHAnsi" w:hAnsiTheme="minorHAnsi"/>
                <w:szCs w:val="22"/>
                <w:lang w:val="en-AU"/>
              </w:rPr>
            </w:pPr>
            <w:proofErr w:type="spellStart"/>
            <w:r w:rsidRPr="00901F6E">
              <w:rPr>
                <w:rFonts w:asciiTheme="minorHAnsi" w:hAnsiTheme="minorHAnsi"/>
                <w:szCs w:val="22"/>
                <w:lang w:val="en-AU"/>
              </w:rPr>
              <w:t>CPPSECxxxx</w:t>
            </w:r>
            <w:proofErr w:type="spellEnd"/>
            <w:r w:rsidRPr="00901F6E">
              <w:rPr>
                <w:rFonts w:asciiTheme="minorHAnsi" w:hAnsiTheme="minorHAnsi"/>
                <w:szCs w:val="22"/>
                <w:lang w:val="en-AU"/>
              </w:rPr>
              <w:t xml:space="preserve"> Develop surveillance investigation reports</w:t>
            </w:r>
          </w:p>
        </w:tc>
        <w:tc>
          <w:tcPr>
            <w:tcW w:w="2835" w:type="dxa"/>
            <w:vAlign w:val="center"/>
          </w:tcPr>
          <w:p w14:paraId="22E6B2D4" w14:textId="77777777" w:rsidR="000342D7" w:rsidRPr="00901F6E" w:rsidRDefault="000342D7" w:rsidP="000342D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 w:cs="Times New Roman"/>
                <w:color w:val="262626" w:themeColor="text1" w:themeTint="D9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76743EA" w14:textId="4CA81FA6" w:rsidR="000342D7" w:rsidRPr="00101F05" w:rsidRDefault="000342D7" w:rsidP="000342D7">
            <w:pPr>
              <w:rPr>
                <w:rFonts w:asciiTheme="minorHAnsi" w:hAnsiTheme="minorHAnsi"/>
                <w:szCs w:val="22"/>
                <w:lang w:val="en-AU"/>
              </w:rPr>
            </w:pPr>
            <w:r w:rsidRPr="00901F6E">
              <w:rPr>
                <w:rFonts w:asciiTheme="minorHAnsi" w:hAnsiTheme="minorHAnsi"/>
                <w:szCs w:val="22"/>
                <w:lang w:val="en-AU"/>
              </w:rPr>
              <w:t>New Unit</w:t>
            </w:r>
          </w:p>
        </w:tc>
        <w:tc>
          <w:tcPr>
            <w:tcW w:w="1348" w:type="dxa"/>
            <w:vAlign w:val="center"/>
          </w:tcPr>
          <w:p w14:paraId="1FA513C5" w14:textId="1FE467AA" w:rsidR="000342D7" w:rsidRPr="00101F05" w:rsidRDefault="000342D7" w:rsidP="000342D7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</w:p>
        </w:tc>
      </w:tr>
      <w:tr w:rsidR="000342D7" w:rsidRPr="009418B1" w14:paraId="312277E3" w14:textId="77777777" w:rsidTr="00B06B7D">
        <w:trPr>
          <w:cantSplit/>
        </w:trPr>
        <w:tc>
          <w:tcPr>
            <w:tcW w:w="2405" w:type="dxa"/>
            <w:vAlign w:val="center"/>
          </w:tcPr>
          <w:p w14:paraId="638F9729" w14:textId="3CCD7470" w:rsidR="000342D7" w:rsidRPr="00101F05" w:rsidRDefault="000342D7" w:rsidP="000342D7">
            <w:pPr>
              <w:rPr>
                <w:rFonts w:asciiTheme="minorHAnsi" w:hAnsiTheme="minorHAnsi"/>
                <w:szCs w:val="22"/>
                <w:lang w:val="en-AU"/>
              </w:rPr>
            </w:pPr>
          </w:p>
        </w:tc>
        <w:tc>
          <w:tcPr>
            <w:tcW w:w="2835" w:type="dxa"/>
            <w:vAlign w:val="center"/>
          </w:tcPr>
          <w:p w14:paraId="16A6EFC4" w14:textId="4C7D5244" w:rsidR="000342D7" w:rsidRPr="00101F05" w:rsidRDefault="000342D7" w:rsidP="000342D7">
            <w:pPr>
              <w:pStyle w:val="BodyText"/>
              <w:keepNext w:val="0"/>
              <w:keepLines w:val="0"/>
              <w:widowControl w:val="0"/>
              <w:spacing w:before="60" w:after="60"/>
              <w:rPr>
                <w:rFonts w:asciiTheme="minorHAnsi" w:hAnsiTheme="minorHAnsi"/>
                <w:sz w:val="22"/>
                <w:lang w:val="en-NZ"/>
              </w:rPr>
            </w:pPr>
            <w:r w:rsidRPr="00101F05">
              <w:rPr>
                <w:rFonts w:asciiTheme="minorHAnsi" w:hAnsiTheme="minorHAnsi"/>
                <w:sz w:val="22"/>
                <w:lang w:val="en-NZ"/>
              </w:rPr>
              <w:t>CPPSEC3034A Operate information gathering equipment</w:t>
            </w:r>
          </w:p>
        </w:tc>
        <w:tc>
          <w:tcPr>
            <w:tcW w:w="2977" w:type="dxa"/>
            <w:vAlign w:val="center"/>
          </w:tcPr>
          <w:p w14:paraId="1D48ECF3" w14:textId="46EBF1A3" w:rsidR="000342D7" w:rsidRPr="00101F05" w:rsidRDefault="000342D7" w:rsidP="000342D7">
            <w:pPr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Delete</w:t>
            </w:r>
          </w:p>
        </w:tc>
        <w:tc>
          <w:tcPr>
            <w:tcW w:w="1348" w:type="dxa"/>
            <w:vAlign w:val="center"/>
          </w:tcPr>
          <w:p w14:paraId="11B6E957" w14:textId="31845569" w:rsidR="000342D7" w:rsidRPr="00101F05" w:rsidRDefault="000342D7" w:rsidP="000342D7">
            <w:pPr>
              <w:jc w:val="center"/>
              <w:rPr>
                <w:rFonts w:asciiTheme="minorHAnsi" w:hAnsiTheme="minorHAnsi"/>
                <w:szCs w:val="22"/>
                <w:lang w:val="en-AU"/>
              </w:rPr>
            </w:pPr>
            <w:r w:rsidRPr="00101F05">
              <w:rPr>
                <w:rFonts w:asciiTheme="minorHAnsi" w:hAnsiTheme="minorHAnsi"/>
                <w:szCs w:val="22"/>
                <w:lang w:val="en-AU"/>
              </w:rPr>
              <w:t>N/A</w:t>
            </w:r>
          </w:p>
        </w:tc>
      </w:tr>
    </w:tbl>
    <w:p w14:paraId="4B58831B" w14:textId="77777777" w:rsidR="005C6F50" w:rsidRDefault="005C6F50" w:rsidP="005C6F50">
      <w:pPr>
        <w:rPr>
          <w:lang w:val="en-AU"/>
        </w:rPr>
      </w:pPr>
    </w:p>
    <w:p w14:paraId="78C6EA07" w14:textId="117664BF" w:rsidR="00EE0D36" w:rsidRDefault="00EE0D36" w:rsidP="00EE0D36">
      <w:pPr>
        <w:pStyle w:val="Heading1"/>
      </w:pPr>
      <w:r w:rsidRPr="004763B0">
        <w:t xml:space="preserve">Project </w:t>
      </w:r>
      <w:r>
        <w:t xml:space="preserve">Plan overview as at </w:t>
      </w:r>
      <w:r w:rsidR="00B06B7D">
        <w:t>9</w:t>
      </w:r>
      <w:r w:rsidR="00EA3977">
        <w:t xml:space="preserve"> </w:t>
      </w:r>
      <w:r w:rsidR="00B06B7D">
        <w:t>January</w:t>
      </w:r>
      <w:r>
        <w:t xml:space="preserve"> 201</w:t>
      </w:r>
      <w:r w:rsidR="00B06B7D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E0D36" w:rsidRPr="00EE0D36" w14:paraId="1E0B465D" w14:textId="77777777" w:rsidTr="00EE0D36">
        <w:tc>
          <w:tcPr>
            <w:tcW w:w="4782" w:type="dxa"/>
          </w:tcPr>
          <w:p w14:paraId="29396E41" w14:textId="5A66C3BD" w:rsidR="00EE0D36" w:rsidRPr="00EE0D36" w:rsidRDefault="00EE0D36" w:rsidP="00EE0D36">
            <w:pPr>
              <w:spacing w:before="60" w:after="60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Training Package Components</w:t>
            </w:r>
          </w:p>
        </w:tc>
        <w:tc>
          <w:tcPr>
            <w:tcW w:w="4783" w:type="dxa"/>
          </w:tcPr>
          <w:p w14:paraId="1B476C1D" w14:textId="337015A2" w:rsidR="00EE0D36" w:rsidRPr="00EE0D36" w:rsidRDefault="00EE0D36" w:rsidP="00EE0D36">
            <w:pPr>
              <w:spacing w:before="60" w:after="60"/>
              <w:jc w:val="center"/>
              <w:rPr>
                <w:b/>
                <w:lang w:val="en-AU"/>
              </w:rPr>
            </w:pPr>
            <w:r w:rsidRPr="00EE0D36">
              <w:rPr>
                <w:b/>
                <w:lang w:val="en-AU"/>
              </w:rPr>
              <w:t>Amount</w:t>
            </w:r>
          </w:p>
        </w:tc>
      </w:tr>
      <w:tr w:rsidR="00EE0D36" w14:paraId="72921732" w14:textId="77777777" w:rsidTr="00EE0D36">
        <w:tc>
          <w:tcPr>
            <w:tcW w:w="4782" w:type="dxa"/>
          </w:tcPr>
          <w:p w14:paraId="31972F9C" w14:textId="6DFAB7DF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updated</w:t>
            </w:r>
          </w:p>
        </w:tc>
        <w:tc>
          <w:tcPr>
            <w:tcW w:w="4783" w:type="dxa"/>
          </w:tcPr>
          <w:p w14:paraId="100A34A3" w14:textId="466CE5EA" w:rsidR="00EE0D36" w:rsidRDefault="00EE0D36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EE0D36" w14:paraId="7F38DD02" w14:textId="77777777" w:rsidTr="00EE0D36">
        <w:tc>
          <w:tcPr>
            <w:tcW w:w="4782" w:type="dxa"/>
          </w:tcPr>
          <w:p w14:paraId="6990CC07" w14:textId="5ABD1E3E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updated</w:t>
            </w:r>
          </w:p>
        </w:tc>
        <w:tc>
          <w:tcPr>
            <w:tcW w:w="4783" w:type="dxa"/>
          </w:tcPr>
          <w:p w14:paraId="72F013EA" w14:textId="597C6151" w:rsidR="00EE0D36" w:rsidRDefault="00901F6E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</w:tr>
      <w:tr w:rsidR="00EE0D36" w14:paraId="43836AEC" w14:textId="77777777" w:rsidTr="00EE0D36">
        <w:tc>
          <w:tcPr>
            <w:tcW w:w="4782" w:type="dxa"/>
          </w:tcPr>
          <w:p w14:paraId="4383903C" w14:textId="243E215E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Units to be created</w:t>
            </w:r>
          </w:p>
        </w:tc>
        <w:tc>
          <w:tcPr>
            <w:tcW w:w="4783" w:type="dxa"/>
          </w:tcPr>
          <w:p w14:paraId="2941270A" w14:textId="21F7A699" w:rsidR="00EE0D36" w:rsidRDefault="00901F6E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EE0D36" w14:paraId="5E5184D2" w14:textId="77777777" w:rsidTr="00EE0D36">
        <w:tc>
          <w:tcPr>
            <w:tcW w:w="4782" w:type="dxa"/>
          </w:tcPr>
          <w:p w14:paraId="23A9B3BB" w14:textId="7E92DBC0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Number of units to be deleted</w:t>
            </w:r>
          </w:p>
        </w:tc>
        <w:tc>
          <w:tcPr>
            <w:tcW w:w="4783" w:type="dxa"/>
          </w:tcPr>
          <w:p w14:paraId="4060D829" w14:textId="3C5D2E47" w:rsidR="00EE0D36" w:rsidRDefault="00580DE5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EE0D36" w14:paraId="6B865377" w14:textId="77777777" w:rsidTr="00EE0D36">
        <w:tc>
          <w:tcPr>
            <w:tcW w:w="4782" w:type="dxa"/>
          </w:tcPr>
          <w:p w14:paraId="786143A7" w14:textId="522875E8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Skills sets to be created</w:t>
            </w:r>
          </w:p>
        </w:tc>
        <w:tc>
          <w:tcPr>
            <w:tcW w:w="4783" w:type="dxa"/>
          </w:tcPr>
          <w:p w14:paraId="466D55EE" w14:textId="36810ABF" w:rsidR="00EE0D36" w:rsidRDefault="00EE0D36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  <w:tr w:rsidR="00EE0D36" w14:paraId="7875CDD8" w14:textId="77777777" w:rsidTr="00EE0D36">
        <w:tc>
          <w:tcPr>
            <w:tcW w:w="4782" w:type="dxa"/>
          </w:tcPr>
          <w:p w14:paraId="1B3CEB6D" w14:textId="5EA745AA" w:rsidR="00EE0D36" w:rsidRDefault="00EE0D36" w:rsidP="00EE0D36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Qualifications to be created</w:t>
            </w:r>
          </w:p>
        </w:tc>
        <w:tc>
          <w:tcPr>
            <w:tcW w:w="4783" w:type="dxa"/>
          </w:tcPr>
          <w:p w14:paraId="0B207D5B" w14:textId="268A54D9" w:rsidR="00EE0D36" w:rsidRDefault="00EE0D36" w:rsidP="00EE0D36">
            <w:pPr>
              <w:spacing w:before="60" w:after="60"/>
              <w:jc w:val="center"/>
              <w:rPr>
                <w:lang w:val="en-AU"/>
              </w:rPr>
            </w:pPr>
            <w:r>
              <w:rPr>
                <w:lang w:val="en-AU"/>
              </w:rPr>
              <w:t>Nil</w:t>
            </w:r>
          </w:p>
        </w:tc>
      </w:tr>
    </w:tbl>
    <w:p w14:paraId="76E63688" w14:textId="77777777" w:rsidR="00EE0D36" w:rsidRPr="007C758E" w:rsidRDefault="00EE0D36" w:rsidP="005C6F50">
      <w:pPr>
        <w:rPr>
          <w:lang w:val="en-AU"/>
        </w:rPr>
      </w:pPr>
    </w:p>
    <w:sectPr w:rsidR="00EE0D36" w:rsidRPr="007C758E" w:rsidSect="00933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CFE0" w14:textId="77777777" w:rsidR="00F11272" w:rsidRDefault="00F11272" w:rsidP="00D84328">
      <w:r>
        <w:separator/>
      </w:r>
    </w:p>
  </w:endnote>
  <w:endnote w:type="continuationSeparator" w:id="0">
    <w:p w14:paraId="53248618" w14:textId="77777777" w:rsidR="00F11272" w:rsidRDefault="00F11272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AD18" w14:textId="77777777" w:rsidR="00250EA8" w:rsidRDefault="0025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7DD42BB9" w:rsidR="007C0564" w:rsidRPr="007C0564" w:rsidRDefault="007C36EE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>Investigative Services</w:t>
    </w:r>
    <w:r w:rsidR="009E36A3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t xml:space="preserve">Project Brief </w:t>
    </w:r>
    <w:r w:rsidR="00250EA8">
      <w:rPr>
        <w:color w:val="000000" w:themeColor="text1"/>
        <w:sz w:val="18"/>
      </w:rPr>
      <w:t>2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035005">
      <w:rPr>
        <w:noProof/>
        <w:color w:val="000000" w:themeColor="text1"/>
        <w:sz w:val="18"/>
      </w:rPr>
      <w:t>1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035005">
      <w:rPr>
        <w:noProof/>
        <w:color w:val="000000" w:themeColor="text1"/>
        <w:sz w:val="18"/>
      </w:rPr>
      <w:t>3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7408" w14:textId="77777777" w:rsidR="00250EA8" w:rsidRDefault="00250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86E4" w14:textId="77777777" w:rsidR="00F11272" w:rsidRDefault="00F11272" w:rsidP="00D84328">
      <w:r>
        <w:separator/>
      </w:r>
    </w:p>
  </w:footnote>
  <w:footnote w:type="continuationSeparator" w:id="0">
    <w:p w14:paraId="2D3B9C50" w14:textId="77777777" w:rsidR="00F11272" w:rsidRDefault="00F11272" w:rsidP="00D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57CF" w14:textId="77777777" w:rsidR="00250EA8" w:rsidRDefault="00250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4F63" w14:textId="77777777" w:rsidR="00250EA8" w:rsidRDefault="00250E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D19D" w14:textId="77777777" w:rsidR="00250EA8" w:rsidRDefault="00250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A6A"/>
    <w:multiLevelType w:val="hybridMultilevel"/>
    <w:tmpl w:val="39AE5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625"/>
    <w:multiLevelType w:val="hybridMultilevel"/>
    <w:tmpl w:val="D396A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908"/>
    <w:multiLevelType w:val="hybridMultilevel"/>
    <w:tmpl w:val="6F5CB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C52EA"/>
    <w:multiLevelType w:val="multilevel"/>
    <w:tmpl w:val="55006FB6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4968"/>
        </w:tabs>
        <w:ind w:left="49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172B"/>
    <w:multiLevelType w:val="hybridMultilevel"/>
    <w:tmpl w:val="D2E2A9A8"/>
    <w:lvl w:ilvl="0" w:tplc="1F9879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54237E65"/>
    <w:multiLevelType w:val="hybridMultilevel"/>
    <w:tmpl w:val="5E1E0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471F7"/>
    <w:multiLevelType w:val="hybridMultilevel"/>
    <w:tmpl w:val="CF00D2A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22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19"/>
  </w:num>
  <w:num w:numId="20">
    <w:abstractNumId w:val="23"/>
  </w:num>
  <w:num w:numId="21">
    <w:abstractNumId w:val="1"/>
  </w:num>
  <w:num w:numId="22">
    <w:abstractNumId w:val="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2F"/>
    <w:rsid w:val="00000E9F"/>
    <w:rsid w:val="00012C88"/>
    <w:rsid w:val="000342D7"/>
    <w:rsid w:val="00035005"/>
    <w:rsid w:val="0004324F"/>
    <w:rsid w:val="00063D37"/>
    <w:rsid w:val="00072739"/>
    <w:rsid w:val="00075772"/>
    <w:rsid w:val="000A63A2"/>
    <w:rsid w:val="000A7BB8"/>
    <w:rsid w:val="000C1462"/>
    <w:rsid w:val="000C26CC"/>
    <w:rsid w:val="000C7AC6"/>
    <w:rsid w:val="000E416F"/>
    <w:rsid w:val="00101F05"/>
    <w:rsid w:val="001216E3"/>
    <w:rsid w:val="00153B53"/>
    <w:rsid w:val="00167B0A"/>
    <w:rsid w:val="00182AFE"/>
    <w:rsid w:val="001923B1"/>
    <w:rsid w:val="001D0945"/>
    <w:rsid w:val="001D6DD8"/>
    <w:rsid w:val="001E20D1"/>
    <w:rsid w:val="001E56B4"/>
    <w:rsid w:val="00201F70"/>
    <w:rsid w:val="00224C37"/>
    <w:rsid w:val="00235B0C"/>
    <w:rsid w:val="0024650F"/>
    <w:rsid w:val="00250EA8"/>
    <w:rsid w:val="00256A9A"/>
    <w:rsid w:val="002711A8"/>
    <w:rsid w:val="00276AC5"/>
    <w:rsid w:val="00366CE5"/>
    <w:rsid w:val="003756E3"/>
    <w:rsid w:val="0037611C"/>
    <w:rsid w:val="003928B2"/>
    <w:rsid w:val="0039644E"/>
    <w:rsid w:val="003A3D7E"/>
    <w:rsid w:val="003C702C"/>
    <w:rsid w:val="003D6689"/>
    <w:rsid w:val="00433880"/>
    <w:rsid w:val="004535CC"/>
    <w:rsid w:val="004763B0"/>
    <w:rsid w:val="004911CC"/>
    <w:rsid w:val="004A0B10"/>
    <w:rsid w:val="004C1F3F"/>
    <w:rsid w:val="004D182E"/>
    <w:rsid w:val="00500523"/>
    <w:rsid w:val="00553332"/>
    <w:rsid w:val="00580DE5"/>
    <w:rsid w:val="00581537"/>
    <w:rsid w:val="005936B5"/>
    <w:rsid w:val="005A3713"/>
    <w:rsid w:val="005C6F50"/>
    <w:rsid w:val="005E079F"/>
    <w:rsid w:val="006104F5"/>
    <w:rsid w:val="00633B63"/>
    <w:rsid w:val="00641DDE"/>
    <w:rsid w:val="0067525A"/>
    <w:rsid w:val="006760A1"/>
    <w:rsid w:val="006A0BB0"/>
    <w:rsid w:val="00702EF7"/>
    <w:rsid w:val="00702F2F"/>
    <w:rsid w:val="007A03BD"/>
    <w:rsid w:val="007C0564"/>
    <w:rsid w:val="007C088B"/>
    <w:rsid w:val="007C36EE"/>
    <w:rsid w:val="007C758E"/>
    <w:rsid w:val="008201D8"/>
    <w:rsid w:val="00824E31"/>
    <w:rsid w:val="008631DB"/>
    <w:rsid w:val="00864828"/>
    <w:rsid w:val="00871EC2"/>
    <w:rsid w:val="008753B5"/>
    <w:rsid w:val="008953C8"/>
    <w:rsid w:val="00901F6E"/>
    <w:rsid w:val="00914B63"/>
    <w:rsid w:val="009224EE"/>
    <w:rsid w:val="00933E5B"/>
    <w:rsid w:val="009418B1"/>
    <w:rsid w:val="00957A1F"/>
    <w:rsid w:val="00976222"/>
    <w:rsid w:val="009A308D"/>
    <w:rsid w:val="009D64BC"/>
    <w:rsid w:val="009E36A3"/>
    <w:rsid w:val="009E5DBE"/>
    <w:rsid w:val="009F4C96"/>
    <w:rsid w:val="00A02625"/>
    <w:rsid w:val="00A026C1"/>
    <w:rsid w:val="00A67929"/>
    <w:rsid w:val="00A7195C"/>
    <w:rsid w:val="00A758D8"/>
    <w:rsid w:val="00A96E8F"/>
    <w:rsid w:val="00AB57E6"/>
    <w:rsid w:val="00AC05B3"/>
    <w:rsid w:val="00AD2CEB"/>
    <w:rsid w:val="00B03446"/>
    <w:rsid w:val="00B06B7D"/>
    <w:rsid w:val="00B44F51"/>
    <w:rsid w:val="00B878B7"/>
    <w:rsid w:val="00B92EE8"/>
    <w:rsid w:val="00B93530"/>
    <w:rsid w:val="00B944FA"/>
    <w:rsid w:val="00BA4E48"/>
    <w:rsid w:val="00BD21BC"/>
    <w:rsid w:val="00BE73E6"/>
    <w:rsid w:val="00C27229"/>
    <w:rsid w:val="00C44D1F"/>
    <w:rsid w:val="00C81EF8"/>
    <w:rsid w:val="00CA2F33"/>
    <w:rsid w:val="00D627C5"/>
    <w:rsid w:val="00D84328"/>
    <w:rsid w:val="00D965CF"/>
    <w:rsid w:val="00D97619"/>
    <w:rsid w:val="00DB1734"/>
    <w:rsid w:val="00DC1CB3"/>
    <w:rsid w:val="00DC5B7E"/>
    <w:rsid w:val="00DD4AB1"/>
    <w:rsid w:val="00DD60C0"/>
    <w:rsid w:val="00E31715"/>
    <w:rsid w:val="00E36AB4"/>
    <w:rsid w:val="00E40160"/>
    <w:rsid w:val="00E415DC"/>
    <w:rsid w:val="00E505E3"/>
    <w:rsid w:val="00E54FB4"/>
    <w:rsid w:val="00E67BF8"/>
    <w:rsid w:val="00E73F14"/>
    <w:rsid w:val="00EA3977"/>
    <w:rsid w:val="00ED380C"/>
    <w:rsid w:val="00EE0D36"/>
    <w:rsid w:val="00F01EBE"/>
    <w:rsid w:val="00F05573"/>
    <w:rsid w:val="00F11272"/>
    <w:rsid w:val="00F33494"/>
    <w:rsid w:val="00F4162F"/>
    <w:rsid w:val="00FF1F2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A423314E-46E5-4C87-A0FC-84F5964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62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E8"/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E8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92EE8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A0262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E5"/>
    <w:rPr>
      <w:rFonts w:ascii="Segoe UI" w:hAnsi="Segoe UI" w:cs="Segoe UI"/>
      <w:color w:val="262626" w:themeColor="text1" w:themeTint="D9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5C6F50"/>
    <w:pPr>
      <w:keepNext/>
      <w:keepLines/>
      <w:spacing w:before="120" w:after="120"/>
    </w:pPr>
    <w:rPr>
      <w:rFonts w:ascii="Times New Roman" w:hAnsi="Times New Roman" w:cs="Arial"/>
      <w:color w:val="auto"/>
      <w:sz w:val="24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5C6F50"/>
    <w:rPr>
      <w:rFonts w:ascii="Times New Roman" w:hAnsi="Times New Roman" w:cs="Arial"/>
      <w:szCs w:val="22"/>
      <w:lang w:val="en-AU"/>
    </w:rPr>
  </w:style>
  <w:style w:type="paragraph" w:customStyle="1" w:styleId="CATNumList1">
    <w:name w:val="CAT Num List 1"/>
    <w:rsid w:val="005C6F50"/>
    <w:pPr>
      <w:numPr>
        <w:numId w:val="24"/>
      </w:numPr>
    </w:pPr>
    <w:rPr>
      <w:rFonts w:ascii="Arial" w:hAnsi="Arial" w:cs="Arial"/>
      <w:sz w:val="22"/>
      <w:szCs w:val="20"/>
      <w:lang w:val="en-AU"/>
    </w:rPr>
  </w:style>
  <w:style w:type="paragraph" w:customStyle="1" w:styleId="CATNumList2">
    <w:name w:val="CAT Num List 2"/>
    <w:basedOn w:val="CATNumList1"/>
    <w:rsid w:val="005C6F50"/>
    <w:pPr>
      <w:numPr>
        <w:ilvl w:val="1"/>
      </w:numPr>
      <w:tabs>
        <w:tab w:val="clear" w:pos="4968"/>
        <w:tab w:val="left" w:pos="454"/>
        <w:tab w:val="num" w:pos="792"/>
      </w:tabs>
      <w:spacing w:after="80"/>
    </w:pPr>
  </w:style>
  <w:style w:type="character" w:styleId="CommentReference">
    <w:name w:val="annotation reference"/>
    <w:basedOn w:val="DefaultParagraphFont"/>
    <w:uiPriority w:val="99"/>
    <w:semiHidden/>
    <w:unhideWhenUsed/>
    <w:rsid w:val="00DD4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B1"/>
    <w:rPr>
      <w:rFonts w:ascii="Calibri" w:hAnsi="Calibri" w:cs="Times New Roman"/>
      <w:color w:val="262626" w:themeColor="text1" w:themeTint="D9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B1"/>
    <w:rPr>
      <w:rFonts w:ascii="Calibri" w:hAnsi="Calibri" w:cs="Times New Roman"/>
      <w:b/>
      <w:bCs/>
      <w:color w:val="262626" w:themeColor="text1" w:themeTint="D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F52B3E-97E7-EC42-BFFC-780FDF6A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18</cp:revision>
  <cp:lastPrinted>2018-10-30T00:38:00Z</cp:lastPrinted>
  <dcterms:created xsi:type="dcterms:W3CDTF">2019-01-07T01:26:00Z</dcterms:created>
  <dcterms:modified xsi:type="dcterms:W3CDTF">2019-01-21T00:37:00Z</dcterms:modified>
</cp:coreProperties>
</file>