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1048" w14:textId="28E1BFA3" w:rsidR="00CD3C3D" w:rsidRPr="00F22E09" w:rsidRDefault="002A1CC9" w:rsidP="00F22E09">
      <w:pPr>
        <w:pStyle w:val="Title"/>
        <w:rPr>
          <w:b/>
          <w:color w:val="auto"/>
          <w:sz w:val="28"/>
          <w:szCs w:val="28"/>
        </w:rPr>
      </w:pPr>
      <w:r>
        <w:t>U</w:t>
      </w:r>
      <w:r w:rsidR="00642B37" w:rsidRPr="00504D95">
        <w:t>nit of Competency</w:t>
      </w:r>
      <w:r w:rsidR="00504D95" w:rsidRPr="00504D95">
        <w:t xml:space="preserve"> </w:t>
      </w:r>
      <w:bookmarkStart w:id="0" w:name="_Hlk512505531"/>
      <w:r w:rsidR="00041586" w:rsidRPr="00F22E09">
        <w:t>CP</w:t>
      </w:r>
      <w:r w:rsidR="00A073E9" w:rsidRPr="00F22E09">
        <w:t>P</w:t>
      </w:r>
      <w:r w:rsidR="00E0244E">
        <w:t>HSA4XXX</w:t>
      </w:r>
      <w:bookmarkEnd w:id="0"/>
      <w:r w:rsidR="007406D7">
        <w:t xml:space="preserve"> </w:t>
      </w:r>
      <w:r w:rsidR="007406D7" w:rsidRPr="00F22E09">
        <w:rPr>
          <w:rFonts w:eastAsia="Times New Roman"/>
          <w:b/>
          <w:color w:val="FF0000"/>
          <w:spacing w:val="0"/>
          <w:sz w:val="30"/>
          <w:szCs w:val="30"/>
          <w:shd w:val="clear" w:color="auto" w:fill="FFFFFF"/>
        </w:rPr>
        <w:t>(code)</w:t>
      </w:r>
      <w:r w:rsidR="00F22E09">
        <w:rPr>
          <w:rFonts w:eastAsia="Times New Roman"/>
          <w:b/>
          <w:color w:val="FF0000"/>
          <w:spacing w:val="0"/>
          <w:sz w:val="30"/>
          <w:szCs w:val="30"/>
          <w:shd w:val="clear" w:color="auto" w:fill="FFFFFF"/>
        </w:rPr>
        <w:t xml:space="preserve"> </w:t>
      </w:r>
      <w:r w:rsidR="000B3250">
        <w:t xml:space="preserve">Conduct </w:t>
      </w:r>
      <w:r w:rsidR="00B62F3B">
        <w:t xml:space="preserve">thermal performance </w:t>
      </w:r>
      <w:r w:rsidR="000B3250">
        <w:t>assessment of residential building</w:t>
      </w:r>
      <w:r w:rsidR="00E0244E">
        <w:t>s</w:t>
      </w:r>
      <w:r w:rsidR="007406D7">
        <w:t xml:space="preserve"> </w:t>
      </w:r>
      <w:r w:rsidR="007406D7" w:rsidRPr="00F22E09">
        <w:rPr>
          <w:rFonts w:eastAsia="Times New Roman"/>
          <w:b/>
          <w:color w:val="FF0000"/>
          <w:spacing w:val="0"/>
          <w:sz w:val="30"/>
          <w:szCs w:val="30"/>
          <w:shd w:val="clear" w:color="auto" w:fill="FFFFFF"/>
        </w:rPr>
        <w:t>(title</w:t>
      </w:r>
      <w:r w:rsidR="00F22E09" w:rsidRPr="00F22E09">
        <w:rPr>
          <w:rFonts w:eastAsia="Times New Roman"/>
          <w:b/>
          <w:color w:val="FF0000"/>
          <w:spacing w:val="0"/>
          <w:sz w:val="30"/>
          <w:szCs w:val="30"/>
          <w:shd w:val="clear" w:color="auto" w:fill="FFFFFF"/>
        </w:rPr>
        <w:t xml:space="preserve"> – describes unit</w:t>
      </w:r>
      <w:r w:rsidR="007406D7" w:rsidRPr="00F22E09">
        <w:rPr>
          <w:rFonts w:eastAsia="Times New Roman"/>
          <w:b/>
          <w:color w:val="FF0000"/>
          <w:spacing w:val="0"/>
          <w:sz w:val="30"/>
          <w:szCs w:val="30"/>
          <w:shd w:val="clear" w:color="auto" w:fill="FFFFFF"/>
        </w:rPr>
        <w:t>)</w:t>
      </w:r>
    </w:p>
    <w:p w14:paraId="6A645353" w14:textId="7347C7BE" w:rsidR="00642B37" w:rsidRPr="00F22E09" w:rsidRDefault="00642B37" w:rsidP="00852086">
      <w:pPr>
        <w:pStyle w:val="Heading1"/>
        <w:rPr>
          <w:rFonts w:eastAsia="Times New Roman"/>
          <w:b/>
          <w:color w:val="FF0000"/>
          <w:shd w:val="clear" w:color="auto" w:fill="FFFFFF"/>
        </w:rPr>
      </w:pPr>
      <w:r>
        <w:rPr>
          <w:rFonts w:eastAsia="Times New Roman"/>
          <w:shd w:val="clear" w:color="auto" w:fill="FFFFFF"/>
        </w:rPr>
        <w:t>App</w:t>
      </w:r>
      <w:r w:rsidR="00F22E09">
        <w:rPr>
          <w:rFonts w:eastAsia="Times New Roman"/>
          <w:shd w:val="clear" w:color="auto" w:fill="FFFFFF"/>
        </w:rPr>
        <w:t>l</w:t>
      </w:r>
      <w:r>
        <w:rPr>
          <w:rFonts w:eastAsia="Times New Roman"/>
          <w:shd w:val="clear" w:color="auto" w:fill="FFFFFF"/>
        </w:rPr>
        <w:t>ication</w:t>
      </w:r>
      <w:r w:rsidR="00F22E09">
        <w:rPr>
          <w:rFonts w:eastAsia="Times New Roman"/>
          <w:shd w:val="clear" w:color="auto" w:fill="FFFFFF"/>
        </w:rPr>
        <w:t xml:space="preserve"> </w:t>
      </w:r>
      <w:r w:rsidR="00F22E09" w:rsidRPr="00F22E09">
        <w:rPr>
          <w:rFonts w:eastAsia="Times New Roman"/>
          <w:b/>
          <w:color w:val="FF0000"/>
          <w:shd w:val="clear" w:color="auto" w:fill="FFFFFF"/>
        </w:rPr>
        <w:t>(</w:t>
      </w:r>
      <w:r w:rsidR="00F22E09">
        <w:rPr>
          <w:rFonts w:eastAsia="Times New Roman"/>
          <w:b/>
          <w:color w:val="FF0000"/>
          <w:shd w:val="clear" w:color="auto" w:fill="FFFFFF"/>
        </w:rPr>
        <w:t>describes practical application in the industry and how, where and who might use it</w:t>
      </w:r>
      <w:r w:rsidR="00F22E09" w:rsidRPr="00F22E09">
        <w:rPr>
          <w:rFonts w:eastAsia="Times New Roman"/>
          <w:b/>
          <w:color w:val="FF0000"/>
          <w:shd w:val="clear" w:color="auto" w:fill="FFFFFF"/>
        </w:rPr>
        <w:t>)</w:t>
      </w:r>
    </w:p>
    <w:p w14:paraId="25DD87B2" w14:textId="1CBEFBE1" w:rsidR="00E05FB4" w:rsidRDefault="007E6119" w:rsidP="00781B3E">
      <w:pPr>
        <w:spacing w:line="276" w:lineRule="auto"/>
      </w:pPr>
      <w:r>
        <w:t xml:space="preserve">This unit specifies the skills and knowledge required </w:t>
      </w:r>
      <w:r w:rsidR="00177529">
        <w:t xml:space="preserve">to </w:t>
      </w:r>
      <w:r w:rsidR="00235C3B">
        <w:t xml:space="preserve">analyse information to assess the thermal potential of </w:t>
      </w:r>
      <w:r w:rsidR="001A657B">
        <w:t xml:space="preserve">the building envelope of </w:t>
      </w:r>
      <w:r w:rsidR="001A657B" w:rsidRPr="009A0E21">
        <w:t>planned</w:t>
      </w:r>
      <w:r w:rsidR="001A657B">
        <w:t xml:space="preserve"> residential building</w:t>
      </w:r>
      <w:r w:rsidR="00D05214">
        <w:t>s</w:t>
      </w:r>
      <w:r w:rsidR="00207819">
        <w:t xml:space="preserve">, </w:t>
      </w:r>
      <w:r w:rsidR="001A657B" w:rsidRPr="00FD11D6">
        <w:t>and the thermal performance of existing residential building</w:t>
      </w:r>
      <w:r w:rsidR="00D05214" w:rsidRPr="00FD11D6">
        <w:t>s</w:t>
      </w:r>
      <w:r w:rsidR="00301E72">
        <w:t>, including alterations and</w:t>
      </w:r>
      <w:r w:rsidR="003A00C5">
        <w:t xml:space="preserve"> additions</w:t>
      </w:r>
      <w:r w:rsidR="00301E72">
        <w:t>.</w:t>
      </w:r>
      <w:r w:rsidR="00FB43FF">
        <w:t xml:space="preserve"> Assessments </w:t>
      </w:r>
      <w:r w:rsidR="00440B50">
        <w:t xml:space="preserve">involve </w:t>
      </w:r>
      <w:r w:rsidR="007641FB">
        <w:t xml:space="preserve">a variety of </w:t>
      </w:r>
      <w:r w:rsidR="00FB43FF">
        <w:t>building designs and materials</w:t>
      </w:r>
      <w:r w:rsidR="00440B50">
        <w:t xml:space="preserve"> </w:t>
      </w:r>
      <w:r w:rsidR="00440B50" w:rsidRPr="00FD11D6">
        <w:t>across all jurisdictions</w:t>
      </w:r>
      <w:r w:rsidR="00440B50">
        <w:t xml:space="preserve"> </w:t>
      </w:r>
      <w:r w:rsidR="001A657B">
        <w:t xml:space="preserve">using the </w:t>
      </w:r>
      <w:r w:rsidR="0007408E">
        <w:t xml:space="preserve">regulatory </w:t>
      </w:r>
      <w:r w:rsidR="001A657B">
        <w:t>mode of software accredited under the Nationwide House Energy Rating Scheme (NatHERS)</w:t>
      </w:r>
      <w:r w:rsidR="003760A0">
        <w:t>.</w:t>
      </w:r>
    </w:p>
    <w:p w14:paraId="0F9C8E0D" w14:textId="288BC06E" w:rsidR="003760A0" w:rsidRPr="00093E85" w:rsidRDefault="003760A0" w:rsidP="00781B3E">
      <w:pPr>
        <w:spacing w:line="276" w:lineRule="auto"/>
      </w:pPr>
      <w:r>
        <w:t xml:space="preserve">This unit is for individuals </w:t>
      </w:r>
      <w:r w:rsidR="008E5592">
        <w:t xml:space="preserve">who work </w:t>
      </w:r>
      <w:r>
        <w:t xml:space="preserve">independently </w:t>
      </w:r>
      <w:r w:rsidR="008E5592">
        <w:t xml:space="preserve">using </w:t>
      </w:r>
      <w:r>
        <w:t>specialised knowledge</w:t>
      </w:r>
      <w:r w:rsidR="003231C4">
        <w:t xml:space="preserve"> and skills</w:t>
      </w:r>
      <w:r>
        <w:t xml:space="preserve"> to complete </w:t>
      </w:r>
      <w:r w:rsidR="001A657B">
        <w:t xml:space="preserve">thermal performance </w:t>
      </w:r>
      <w:r>
        <w:t>assessments</w:t>
      </w:r>
      <w:r w:rsidR="00587775">
        <w:t>.  This work involves</w:t>
      </w:r>
      <w:r w:rsidR="003231C4">
        <w:t xml:space="preserve"> </w:t>
      </w:r>
      <w:r w:rsidR="003231C4" w:rsidRPr="003231C4">
        <w:t xml:space="preserve">known or changing contexts and </w:t>
      </w:r>
      <w:r w:rsidR="003630F3">
        <w:t xml:space="preserve">is conducted </w:t>
      </w:r>
      <w:r w:rsidR="003231C4" w:rsidRPr="003231C4">
        <w:t>within established parameters.</w:t>
      </w:r>
    </w:p>
    <w:p w14:paraId="3EAB8AC3" w14:textId="4031879C" w:rsidR="007E6119" w:rsidRPr="00F22E09" w:rsidRDefault="001A657B" w:rsidP="00A073E9">
      <w:pPr>
        <w:rPr>
          <w:rFonts w:asciiTheme="majorHAnsi" w:eastAsia="Times New Roman" w:hAnsiTheme="majorHAnsi" w:cstheme="majorBidi"/>
          <w:b/>
          <w:color w:val="FF0000"/>
          <w:sz w:val="30"/>
          <w:szCs w:val="30"/>
          <w:shd w:val="clear" w:color="auto" w:fill="FFFFFF"/>
        </w:rPr>
      </w:pPr>
      <w:bookmarkStart w:id="1" w:name="_Hlk523230945"/>
      <w:r>
        <w:rPr>
          <w:rFonts w:eastAsia="Calibri" w:cs="Times New Roman"/>
          <w:lang w:eastAsia="en-AU"/>
        </w:rPr>
        <w:t>L</w:t>
      </w:r>
      <w:r w:rsidR="00A073E9" w:rsidRPr="007D3D5E">
        <w:rPr>
          <w:rFonts w:eastAsia="Calibri" w:cs="Times New Roman"/>
          <w:lang w:eastAsia="en-AU"/>
        </w:rPr>
        <w:t xml:space="preserve">icensing, legislative or certification requirements apply to this unit </w:t>
      </w:r>
      <w:r>
        <w:rPr>
          <w:rFonts w:eastAsia="Calibri" w:cs="Times New Roman"/>
          <w:lang w:eastAsia="en-AU"/>
        </w:rPr>
        <w:t>but vary according to state or territory jurisdiction</w:t>
      </w:r>
      <w:bookmarkEnd w:id="1"/>
      <w:r w:rsidR="00F22E09">
        <w:rPr>
          <w:rFonts w:eastAsia="Calibri" w:cs="Times New Roman"/>
          <w:lang w:eastAsia="en-AU"/>
        </w:rPr>
        <w:t xml:space="preserve">. </w:t>
      </w:r>
      <w:r w:rsidR="00F22E09" w:rsidRPr="00F22E09">
        <w:rPr>
          <w:rFonts w:asciiTheme="majorHAnsi" w:eastAsia="Times New Roman" w:hAnsiTheme="majorHAnsi" w:cstheme="majorBidi"/>
          <w:b/>
          <w:color w:val="FF0000"/>
          <w:sz w:val="30"/>
          <w:szCs w:val="30"/>
          <w:shd w:val="clear" w:color="auto" w:fill="FFFFFF"/>
        </w:rPr>
        <w:t>(unit’s relationship to licensing)</w:t>
      </w:r>
      <w:r w:rsidR="00F22E09" w:rsidRPr="00F22E09">
        <w:rPr>
          <w:rFonts w:asciiTheme="majorHAnsi" w:eastAsia="Times New Roman" w:hAnsiTheme="majorHAnsi" w:cstheme="majorBidi"/>
          <w:b/>
          <w:color w:val="FF0000"/>
          <w:sz w:val="30"/>
          <w:szCs w:val="30"/>
          <w:shd w:val="clear" w:color="auto" w:fill="FFFFFF"/>
        </w:rPr>
        <w:t> </w:t>
      </w:r>
    </w:p>
    <w:p w14:paraId="55F71F2C" w14:textId="62FAA95E" w:rsidR="008722DF" w:rsidRPr="00D4245D" w:rsidRDefault="00363748" w:rsidP="000825FE">
      <w:pPr>
        <w:pStyle w:val="Heading1"/>
        <w:rPr>
          <w:rFonts w:eastAsia="Times New Roman"/>
          <w:b/>
          <w:color w:val="FF0000"/>
          <w:shd w:val="clear" w:color="auto" w:fill="FFFFFF"/>
        </w:rPr>
      </w:pPr>
      <w:bookmarkStart w:id="2" w:name="_Hlk512512031"/>
      <w:r>
        <w:rPr>
          <w:rFonts w:eastAsia="Times New Roman"/>
          <w:shd w:val="clear" w:color="auto" w:fill="FFFFFF"/>
        </w:rPr>
        <w:t>Prerequisite Unit</w:t>
      </w:r>
      <w:r w:rsidR="00D27959">
        <w:rPr>
          <w:rFonts w:eastAsia="Times New Roman"/>
          <w:shd w:val="clear" w:color="auto" w:fill="FFFFFF"/>
        </w:rPr>
        <w:t>s</w:t>
      </w:r>
      <w:r w:rsidR="00F22E09">
        <w:rPr>
          <w:rFonts w:eastAsia="Times New Roman"/>
          <w:shd w:val="clear" w:color="auto" w:fill="FFFFFF"/>
        </w:rPr>
        <w:t xml:space="preserve"> </w:t>
      </w:r>
      <w:r w:rsidR="00F22E09" w:rsidRPr="00D4245D">
        <w:rPr>
          <w:rFonts w:eastAsia="Times New Roman"/>
          <w:b/>
          <w:color w:val="FF0000"/>
          <w:shd w:val="clear" w:color="auto" w:fill="FFFFFF"/>
        </w:rPr>
        <w:t>(</w:t>
      </w:r>
      <w:r w:rsidR="00D4245D" w:rsidRPr="00D4245D">
        <w:rPr>
          <w:rFonts w:eastAsia="Times New Roman"/>
          <w:b/>
          <w:color w:val="FF0000"/>
          <w:shd w:val="clear" w:color="auto" w:fill="FFFFFF"/>
        </w:rPr>
        <w:t xml:space="preserve">competencies </w:t>
      </w:r>
      <w:r w:rsidR="00F22E09" w:rsidRPr="00D4245D">
        <w:rPr>
          <w:rFonts w:eastAsia="Times New Roman"/>
          <w:b/>
          <w:color w:val="FF0000"/>
          <w:shd w:val="clear" w:color="auto" w:fill="FFFFFF"/>
        </w:rPr>
        <w:t xml:space="preserve">required prior to determination of competency in </w:t>
      </w:r>
      <w:r w:rsidR="00D4245D" w:rsidRPr="00D4245D">
        <w:rPr>
          <w:rFonts w:eastAsia="Times New Roman"/>
          <w:b/>
          <w:color w:val="FF0000"/>
          <w:shd w:val="clear" w:color="auto" w:fill="FFFFFF"/>
        </w:rPr>
        <w:t>this unit)</w:t>
      </w:r>
    </w:p>
    <w:p w14:paraId="26C698F3" w14:textId="55DDC1F1" w:rsidR="00D27959" w:rsidRPr="00D27959" w:rsidRDefault="00D27959" w:rsidP="00D27959">
      <w:pPr>
        <w:spacing w:after="0" w:line="240" w:lineRule="auto"/>
      </w:pPr>
      <w:r>
        <w:t>CPPCMN4008 Read plans, drawings and specifications for residential buildings</w:t>
      </w:r>
    </w:p>
    <w:p w14:paraId="6CA8D597" w14:textId="6A304045" w:rsidR="00D27959" w:rsidRPr="00D27959" w:rsidRDefault="00D27959" w:rsidP="00D27959">
      <w:pPr>
        <w:spacing w:after="0" w:line="240" w:lineRule="auto"/>
      </w:pPr>
      <w:r>
        <w:t>CPPHSAXXXX Operate and maintain computer system to support thermal performance assessments</w:t>
      </w:r>
    </w:p>
    <w:p w14:paraId="3881BA7A" w14:textId="5A48D313" w:rsidR="00FC0DF6" w:rsidRPr="00D4245D" w:rsidRDefault="007E6119" w:rsidP="00093E85">
      <w:pPr>
        <w:pStyle w:val="Heading1"/>
        <w:rPr>
          <w:rFonts w:eastAsia="Times New Roman"/>
          <w:b/>
          <w:color w:val="FF0000"/>
          <w:shd w:val="clear" w:color="auto" w:fill="FFFFFF"/>
        </w:rPr>
      </w:pPr>
      <w:r w:rsidRPr="007E6119">
        <w:rPr>
          <w:rFonts w:eastAsia="Times New Roman"/>
          <w:shd w:val="clear" w:color="auto" w:fill="FFFFFF"/>
        </w:rPr>
        <w:t>Competency Field</w:t>
      </w:r>
      <w:r w:rsidR="00D4245D">
        <w:rPr>
          <w:rFonts w:eastAsia="Times New Roman"/>
          <w:shd w:val="clear" w:color="auto" w:fill="FFFFFF"/>
        </w:rPr>
        <w:t xml:space="preserve"> </w:t>
      </w:r>
      <w:r w:rsidR="00D4245D" w:rsidRPr="00D4245D">
        <w:rPr>
          <w:rFonts w:eastAsia="Times New Roman"/>
          <w:b/>
          <w:color w:val="FF0000"/>
          <w:shd w:val="clear" w:color="auto" w:fill="FFFFFF"/>
        </w:rPr>
        <w:t>(industry sector)</w:t>
      </w:r>
    </w:p>
    <w:bookmarkEnd w:id="2"/>
    <w:p w14:paraId="7FA98E68" w14:textId="1512EE99" w:rsidR="00FC0DF6" w:rsidRPr="00363748" w:rsidRDefault="00FC0DF6" w:rsidP="00FC0DF6">
      <w:r>
        <w:t xml:space="preserve">Home </w:t>
      </w:r>
      <w:r w:rsidR="00A87B7C">
        <w:t>S</w:t>
      </w:r>
      <w:r>
        <w:t>ustainability.</w:t>
      </w:r>
    </w:p>
    <w:p w14:paraId="13C6DFDB" w14:textId="37B77432" w:rsidR="00027CBD" w:rsidRDefault="00BC3A12" w:rsidP="000825FE">
      <w:pPr>
        <w:pStyle w:val="Heading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Elements and Performance Criteria</w:t>
      </w:r>
      <w:r w:rsidR="006E1FE5">
        <w:rPr>
          <w:rFonts w:eastAsia="Times New Roman"/>
          <w:shd w:val="clear" w:color="auto" w:fill="FFFFFF"/>
        </w:rPr>
        <w:t xml:space="preserve"> </w:t>
      </w:r>
    </w:p>
    <w:p w14:paraId="13F17437" w14:textId="509CA443" w:rsidR="00D4245D" w:rsidRDefault="00D4245D" w:rsidP="00D4245D">
      <w:pPr>
        <w:rPr>
          <w:rFonts w:asciiTheme="majorHAnsi" w:hAnsiTheme="majorHAnsi" w:cstheme="majorHAnsi"/>
          <w:b/>
          <w:color w:val="FF0000"/>
          <w:sz w:val="30"/>
          <w:szCs w:val="30"/>
        </w:rPr>
      </w:pPr>
      <w:r w:rsidRPr="00D4245D">
        <w:rPr>
          <w:rFonts w:asciiTheme="majorHAnsi" w:hAnsiTheme="majorHAnsi" w:cstheme="majorHAnsi"/>
          <w:b/>
          <w:color w:val="FF0000"/>
          <w:sz w:val="30"/>
          <w:szCs w:val="30"/>
        </w:rPr>
        <w:t xml:space="preserve">(Elements describe </w:t>
      </w:r>
      <w:r>
        <w:rPr>
          <w:rFonts w:asciiTheme="majorHAnsi" w:hAnsiTheme="majorHAnsi" w:cstheme="majorHAnsi"/>
          <w:b/>
          <w:color w:val="FF0000"/>
          <w:sz w:val="30"/>
          <w:szCs w:val="30"/>
        </w:rPr>
        <w:t>actions or outcomes that are demonstrable and assessable)</w:t>
      </w:r>
    </w:p>
    <w:p w14:paraId="73080633" w14:textId="3B0BB6CC" w:rsidR="00030E20" w:rsidRPr="00030E20" w:rsidRDefault="00D4245D" w:rsidP="00030E20">
      <w:pPr>
        <w:spacing w:after="0" w:line="240" w:lineRule="auto"/>
        <w:rPr>
          <w:rFonts w:asciiTheme="majorHAnsi" w:eastAsia="Calibri" w:hAnsiTheme="majorHAnsi" w:cstheme="majorHAnsi"/>
          <w:b/>
          <w:color w:val="FF0000"/>
          <w:sz w:val="30"/>
          <w:szCs w:val="30"/>
          <w:lang w:eastAsia="en-AU"/>
        </w:rPr>
      </w:pPr>
      <w:r>
        <w:rPr>
          <w:rFonts w:asciiTheme="majorHAnsi" w:hAnsiTheme="majorHAnsi" w:cstheme="majorHAnsi"/>
          <w:b/>
          <w:color w:val="FF0000"/>
          <w:sz w:val="30"/>
          <w:szCs w:val="30"/>
        </w:rPr>
        <w:t xml:space="preserve">(Performance </w:t>
      </w:r>
      <w:r w:rsidR="00030E20">
        <w:rPr>
          <w:rFonts w:asciiTheme="majorHAnsi" w:hAnsiTheme="majorHAnsi" w:cstheme="majorHAnsi"/>
          <w:b/>
          <w:color w:val="FF0000"/>
          <w:sz w:val="30"/>
          <w:szCs w:val="30"/>
        </w:rPr>
        <w:t xml:space="preserve">criteria </w:t>
      </w:r>
      <w:r w:rsidR="00030E20" w:rsidRPr="00030E20">
        <w:rPr>
          <w:rFonts w:asciiTheme="majorHAnsi" w:eastAsia="Calibri" w:hAnsiTheme="majorHAnsi" w:cstheme="majorHAnsi"/>
          <w:b/>
          <w:color w:val="FF0000"/>
          <w:sz w:val="30"/>
          <w:szCs w:val="30"/>
          <w:lang w:eastAsia="en-AU"/>
        </w:rPr>
        <w:t xml:space="preserve">describe </w:t>
      </w:r>
      <w:r w:rsidR="00030E20" w:rsidRPr="00030E20">
        <w:rPr>
          <w:rFonts w:asciiTheme="majorHAnsi" w:eastAsia="Calibri" w:hAnsiTheme="majorHAnsi" w:cstheme="majorHAnsi"/>
          <w:b/>
          <w:color w:val="FF0000"/>
          <w:sz w:val="30"/>
          <w:szCs w:val="30"/>
          <w:lang w:eastAsia="en-AU"/>
        </w:rPr>
        <w:t xml:space="preserve">performance </w:t>
      </w:r>
      <w:r w:rsidR="00030E20" w:rsidRPr="00030E20">
        <w:rPr>
          <w:rFonts w:asciiTheme="majorHAnsi" w:eastAsia="Calibri" w:hAnsiTheme="majorHAnsi" w:cstheme="majorHAnsi"/>
          <w:b/>
          <w:color w:val="FF0000"/>
          <w:sz w:val="30"/>
          <w:szCs w:val="30"/>
          <w:lang w:eastAsia="en-AU"/>
        </w:rPr>
        <w:t>needed to demonstrate achievement of the element</w:t>
      </w:r>
      <w:r w:rsidR="00030E20">
        <w:rPr>
          <w:rFonts w:asciiTheme="majorHAnsi" w:eastAsia="Calibri" w:hAnsiTheme="majorHAnsi" w:cstheme="majorHAnsi"/>
          <w:b/>
          <w:color w:val="FF0000"/>
          <w:sz w:val="30"/>
          <w:szCs w:val="30"/>
          <w:lang w:eastAsia="en-AU"/>
        </w:rPr>
        <w:t>)</w:t>
      </w:r>
    </w:p>
    <w:tbl>
      <w:tblPr>
        <w:tblStyle w:val="TableGrid"/>
        <w:tblW w:w="8873" w:type="dxa"/>
        <w:tblLook w:val="04A0" w:firstRow="1" w:lastRow="0" w:firstColumn="1" w:lastColumn="0" w:noHBand="0" w:noVBand="1"/>
      </w:tblPr>
      <w:tblGrid>
        <w:gridCol w:w="1668"/>
        <w:gridCol w:w="7205"/>
      </w:tblGrid>
      <w:tr w:rsidR="00146593" w14:paraId="3FAD0111" w14:textId="77777777" w:rsidTr="00D4245D">
        <w:trPr>
          <w:trHeight w:val="138"/>
        </w:trPr>
        <w:tc>
          <w:tcPr>
            <w:tcW w:w="1668" w:type="dxa"/>
            <w:tcBorders>
              <w:bottom w:val="single" w:sz="4" w:space="0" w:color="auto"/>
            </w:tcBorders>
          </w:tcPr>
          <w:p w14:paraId="7AE1A899" w14:textId="490ADA28" w:rsidR="00D4245D" w:rsidRPr="00D4245D" w:rsidRDefault="00D4245D" w:rsidP="00F44A79">
            <w:pPr>
              <w:rPr>
                <w:rFonts w:eastAsia="Calibri" w:cs="Times New Roman"/>
                <w:color w:val="FF0000"/>
                <w:sz w:val="28"/>
                <w:szCs w:val="28"/>
                <w:lang w:eastAsia="en-AU"/>
              </w:rPr>
            </w:pPr>
            <w:r w:rsidRPr="00D4245D">
              <w:rPr>
                <w:rFonts w:eastAsia="Calibri" w:cs="Times New Roman"/>
                <w:color w:val="FF0000"/>
                <w:sz w:val="28"/>
                <w:szCs w:val="28"/>
                <w:lang w:eastAsia="en-AU"/>
              </w:rPr>
              <w:t>Elements</w:t>
            </w:r>
          </w:p>
          <w:p w14:paraId="4F867FF1" w14:textId="6554A242" w:rsidR="00A073E9" w:rsidRPr="00FA26F5" w:rsidRDefault="00A073E9" w:rsidP="00F44A79">
            <w:pPr>
              <w:rPr>
                <w:shd w:val="clear" w:color="auto" w:fill="FFFFFF"/>
              </w:rPr>
            </w:pPr>
            <w:r w:rsidRPr="007D3D5E">
              <w:rPr>
                <w:rFonts w:eastAsia="Calibri" w:cs="Times New Roman"/>
                <w:lang w:eastAsia="en-AU"/>
              </w:rPr>
              <w:t xml:space="preserve">1. </w:t>
            </w:r>
            <w:r w:rsidR="00515D2F">
              <w:rPr>
                <w:rFonts w:eastAsia="Calibri" w:cs="Times New Roman"/>
                <w:lang w:eastAsia="en-AU"/>
              </w:rPr>
              <w:t xml:space="preserve">Prepare for </w:t>
            </w:r>
            <w:r w:rsidR="00107BE2">
              <w:rPr>
                <w:rFonts w:eastAsia="Calibri" w:cs="Times New Roman"/>
                <w:lang w:eastAsia="en-AU"/>
              </w:rPr>
              <w:t xml:space="preserve">thermal performance </w:t>
            </w:r>
            <w:r w:rsidR="00295947">
              <w:rPr>
                <w:rFonts w:eastAsia="Calibri" w:cs="Times New Roman"/>
                <w:lang w:eastAsia="en-AU"/>
              </w:rPr>
              <w:t>assessment</w:t>
            </w:r>
            <w:r w:rsidR="008B7715">
              <w:rPr>
                <w:rFonts w:eastAsia="Calibri" w:cs="Times New Roman"/>
                <w:lang w:eastAsia="en-AU"/>
              </w:rPr>
              <w:t>.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3595B4A1" w14:textId="75E44174" w:rsidR="00D4245D" w:rsidRPr="00D4245D" w:rsidRDefault="00D4245D" w:rsidP="00D4245D">
            <w:pPr>
              <w:rPr>
                <w:rFonts w:eastAsia="Calibri" w:cs="Times New Roman"/>
                <w:color w:val="FF0000"/>
                <w:sz w:val="28"/>
                <w:szCs w:val="28"/>
                <w:lang w:eastAsia="en-AU"/>
              </w:rPr>
            </w:pPr>
            <w:r w:rsidRPr="00D4245D">
              <w:rPr>
                <w:rFonts w:eastAsia="Calibri" w:cs="Times New Roman"/>
                <w:color w:val="FF0000"/>
                <w:sz w:val="28"/>
                <w:szCs w:val="28"/>
                <w:lang w:eastAsia="en-AU"/>
              </w:rPr>
              <w:t>P</w:t>
            </w:r>
            <w:r>
              <w:rPr>
                <w:rFonts w:eastAsia="Calibri" w:cs="Times New Roman"/>
                <w:color w:val="FF0000"/>
                <w:sz w:val="28"/>
                <w:szCs w:val="28"/>
                <w:lang w:eastAsia="en-AU"/>
              </w:rPr>
              <w:t xml:space="preserve">erformance criteria </w:t>
            </w:r>
          </w:p>
          <w:p w14:paraId="75E720E8" w14:textId="3E0DE1A1" w:rsidR="00C25151" w:rsidRDefault="00927C3D" w:rsidP="00927C3D">
            <w:pPr>
              <w:pStyle w:val="PerfCri"/>
            </w:pPr>
            <w:r>
              <w:t>1.1</w:t>
            </w:r>
            <w:r>
              <w:tab/>
            </w:r>
            <w:r w:rsidR="006243DA">
              <w:t xml:space="preserve">Consult with client to </w:t>
            </w:r>
            <w:r w:rsidR="00F7004B">
              <w:t xml:space="preserve">confirm </w:t>
            </w:r>
            <w:r w:rsidR="00B17228">
              <w:t>scope and purpose</w:t>
            </w:r>
            <w:r w:rsidR="00C62F74">
              <w:t xml:space="preserve"> of assessment</w:t>
            </w:r>
            <w:r w:rsidR="00B17228">
              <w:t xml:space="preserve"> </w:t>
            </w:r>
            <w:r w:rsidR="00A85744">
              <w:t xml:space="preserve">and respond to questions to clarify </w:t>
            </w:r>
            <w:r w:rsidR="007D2D54">
              <w:t>issues</w:t>
            </w:r>
            <w:r w:rsidR="00A85744">
              <w:t xml:space="preserve"> </w:t>
            </w:r>
            <w:r w:rsidR="00D1381D">
              <w:t xml:space="preserve">and </w:t>
            </w:r>
            <w:r w:rsidR="00A85744">
              <w:t>concerns</w:t>
            </w:r>
            <w:r w:rsidR="00C25151">
              <w:t>.</w:t>
            </w:r>
          </w:p>
          <w:p w14:paraId="23009DF2" w14:textId="11C71D52" w:rsidR="00FA4FBE" w:rsidRDefault="00C25151" w:rsidP="00927C3D">
            <w:pPr>
              <w:pStyle w:val="PerfCri"/>
            </w:pPr>
            <w:r w:rsidRPr="00FD11D6">
              <w:t>1.2</w:t>
            </w:r>
            <w:r w:rsidRPr="00FD11D6">
              <w:tab/>
            </w:r>
            <w:r w:rsidR="00FD11D6">
              <w:t xml:space="preserve">Research </w:t>
            </w:r>
            <w:r w:rsidR="00692BA8" w:rsidRPr="00FD11D6">
              <w:t xml:space="preserve">and apply </w:t>
            </w:r>
            <w:r w:rsidR="00FA4FBE" w:rsidRPr="00FD11D6">
              <w:t xml:space="preserve">jurisdictional </w:t>
            </w:r>
            <w:r w:rsidR="00FD11D6">
              <w:t xml:space="preserve">regulatory and NatHERS </w:t>
            </w:r>
            <w:r w:rsidR="00300B1B" w:rsidRPr="00FD11D6">
              <w:t xml:space="preserve">requirements </w:t>
            </w:r>
            <w:r w:rsidR="008B612D" w:rsidRPr="00FD11D6">
              <w:t>to planned thermal performance assessment</w:t>
            </w:r>
            <w:r w:rsidR="00FA4FBE">
              <w:t>.</w:t>
            </w:r>
          </w:p>
          <w:p w14:paraId="3EE654C0" w14:textId="26FF2F59" w:rsidR="00C25151" w:rsidRDefault="00FA4FBE" w:rsidP="00927C3D">
            <w:pPr>
              <w:pStyle w:val="PerfCri"/>
            </w:pPr>
            <w:r>
              <w:t>1.3</w:t>
            </w:r>
            <w:r>
              <w:tab/>
              <w:t xml:space="preserve">Obtain </w:t>
            </w:r>
            <w:r w:rsidR="00F7004B">
              <w:t>documentation</w:t>
            </w:r>
            <w:r w:rsidR="005E555A">
              <w:t xml:space="preserve"> and drawings</w:t>
            </w:r>
            <w:r w:rsidR="00F7004B">
              <w:t xml:space="preserve"> </w:t>
            </w:r>
            <w:r w:rsidR="00B17228">
              <w:t xml:space="preserve">for the assessment and </w:t>
            </w:r>
            <w:r w:rsidR="00FD11D6">
              <w:t xml:space="preserve">review </w:t>
            </w:r>
            <w:r w:rsidR="00B17228">
              <w:t xml:space="preserve">to </w:t>
            </w:r>
            <w:r w:rsidR="005E555A">
              <w:t>verify consistency and</w:t>
            </w:r>
            <w:r w:rsidR="00B17228">
              <w:t xml:space="preserve"> sufficiency to meet software</w:t>
            </w:r>
            <w:r w:rsidR="00FD11D6">
              <w:t xml:space="preserve">, </w:t>
            </w:r>
            <w:proofErr w:type="spellStart"/>
            <w:r w:rsidR="00FD11D6">
              <w:t>NatHERS</w:t>
            </w:r>
            <w:proofErr w:type="spellEnd"/>
            <w:r w:rsidR="00FD11D6">
              <w:t xml:space="preserve"> technical notes and </w:t>
            </w:r>
            <w:r w:rsidR="00B77D8A">
              <w:t>regulatory</w:t>
            </w:r>
            <w:r w:rsidR="00AE3E59">
              <w:t xml:space="preserve"> </w:t>
            </w:r>
            <w:r w:rsidR="003473CB">
              <w:t xml:space="preserve">requirements and refer inconsistencies </w:t>
            </w:r>
            <w:r w:rsidR="006E1FE5">
              <w:t>…</w:t>
            </w:r>
            <w:r w:rsidR="006E1FE5">
              <w:t>…………………………</w:t>
            </w:r>
            <w:r w:rsidR="00D4245D">
              <w:t>………………………………………………………………………….</w:t>
            </w:r>
          </w:p>
          <w:p w14:paraId="26C824C1" w14:textId="6736B529" w:rsidR="00D4245D" w:rsidRDefault="00D4245D" w:rsidP="00927C3D">
            <w:pPr>
              <w:pStyle w:val="PerfCri"/>
            </w:pPr>
          </w:p>
          <w:p w14:paraId="38D0D6D0" w14:textId="3ECDB923" w:rsidR="00D4245D" w:rsidRDefault="00D4245D" w:rsidP="00927C3D">
            <w:pPr>
              <w:pStyle w:val="PerfCri"/>
            </w:pPr>
          </w:p>
          <w:p w14:paraId="754449CE" w14:textId="77777777" w:rsidR="00D4245D" w:rsidRDefault="00D4245D" w:rsidP="00927C3D">
            <w:pPr>
              <w:pStyle w:val="PerfCri"/>
            </w:pPr>
          </w:p>
          <w:p w14:paraId="254E15F4" w14:textId="737D010E" w:rsidR="009906E4" w:rsidRPr="00A073E9" w:rsidRDefault="009906E4" w:rsidP="006E1FE5">
            <w:pPr>
              <w:pStyle w:val="PerfCri"/>
              <w:jc w:val="center"/>
            </w:pPr>
          </w:p>
        </w:tc>
      </w:tr>
      <w:tr w:rsidR="00146593" w14:paraId="7A9E69A9" w14:textId="77777777" w:rsidTr="00D4245D">
        <w:trPr>
          <w:trHeight w:val="138"/>
        </w:trPr>
        <w:tc>
          <w:tcPr>
            <w:tcW w:w="1668" w:type="dxa"/>
            <w:tcBorders>
              <w:bottom w:val="nil"/>
            </w:tcBorders>
          </w:tcPr>
          <w:p w14:paraId="6B0EB154" w14:textId="61F093A5" w:rsidR="00A073E9" w:rsidRPr="001D637B" w:rsidRDefault="00D26357" w:rsidP="00A073E9">
            <w:pPr>
              <w:rPr>
                <w:shd w:val="clear" w:color="auto" w:fill="FFFFFF"/>
              </w:rPr>
            </w:pPr>
            <w:r>
              <w:rPr>
                <w:rFonts w:eastAsia="Calibri" w:cs="Times New Roman"/>
                <w:lang w:eastAsia="en-AU"/>
              </w:rPr>
              <w:lastRenderedPageBreak/>
              <w:t>2</w:t>
            </w:r>
            <w:r w:rsidRPr="00D26357">
              <w:rPr>
                <w:rFonts w:eastAsia="Calibri" w:cs="Times New Roman"/>
                <w:lang w:eastAsia="en-AU"/>
              </w:rPr>
              <w:t xml:space="preserve">. </w:t>
            </w:r>
            <w:r w:rsidR="00946E51">
              <w:rPr>
                <w:rFonts w:eastAsia="Calibri" w:cs="Times New Roman"/>
                <w:lang w:eastAsia="en-AU"/>
              </w:rPr>
              <w:t>Collate and input information into NatHERS software</w:t>
            </w:r>
            <w:r w:rsidR="00FF2FFC">
              <w:rPr>
                <w:rFonts w:eastAsia="Calibri" w:cs="Times New Roman"/>
                <w:lang w:eastAsia="en-AU"/>
              </w:rPr>
              <w:t xml:space="preserve"> tool</w:t>
            </w:r>
            <w:r w:rsidRPr="00D26357">
              <w:rPr>
                <w:rFonts w:eastAsia="Calibri" w:cs="Times New Roman"/>
                <w:lang w:eastAsia="en-AU"/>
              </w:rPr>
              <w:t xml:space="preserve">. </w:t>
            </w:r>
          </w:p>
        </w:tc>
        <w:tc>
          <w:tcPr>
            <w:tcW w:w="7205" w:type="dxa"/>
            <w:tcBorders>
              <w:bottom w:val="nil"/>
            </w:tcBorders>
          </w:tcPr>
          <w:p w14:paraId="2F6BAF4A" w14:textId="5F7C58B5" w:rsidR="00974E25" w:rsidRDefault="00927C3D" w:rsidP="00927C3D">
            <w:pPr>
              <w:pStyle w:val="PerfCri"/>
            </w:pPr>
            <w:r>
              <w:t>2.1</w:t>
            </w:r>
            <w:r>
              <w:tab/>
            </w:r>
            <w:r w:rsidR="00D26059">
              <w:t>Extract information required for input into software</w:t>
            </w:r>
            <w:r w:rsidR="00FF2FFC">
              <w:t xml:space="preserve"> tool</w:t>
            </w:r>
            <w:r w:rsidR="00D26059">
              <w:t xml:space="preserve"> from building</w:t>
            </w:r>
            <w:r w:rsidR="00FF2FFC">
              <w:t xml:space="preserve"> documentation</w:t>
            </w:r>
            <w:r w:rsidR="00AC3B3D">
              <w:t xml:space="preserve"> and NatHERS technical notes</w:t>
            </w:r>
            <w:r w:rsidR="00974E25">
              <w:t>.</w:t>
            </w:r>
          </w:p>
          <w:p w14:paraId="2DB5E0A6" w14:textId="566021B4" w:rsidR="00C912A6" w:rsidRDefault="00974E25" w:rsidP="00927C3D">
            <w:pPr>
              <w:pStyle w:val="PerfCri"/>
            </w:pPr>
            <w:r>
              <w:t>2.2</w:t>
            </w:r>
            <w:r>
              <w:tab/>
            </w:r>
            <w:r w:rsidR="00D26059" w:rsidRPr="00790993">
              <w:t xml:space="preserve">Enter </w:t>
            </w:r>
            <w:r w:rsidR="006D05E9">
              <w:t xml:space="preserve">extracted information </w:t>
            </w:r>
            <w:r w:rsidR="00D26059" w:rsidRPr="00790993">
              <w:t xml:space="preserve">into software </w:t>
            </w:r>
            <w:r w:rsidR="00AC3B3D">
              <w:t xml:space="preserve">tool </w:t>
            </w:r>
            <w:r w:rsidR="00D26059" w:rsidRPr="00790993">
              <w:t xml:space="preserve">according to regulatory </w:t>
            </w:r>
            <w:r w:rsidR="003473CB">
              <w:t xml:space="preserve">and AAO </w:t>
            </w:r>
            <w:r w:rsidR="00D26059" w:rsidRPr="00790993">
              <w:t xml:space="preserve">requirements for </w:t>
            </w:r>
            <w:r w:rsidR="007813A3">
              <w:t>building zones.</w:t>
            </w:r>
            <w:r w:rsidR="006E1FE5">
              <w:t xml:space="preserve"> …………………</w:t>
            </w:r>
          </w:p>
          <w:p w14:paraId="57C9FA91" w14:textId="7F7E3CF2" w:rsidR="00D26357" w:rsidRDefault="00D26357" w:rsidP="006E1FE5">
            <w:pPr>
              <w:pStyle w:val="PerfCri"/>
              <w:jc w:val="center"/>
            </w:pPr>
          </w:p>
        </w:tc>
      </w:tr>
      <w:tr w:rsidR="00146593" w14:paraId="47C8C747" w14:textId="77777777" w:rsidTr="00D4245D">
        <w:trPr>
          <w:trHeight w:val="871"/>
        </w:trPr>
        <w:tc>
          <w:tcPr>
            <w:tcW w:w="1668" w:type="dxa"/>
            <w:tcBorders>
              <w:top w:val="nil"/>
            </w:tcBorders>
          </w:tcPr>
          <w:p w14:paraId="2A486232" w14:textId="21AEBBE8" w:rsidR="00BF195A" w:rsidRDefault="00BF195A" w:rsidP="00FB3753"/>
        </w:tc>
        <w:tc>
          <w:tcPr>
            <w:tcW w:w="7205" w:type="dxa"/>
            <w:tcBorders>
              <w:top w:val="nil"/>
            </w:tcBorders>
          </w:tcPr>
          <w:p w14:paraId="7FC871F5" w14:textId="62458FE9" w:rsidR="00FF47E2" w:rsidRDefault="00FF47E2" w:rsidP="00D4245D"/>
        </w:tc>
      </w:tr>
      <w:tr w:rsidR="00D4245D" w14:paraId="3CB459BF" w14:textId="77777777" w:rsidTr="009A48A4">
        <w:trPr>
          <w:trHeight w:val="871"/>
        </w:trPr>
        <w:tc>
          <w:tcPr>
            <w:tcW w:w="1668" w:type="dxa"/>
          </w:tcPr>
          <w:p w14:paraId="4BBA2CFC" w14:textId="690AC0E4" w:rsidR="00D4245D" w:rsidRDefault="00D4245D" w:rsidP="00D4245D">
            <w:pPr>
              <w:rPr>
                <w:rFonts w:eastAsia="Calibri" w:cs="Times New Roman"/>
                <w:lang w:eastAsia="en-AU"/>
              </w:rPr>
            </w:pPr>
            <w:r>
              <w:rPr>
                <w:rFonts w:eastAsia="Calibri" w:cs="Times New Roman"/>
                <w:lang w:eastAsia="en-AU"/>
              </w:rPr>
              <w:t>3. Model thermal performance of building.</w:t>
            </w:r>
          </w:p>
        </w:tc>
        <w:tc>
          <w:tcPr>
            <w:tcW w:w="7205" w:type="dxa"/>
          </w:tcPr>
          <w:p w14:paraId="5C96E15D" w14:textId="77777777" w:rsidR="00D4245D" w:rsidRDefault="00D4245D" w:rsidP="00D4245D">
            <w:pPr>
              <w:ind w:left="720" w:hanging="720"/>
            </w:pPr>
            <w:r>
              <w:t>3.1</w:t>
            </w:r>
            <w:r>
              <w:tab/>
              <w:t>Apply software tool functions to model thermal performance of building.</w:t>
            </w:r>
          </w:p>
          <w:p w14:paraId="6C2209C2" w14:textId="77777777" w:rsidR="00D4245D" w:rsidRDefault="00D4245D" w:rsidP="00D4245D">
            <w:pPr>
              <w:ind w:left="720" w:hanging="720"/>
            </w:pPr>
            <w:r w:rsidRPr="00037438">
              <w:t>3.</w:t>
            </w:r>
            <w:r>
              <w:t>2</w:t>
            </w:r>
            <w:r w:rsidRPr="00037438">
              <w:tab/>
              <w:t xml:space="preserve">Run simulation to </w:t>
            </w:r>
            <w:r>
              <w:t xml:space="preserve">determine if the </w:t>
            </w:r>
            <w:r w:rsidRPr="00037438">
              <w:t>building’s potential thermal performance complies with regulatory requirements</w:t>
            </w:r>
          </w:p>
          <w:p w14:paraId="405CA1B4" w14:textId="0819E04F" w:rsidR="00D4245D" w:rsidRDefault="00D4245D" w:rsidP="00D4245D">
            <w:pPr>
              <w:ind w:left="720" w:hanging="720"/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D4245D" w14:paraId="2D97AD8F" w14:textId="77777777" w:rsidTr="009A48A4">
        <w:trPr>
          <w:trHeight w:val="871"/>
        </w:trPr>
        <w:tc>
          <w:tcPr>
            <w:tcW w:w="1668" w:type="dxa"/>
          </w:tcPr>
          <w:p w14:paraId="18B05C5F" w14:textId="0D916865" w:rsidR="00D4245D" w:rsidRDefault="00D4245D" w:rsidP="00D4245D">
            <w:pPr>
              <w:rPr>
                <w:rFonts w:eastAsia="Calibri" w:cs="Times New Roman"/>
                <w:lang w:eastAsia="en-AU"/>
              </w:rPr>
            </w:pPr>
            <w:r>
              <w:rPr>
                <w:rFonts w:eastAsia="Calibri" w:cs="Times New Roman"/>
                <w:lang w:eastAsia="en-AU"/>
              </w:rPr>
              <w:t>4. Identify options to improve thermal performance of building.</w:t>
            </w:r>
          </w:p>
        </w:tc>
        <w:tc>
          <w:tcPr>
            <w:tcW w:w="7205" w:type="dxa"/>
          </w:tcPr>
          <w:p w14:paraId="2601121A" w14:textId="1AFEC110" w:rsidR="00D4245D" w:rsidRDefault="00D4245D" w:rsidP="00D4245D">
            <w:pPr>
              <w:ind w:left="720" w:hanging="720"/>
            </w:pPr>
            <w:r>
              <w:t>4.1</w:t>
            </w:r>
            <w:r>
              <w:tab/>
              <w:t>Analyse strengths and weaknesses in thermal performance of building.</w:t>
            </w:r>
          </w:p>
          <w:p w14:paraId="7B40881A" w14:textId="305C02FC" w:rsidR="00D4245D" w:rsidRDefault="00D4245D" w:rsidP="00D4245D">
            <w:pPr>
              <w:ind w:left="720" w:hanging="720"/>
            </w:pPr>
            <w:r>
              <w:t>4.2</w:t>
            </w:r>
            <w:r>
              <w:tab/>
              <w:t>Access technical advice and identify cost effective options for improving thermal performance considering outputs of thermal performance assessment, practicality and type of building. …………….</w:t>
            </w:r>
          </w:p>
          <w:p w14:paraId="40D45A44" w14:textId="6DF381A8" w:rsidR="00D4245D" w:rsidRDefault="00D4245D" w:rsidP="00D4245D">
            <w:pPr>
              <w:ind w:left="720" w:hanging="720"/>
            </w:pPr>
            <w:r>
              <w:t>……………………………………………………………………………………………………………………….</w:t>
            </w:r>
          </w:p>
        </w:tc>
      </w:tr>
      <w:tr w:rsidR="00D4245D" w14:paraId="29368E4A" w14:textId="77777777" w:rsidTr="009A48A4">
        <w:trPr>
          <w:trHeight w:val="871"/>
        </w:trPr>
        <w:tc>
          <w:tcPr>
            <w:tcW w:w="1668" w:type="dxa"/>
          </w:tcPr>
          <w:p w14:paraId="5D4F3B71" w14:textId="20074865" w:rsidR="00D4245D" w:rsidRDefault="00D4245D" w:rsidP="00D4245D">
            <w:pPr>
              <w:rPr>
                <w:rFonts w:eastAsia="Calibri" w:cs="Times New Roman"/>
                <w:lang w:eastAsia="en-AU"/>
              </w:rPr>
            </w:pPr>
            <w:r>
              <w:rPr>
                <w:rFonts w:eastAsia="Calibri" w:cs="Times New Roman"/>
                <w:lang w:eastAsia="en-AU"/>
              </w:rPr>
              <w:t>5. Report and certify thermal performance assessment outcomes.</w:t>
            </w:r>
          </w:p>
        </w:tc>
        <w:tc>
          <w:tcPr>
            <w:tcW w:w="7205" w:type="dxa"/>
          </w:tcPr>
          <w:p w14:paraId="0147682F" w14:textId="083D2A2E" w:rsidR="00D4245D" w:rsidRDefault="00D4245D" w:rsidP="00D4245D">
            <w:pPr>
              <w:ind w:left="720" w:hanging="720"/>
            </w:pPr>
            <w:r>
              <w:t>5.1</w:t>
            </w:r>
            <w:r>
              <w:tab/>
              <w:t xml:space="preserve">Finalise thermal performance assessment and collate design and assessment documentation in line with jurisdictional requirements and for auditing and quality assurance. </w:t>
            </w:r>
          </w:p>
          <w:p w14:paraId="074043E2" w14:textId="2B64E239" w:rsidR="00D4245D" w:rsidRDefault="00D4245D" w:rsidP="00D4245D">
            <w:pPr>
              <w:ind w:left="720" w:hanging="720"/>
            </w:pPr>
            <w:r>
              <w:t>5.2</w:t>
            </w:r>
            <w:r>
              <w:tab/>
              <w:t>Write up options and recommendations for achieving required energy efficiency rating according to regulatory requirements.</w:t>
            </w:r>
          </w:p>
          <w:p w14:paraId="01B1E101" w14:textId="5B2053EA" w:rsidR="00D4245D" w:rsidRDefault="00D4245D" w:rsidP="00D4245D">
            <w:pPr>
              <w:ind w:left="720" w:hanging="720"/>
            </w:pPr>
            <w:r>
              <w:t>5.3</w:t>
            </w:r>
            <w:r>
              <w:tab/>
              <w:t>Discuss assessment outcomes with relevant persons and obtain approval to proceed with certification according to organisational requirements. ……………………………………………………………………………….</w:t>
            </w:r>
          </w:p>
          <w:p w14:paraId="43A8439C" w14:textId="55EAC602" w:rsidR="00D4245D" w:rsidRDefault="00D4245D" w:rsidP="00D4245D">
            <w:pPr>
              <w:ind w:left="720" w:hanging="720"/>
            </w:pPr>
          </w:p>
        </w:tc>
      </w:tr>
    </w:tbl>
    <w:p w14:paraId="7C91D19F" w14:textId="2329C83D" w:rsidR="00642B37" w:rsidRPr="00030E20" w:rsidRDefault="00642B37" w:rsidP="000825FE">
      <w:pPr>
        <w:pStyle w:val="Heading1"/>
        <w:rPr>
          <w:b/>
          <w:color w:val="FF0000"/>
        </w:rPr>
      </w:pPr>
      <w:r w:rsidRPr="00642B37">
        <w:t xml:space="preserve">Foundation </w:t>
      </w:r>
      <w:r w:rsidR="008D5EB5">
        <w:t>S</w:t>
      </w:r>
      <w:r w:rsidRPr="00642B37">
        <w:t>kills</w:t>
      </w:r>
      <w:r w:rsidR="00030E20">
        <w:t xml:space="preserve"> </w:t>
      </w:r>
      <w:r w:rsidR="00030E20" w:rsidRPr="00030E20">
        <w:rPr>
          <w:b/>
          <w:color w:val="FF0000"/>
        </w:rPr>
        <w:t>(language, literacy, numeracy and employability skills)</w:t>
      </w:r>
    </w:p>
    <w:p w14:paraId="4C24FA21" w14:textId="546C5DF1" w:rsidR="00800762" w:rsidRDefault="00875817" w:rsidP="000825FE">
      <w:r w:rsidRPr="00875817">
        <w:t>As well as the foundation skills explicit in the performance criteria of this unit, candidates</w:t>
      </w:r>
      <w:r>
        <w:t xml:space="preserve"> </w:t>
      </w:r>
      <w:r w:rsidRPr="00875817">
        <w:t>require</w:t>
      </w:r>
      <w:r w:rsidR="00800762">
        <w:t>:</w:t>
      </w:r>
    </w:p>
    <w:p w14:paraId="2EC38ECA" w14:textId="1488C616" w:rsidR="00800762" w:rsidRDefault="00800762" w:rsidP="00800762">
      <w:pPr>
        <w:pStyle w:val="ListParagraph"/>
        <w:numPr>
          <w:ilvl w:val="0"/>
          <w:numId w:val="31"/>
        </w:numPr>
      </w:pPr>
      <w:r>
        <w:t xml:space="preserve">numeracy skills to interpret </w:t>
      </w:r>
      <w:r w:rsidR="00B62B7A">
        <w:t>thermal performance o</w:t>
      </w:r>
      <w:r w:rsidR="00F05BF7">
        <w:t xml:space="preserve">utputs </w:t>
      </w:r>
      <w:r w:rsidR="00B62B7A">
        <w:t>including U-values and R-values</w:t>
      </w:r>
    </w:p>
    <w:p w14:paraId="279C6652" w14:textId="4A7E6D89" w:rsidR="00800762" w:rsidRDefault="00800762" w:rsidP="00800762">
      <w:pPr>
        <w:pStyle w:val="ListParagraph"/>
        <w:numPr>
          <w:ilvl w:val="0"/>
          <w:numId w:val="31"/>
        </w:numPr>
      </w:pPr>
      <w:r>
        <w:t xml:space="preserve">reading skills to interpret </w:t>
      </w:r>
      <w:r w:rsidR="00B62B7A">
        <w:t>a variety of texts including regulations, codes and technical notes</w:t>
      </w:r>
    </w:p>
    <w:p w14:paraId="0123B102" w14:textId="373F390F" w:rsidR="00642B37" w:rsidRDefault="00800762" w:rsidP="00800762">
      <w:pPr>
        <w:pStyle w:val="ListParagraph"/>
        <w:numPr>
          <w:ilvl w:val="0"/>
          <w:numId w:val="31"/>
        </w:numPr>
      </w:pPr>
      <w:r>
        <w:t xml:space="preserve">problem-solving skills to </w:t>
      </w:r>
      <w:r w:rsidR="00DA676F">
        <w:t>identify</w:t>
      </w:r>
      <w:r w:rsidR="00F05BF7">
        <w:t xml:space="preserve"> errors and regulatory non-compliances when using NatHERS software tool</w:t>
      </w:r>
      <w:r w:rsidR="00590C2E">
        <w:t>s</w:t>
      </w:r>
      <w:r w:rsidR="00642B37" w:rsidRPr="00642B37">
        <w:t>.</w:t>
      </w:r>
      <w:r w:rsidR="00E337C7" w:rsidRPr="00E337C7">
        <w:t xml:space="preserve"> </w:t>
      </w:r>
    </w:p>
    <w:p w14:paraId="08441C7C" w14:textId="5F2046BA" w:rsidR="00642B37" w:rsidRPr="00030E20" w:rsidRDefault="00642B37" w:rsidP="000825FE">
      <w:pPr>
        <w:pStyle w:val="Heading1"/>
        <w:rPr>
          <w:b/>
          <w:color w:val="FF0000"/>
        </w:rPr>
      </w:pPr>
      <w:r w:rsidRPr="00642B37">
        <w:t>Unit Mapping Information</w:t>
      </w:r>
      <w:r w:rsidR="00030E20">
        <w:t xml:space="preserve"> </w:t>
      </w:r>
      <w:r w:rsidR="00030E20" w:rsidRPr="00030E20">
        <w:rPr>
          <w:b/>
          <w:color w:val="FF0000"/>
        </w:rPr>
        <w:t>(unit history)</w:t>
      </w:r>
    </w:p>
    <w:p w14:paraId="38057460" w14:textId="795E5567" w:rsidR="002051D0" w:rsidRDefault="00642B37" w:rsidP="00627A02">
      <w:r w:rsidRPr="00642B37">
        <w:t xml:space="preserve">Supersedes and equivalent to </w:t>
      </w:r>
      <w:r w:rsidR="00CE5BDF">
        <w:t>CPPHSA40</w:t>
      </w:r>
      <w:r w:rsidR="000B3250">
        <w:t>12</w:t>
      </w:r>
      <w:r w:rsidR="00CE5BDF">
        <w:t xml:space="preserve">A </w:t>
      </w:r>
      <w:r w:rsidR="000B3250">
        <w:t>Conduct NatHERS assessment of planned residential buildings</w:t>
      </w:r>
      <w:r w:rsidR="002A1CC9">
        <w:t>.</w:t>
      </w:r>
    </w:p>
    <w:p w14:paraId="444E4A9C" w14:textId="77777777" w:rsidR="00D1223C" w:rsidRDefault="00D1223C" w:rsidP="00D1223C">
      <w:pPr>
        <w:pStyle w:val="Heading1"/>
      </w:pPr>
      <w:r>
        <w:t>Links</w:t>
      </w:r>
    </w:p>
    <w:p w14:paraId="420DA876" w14:textId="77777777" w:rsidR="00A44EED" w:rsidRDefault="00D1223C" w:rsidP="00A44EED">
      <w:pPr>
        <w:spacing w:after="0" w:line="240" w:lineRule="auto"/>
      </w:pPr>
      <w:r>
        <w:t xml:space="preserve">Companion Volume </w:t>
      </w:r>
      <w:r w:rsidRPr="00D1223C">
        <w:t>Implementation Guide</w:t>
      </w:r>
      <w:r w:rsidR="00AF1D7D">
        <w:t xml:space="preserve">: </w:t>
      </w:r>
    </w:p>
    <w:bookmarkStart w:id="3" w:name="_Hlk536095661"/>
    <w:p w14:paraId="2E104AAD" w14:textId="77777777" w:rsidR="00A44EED" w:rsidRDefault="00A44EED" w:rsidP="00A44EED">
      <w:pPr>
        <w:spacing w:after="0" w:line="240" w:lineRule="auto"/>
        <w:rPr>
          <w:b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"https://vetnet.education.gov.au/Pages/TrainingDocs.aspx?q=6f3f9672-30e8-4835-b348-205dfcf13d9b" </w:instrText>
      </w:r>
      <w:r>
        <w:rPr>
          <w:rStyle w:val="Hyperlink"/>
        </w:rPr>
        <w:fldChar w:fldCharType="separate"/>
      </w:r>
      <w:r w:rsidRPr="00AC60D0">
        <w:rPr>
          <w:rStyle w:val="Hyperlink"/>
        </w:rPr>
        <w:t>https://vetnet.education.gov.au/Pages/TrainingDocs.aspx?q=6f3f9672-30e8-4835-b348-205dfcf13d9b</w:t>
      </w:r>
      <w:r>
        <w:rPr>
          <w:rStyle w:val="Hyperlink"/>
        </w:rPr>
        <w:fldChar w:fldCharType="end"/>
      </w:r>
    </w:p>
    <w:bookmarkEnd w:id="3"/>
    <w:p w14:paraId="7D2A91CF" w14:textId="130155F0" w:rsidR="00D40DFE" w:rsidRDefault="00A654A0" w:rsidP="00A44EED">
      <w:pPr>
        <w:pStyle w:val="Title"/>
      </w:pPr>
      <w:r>
        <w:br w:type="page"/>
      </w:r>
      <w:r w:rsidR="00056E88" w:rsidRPr="00056E88">
        <w:lastRenderedPageBreak/>
        <w:t xml:space="preserve">Assessment Requirements for </w:t>
      </w:r>
      <w:r w:rsidR="00D40DFE" w:rsidRPr="00041586">
        <w:t>CP</w:t>
      </w:r>
      <w:r w:rsidR="00D40DFE">
        <w:t>P</w:t>
      </w:r>
      <w:r w:rsidR="005F67FB">
        <w:t>HSA4XXX</w:t>
      </w:r>
    </w:p>
    <w:p w14:paraId="6528AB5B" w14:textId="09C687EC" w:rsidR="00240C89" w:rsidRDefault="000B3250" w:rsidP="00092E3A">
      <w:pPr>
        <w:pStyle w:val="Title"/>
      </w:pPr>
      <w:r w:rsidRPr="000B3250">
        <w:t xml:space="preserve">Conduct </w:t>
      </w:r>
      <w:r w:rsidR="007F1C89">
        <w:t xml:space="preserve">thermal performance </w:t>
      </w:r>
      <w:r w:rsidRPr="000B3250">
        <w:t>assessment of residential building</w:t>
      </w:r>
      <w:r w:rsidR="005F67FB" w:rsidRPr="005F67FB">
        <w:t>s</w:t>
      </w:r>
    </w:p>
    <w:p w14:paraId="6442B752" w14:textId="0C5378EF" w:rsidR="00056E88" w:rsidRDefault="00056E88" w:rsidP="000825FE">
      <w:pPr>
        <w:pStyle w:val="Heading1"/>
      </w:pPr>
      <w:r>
        <w:t>Performance Evidence</w:t>
      </w:r>
      <w:r w:rsidR="00030E20">
        <w:t xml:space="preserve"> </w:t>
      </w:r>
      <w:r w:rsidR="00030E20" w:rsidRPr="00030E20">
        <w:rPr>
          <w:b/>
          <w:color w:val="FF0000"/>
        </w:rPr>
        <w:t>(specifies required product and process evidence</w:t>
      </w:r>
      <w:r w:rsidR="00030E20">
        <w:rPr>
          <w:b/>
          <w:color w:val="FF0000"/>
        </w:rPr>
        <w:t xml:space="preserve"> and links to Performance Criteria</w:t>
      </w:r>
      <w:proofErr w:type="gramStart"/>
      <w:r w:rsidR="00030E20">
        <w:rPr>
          <w:b/>
          <w:color w:val="FF0000"/>
        </w:rPr>
        <w:t xml:space="preserve">. </w:t>
      </w:r>
      <w:proofErr w:type="gramEnd"/>
      <w:r w:rsidR="00030E20">
        <w:rPr>
          <w:b/>
          <w:color w:val="FF0000"/>
        </w:rPr>
        <w:t>Describes what individual must do to perform the work task</w:t>
      </w:r>
      <w:r w:rsidR="00030E20" w:rsidRPr="00030E20">
        <w:rPr>
          <w:b/>
          <w:color w:val="FF0000"/>
        </w:rPr>
        <w:t>)</w:t>
      </w:r>
    </w:p>
    <w:p w14:paraId="205256AC" w14:textId="51E0853E" w:rsidR="003473CB" w:rsidRDefault="00627A02" w:rsidP="007E285C">
      <w:pPr>
        <w:pStyle w:val="CommentText"/>
        <w:rPr>
          <w:sz w:val="22"/>
          <w:szCs w:val="22"/>
        </w:rPr>
      </w:pPr>
      <w:r w:rsidRPr="00BC6A9A">
        <w:rPr>
          <w:sz w:val="22"/>
          <w:szCs w:val="22"/>
        </w:rPr>
        <w:t>To demonstrate competency, a candidate must meet the performance criteria of this unit by</w:t>
      </w:r>
      <w:r w:rsidR="00800762" w:rsidRPr="00BC6A9A">
        <w:rPr>
          <w:sz w:val="22"/>
          <w:szCs w:val="22"/>
        </w:rPr>
        <w:t xml:space="preserve"> </w:t>
      </w:r>
      <w:r w:rsidR="005168C9" w:rsidRPr="00BC6A9A">
        <w:rPr>
          <w:sz w:val="22"/>
          <w:szCs w:val="22"/>
        </w:rPr>
        <w:t>using</w:t>
      </w:r>
      <w:r w:rsidR="0042352D" w:rsidRPr="00BC6A9A">
        <w:rPr>
          <w:sz w:val="22"/>
          <w:szCs w:val="22"/>
        </w:rPr>
        <w:t xml:space="preserve"> an </w:t>
      </w:r>
      <w:r w:rsidR="005168C9" w:rsidRPr="00BC6A9A">
        <w:rPr>
          <w:sz w:val="22"/>
          <w:szCs w:val="22"/>
        </w:rPr>
        <w:t xml:space="preserve">accredited </w:t>
      </w:r>
      <w:r w:rsidR="009A515B" w:rsidRPr="00BC6A9A">
        <w:rPr>
          <w:sz w:val="22"/>
          <w:szCs w:val="22"/>
        </w:rPr>
        <w:t>Nationwide House Energy Rating Scheme (</w:t>
      </w:r>
      <w:proofErr w:type="spellStart"/>
      <w:r w:rsidR="005168C9" w:rsidRPr="00BC6A9A">
        <w:rPr>
          <w:sz w:val="22"/>
          <w:szCs w:val="22"/>
        </w:rPr>
        <w:t>NatHERS</w:t>
      </w:r>
      <w:proofErr w:type="spellEnd"/>
      <w:r w:rsidR="009A515B" w:rsidRPr="00BC6A9A">
        <w:rPr>
          <w:sz w:val="22"/>
          <w:szCs w:val="22"/>
        </w:rPr>
        <w:t>)</w:t>
      </w:r>
      <w:r w:rsidR="005168C9" w:rsidRPr="00BC6A9A">
        <w:rPr>
          <w:sz w:val="22"/>
          <w:szCs w:val="22"/>
        </w:rPr>
        <w:t xml:space="preserve"> software </w:t>
      </w:r>
      <w:r w:rsidR="0042352D" w:rsidRPr="00BC6A9A">
        <w:rPr>
          <w:sz w:val="22"/>
          <w:szCs w:val="22"/>
        </w:rPr>
        <w:t xml:space="preserve">tool </w:t>
      </w:r>
      <w:r w:rsidR="005168C9" w:rsidRPr="00BC6A9A">
        <w:rPr>
          <w:sz w:val="22"/>
          <w:szCs w:val="22"/>
        </w:rPr>
        <w:t>to conduct</w:t>
      </w:r>
      <w:r w:rsidR="00C6249A" w:rsidRPr="00BC6A9A">
        <w:rPr>
          <w:sz w:val="22"/>
          <w:szCs w:val="22"/>
        </w:rPr>
        <w:t xml:space="preserve"> thermal performance assessments</w:t>
      </w:r>
      <w:r w:rsidR="0042352D" w:rsidRPr="00BC6A9A">
        <w:rPr>
          <w:sz w:val="22"/>
          <w:szCs w:val="22"/>
        </w:rPr>
        <w:t xml:space="preserve"> of </w:t>
      </w:r>
      <w:r w:rsidR="000C0B95" w:rsidRPr="00030E20">
        <w:rPr>
          <w:b/>
          <w:color w:val="FF0000"/>
          <w:sz w:val="28"/>
          <w:szCs w:val="28"/>
        </w:rPr>
        <w:t>six</w:t>
      </w:r>
      <w:r w:rsidR="000C0B95" w:rsidRPr="00030E20">
        <w:rPr>
          <w:color w:val="FF0000"/>
          <w:sz w:val="22"/>
          <w:szCs w:val="22"/>
        </w:rPr>
        <w:t xml:space="preserve"> </w:t>
      </w:r>
      <w:r w:rsidR="0042352D" w:rsidRPr="00BC6A9A">
        <w:rPr>
          <w:sz w:val="22"/>
          <w:szCs w:val="22"/>
        </w:rPr>
        <w:t>residential building</w:t>
      </w:r>
      <w:r w:rsidR="003473CB">
        <w:rPr>
          <w:sz w:val="22"/>
          <w:szCs w:val="22"/>
        </w:rPr>
        <w:t>s.</w:t>
      </w:r>
    </w:p>
    <w:p w14:paraId="77D4781E" w14:textId="77777777" w:rsidR="003473CB" w:rsidRDefault="003473CB" w:rsidP="003473CB">
      <w:r>
        <w:t>The assessments must be conducted in accordance with the requirements of the software, Technical Notes and jurisdictional regulatory requirements.</w:t>
      </w:r>
    </w:p>
    <w:p w14:paraId="2FE11610" w14:textId="0634EC9A" w:rsidR="000276DB" w:rsidRDefault="003473CB" w:rsidP="000276DB">
      <w:r>
        <w:t xml:space="preserve">The </w:t>
      </w:r>
      <w:r w:rsidRPr="00CD268E">
        <w:t>buildings assessed must</w:t>
      </w:r>
      <w:r>
        <w:t xml:space="preserve"> include</w:t>
      </w:r>
      <w:r w:rsidR="000276DB">
        <w:t>:</w:t>
      </w:r>
    </w:p>
    <w:p w14:paraId="7FFB7CDE" w14:textId="7FF9BD21" w:rsidR="003473CB" w:rsidRDefault="000276DB" w:rsidP="000276DB">
      <w:pPr>
        <w:pStyle w:val="ListParagraph"/>
        <w:numPr>
          <w:ilvl w:val="0"/>
          <w:numId w:val="37"/>
        </w:numPr>
      </w:pPr>
      <w:r>
        <w:t>different designs a</w:t>
      </w:r>
      <w:r w:rsidR="003473CB">
        <w:t xml:space="preserve">ppropriate to a tropical, a temperate and a cold climate zone </w:t>
      </w:r>
    </w:p>
    <w:p w14:paraId="140C3C5F" w14:textId="40AD163E" w:rsidR="000276DB" w:rsidRDefault="000276DB" w:rsidP="000276DB">
      <w:pPr>
        <w:pStyle w:val="ListParagraph"/>
        <w:numPr>
          <w:ilvl w:val="0"/>
          <w:numId w:val="37"/>
        </w:numPr>
      </w:pPr>
      <w:r>
        <w:t>use a variety of building materials and designs appropriate to the climate zone</w:t>
      </w:r>
    </w:p>
    <w:p w14:paraId="6E7FA8E4" w14:textId="44F08F3C" w:rsidR="00627A02" w:rsidRDefault="000276DB" w:rsidP="000276DB">
      <w:pPr>
        <w:ind w:left="720"/>
      </w:pPr>
      <w:r>
        <w:t>A</w:t>
      </w:r>
      <w:r w:rsidRPr="000276DB">
        <w:t xml:space="preserve">nd </w:t>
      </w:r>
      <w:r w:rsidR="00C6249A" w:rsidRPr="000276DB">
        <w:t>incorporat</w:t>
      </w:r>
      <w:r>
        <w:t>e</w:t>
      </w:r>
      <w:r w:rsidR="00C6249A">
        <w:t xml:space="preserve"> </w:t>
      </w:r>
      <w:r w:rsidR="0042352D">
        <w:t>the following</w:t>
      </w:r>
      <w:r w:rsidR="009A515B">
        <w:t>:</w:t>
      </w:r>
    </w:p>
    <w:p w14:paraId="2D36BFD0" w14:textId="442CBD4E" w:rsidR="000A3A7D" w:rsidRDefault="000A3A7D" w:rsidP="00E11796">
      <w:pPr>
        <w:pStyle w:val="ListParagraph"/>
        <w:numPr>
          <w:ilvl w:val="0"/>
          <w:numId w:val="39"/>
        </w:numPr>
      </w:pPr>
      <w:r>
        <w:t>one single story dwelling (3 Bedroom</w:t>
      </w:r>
      <w:r w:rsidR="00270D99">
        <w:t>s</w:t>
      </w:r>
      <w:r>
        <w:t>)</w:t>
      </w:r>
    </w:p>
    <w:p w14:paraId="03673859" w14:textId="77777777" w:rsidR="005279A8" w:rsidRDefault="005279A8" w:rsidP="005279A8">
      <w:pPr>
        <w:pStyle w:val="ListParagraph"/>
        <w:ind w:left="1080"/>
      </w:pPr>
    </w:p>
    <w:p w14:paraId="7B317EA9" w14:textId="17362E63" w:rsidR="005279A8" w:rsidRDefault="000A3A7D" w:rsidP="005279A8">
      <w:pPr>
        <w:pStyle w:val="ListParagraph"/>
        <w:numPr>
          <w:ilvl w:val="0"/>
          <w:numId w:val="39"/>
        </w:numPr>
      </w:pPr>
      <w:r>
        <w:t>one double storey dwelling (3 Bedroom</w:t>
      </w:r>
      <w:r w:rsidR="000276DB">
        <w:t>s</w:t>
      </w:r>
      <w:r>
        <w:t>)</w:t>
      </w:r>
    </w:p>
    <w:p w14:paraId="16E8F8BC" w14:textId="77777777" w:rsidR="005279A8" w:rsidRDefault="005279A8" w:rsidP="005279A8">
      <w:pPr>
        <w:pStyle w:val="ListParagraph"/>
      </w:pPr>
    </w:p>
    <w:p w14:paraId="2C9DD072" w14:textId="51B09A93" w:rsidR="00945E1D" w:rsidRDefault="000276DB" w:rsidP="00945E1D">
      <w:pPr>
        <w:pStyle w:val="ListParagraph"/>
        <w:numPr>
          <w:ilvl w:val="0"/>
          <w:numId w:val="39"/>
        </w:numPr>
      </w:pPr>
      <w:r>
        <w:t>a</w:t>
      </w:r>
      <w:r w:rsidR="005279A8">
        <w:t xml:space="preserve">n apartment </w:t>
      </w:r>
      <w:r>
        <w:t xml:space="preserve">unit </w:t>
      </w:r>
      <w:r w:rsidR="00945E1D">
        <w:t xml:space="preserve">(2 Bedrooms) </w:t>
      </w:r>
      <w:r>
        <w:t xml:space="preserve">in a </w:t>
      </w:r>
      <w:r w:rsidR="00945E1D">
        <w:t>C</w:t>
      </w:r>
      <w:r>
        <w:t>lass 2 complex modelled</w:t>
      </w:r>
      <w:r w:rsidR="00945E1D">
        <w:t xml:space="preserve"> as:</w:t>
      </w:r>
    </w:p>
    <w:p w14:paraId="058951E7" w14:textId="7E28550E" w:rsidR="00945E1D" w:rsidRDefault="005279A8" w:rsidP="00F038AD">
      <w:pPr>
        <w:pStyle w:val="ListParagraph"/>
        <w:numPr>
          <w:ilvl w:val="0"/>
          <w:numId w:val="32"/>
        </w:numPr>
      </w:pPr>
      <w:r>
        <w:t xml:space="preserve">a </w:t>
      </w:r>
      <w:r w:rsidR="000276DB">
        <w:t>ground floor unit</w:t>
      </w:r>
      <w:r>
        <w:t xml:space="preserve"> over a basement/carpark</w:t>
      </w:r>
    </w:p>
    <w:p w14:paraId="2C672B33" w14:textId="6BAB8233" w:rsidR="00945E1D" w:rsidRDefault="005279A8" w:rsidP="00F038AD">
      <w:pPr>
        <w:pStyle w:val="ListParagraph"/>
        <w:numPr>
          <w:ilvl w:val="0"/>
          <w:numId w:val="32"/>
        </w:numPr>
      </w:pPr>
      <w:r>
        <w:t xml:space="preserve">a middle level unit with neighbouring </w:t>
      </w:r>
      <w:r w:rsidR="000276DB">
        <w:t>unit</w:t>
      </w:r>
      <w:r>
        <w:t>s above and below</w:t>
      </w:r>
      <w:r w:rsidR="000276DB">
        <w:t xml:space="preserve"> </w:t>
      </w:r>
    </w:p>
    <w:p w14:paraId="05982142" w14:textId="771C009B" w:rsidR="00945E1D" w:rsidRDefault="000276DB" w:rsidP="00945E1D">
      <w:pPr>
        <w:pStyle w:val="ListParagraph"/>
        <w:numPr>
          <w:ilvl w:val="0"/>
          <w:numId w:val="32"/>
        </w:numPr>
      </w:pPr>
      <w:r>
        <w:t>and a top floor</w:t>
      </w:r>
      <w:r w:rsidDel="000276DB">
        <w:t xml:space="preserve"> </w:t>
      </w:r>
      <w:r w:rsidR="005279A8">
        <w:t>unit with a roof over</w:t>
      </w:r>
    </w:p>
    <w:p w14:paraId="08503F9C" w14:textId="77777777" w:rsidR="005279A8" w:rsidRDefault="005279A8" w:rsidP="005279A8">
      <w:pPr>
        <w:pStyle w:val="ListParagraph"/>
        <w:ind w:left="1440"/>
      </w:pPr>
    </w:p>
    <w:p w14:paraId="7C97E562" w14:textId="0828B426" w:rsidR="00E11796" w:rsidRDefault="004F647F" w:rsidP="00E11796">
      <w:pPr>
        <w:pStyle w:val="ListParagraph"/>
        <w:numPr>
          <w:ilvl w:val="0"/>
          <w:numId w:val="40"/>
        </w:numPr>
      </w:pPr>
      <w:r>
        <w:t>o</w:t>
      </w:r>
      <w:r w:rsidR="00E11796">
        <w:t>ne alteration</w:t>
      </w:r>
      <w:r w:rsidR="0007408E">
        <w:t xml:space="preserve"> works including an addition </w:t>
      </w:r>
      <w:r w:rsidR="00E11796">
        <w:t xml:space="preserve">to </w:t>
      </w:r>
      <w:r w:rsidR="005279A8">
        <w:t>one of the above dwellings.</w:t>
      </w:r>
    </w:p>
    <w:p w14:paraId="327F2672" w14:textId="16A152E3" w:rsidR="009B5EE6" w:rsidRPr="00030E20" w:rsidRDefault="009B5EE6" w:rsidP="005D19F7">
      <w:pPr>
        <w:pStyle w:val="Heading1"/>
        <w:rPr>
          <w:b/>
          <w:color w:val="FF0000"/>
        </w:rPr>
      </w:pPr>
      <w:r w:rsidRPr="00F87C04">
        <w:t>Knowledge Evidence</w:t>
      </w:r>
      <w:r w:rsidR="00030E20">
        <w:t xml:space="preserve"> </w:t>
      </w:r>
      <w:r w:rsidR="00030E20" w:rsidRPr="00030E20">
        <w:rPr>
          <w:b/>
          <w:color w:val="FF0000"/>
        </w:rPr>
        <w:t>(specifies what the individual must know to perform the work task)</w:t>
      </w:r>
    </w:p>
    <w:p w14:paraId="52F2A161" w14:textId="77777777" w:rsidR="00021219" w:rsidRPr="00F87C04" w:rsidRDefault="00021219" w:rsidP="00021219">
      <w:r w:rsidRPr="00F87C04">
        <w:t xml:space="preserve">To be competent in this unit, a </w:t>
      </w:r>
      <w:r w:rsidR="002800B7" w:rsidRPr="00F87C04">
        <w:t>candidate</w:t>
      </w:r>
      <w:r w:rsidRPr="00F87C04">
        <w:t xml:space="preserve"> must demonstrate knowledge of:</w:t>
      </w:r>
    </w:p>
    <w:p w14:paraId="55B04D84" w14:textId="3925B008" w:rsidR="009651A8" w:rsidRPr="00F87C04" w:rsidRDefault="00C10C33" w:rsidP="009651A8">
      <w:pPr>
        <w:pStyle w:val="ListParagraph"/>
        <w:numPr>
          <w:ilvl w:val="0"/>
          <w:numId w:val="19"/>
        </w:numPr>
      </w:pPr>
      <w:r w:rsidRPr="00F87C04">
        <w:t>Australian climate</w:t>
      </w:r>
      <w:r w:rsidR="009651A8" w:rsidRPr="00F87C04">
        <w:t xml:space="preserve"> zones and characteristics</w:t>
      </w:r>
    </w:p>
    <w:p w14:paraId="22B38ED6" w14:textId="77777777" w:rsidR="009651A8" w:rsidRPr="00F87C04" w:rsidRDefault="009651A8" w:rsidP="009651A8">
      <w:pPr>
        <w:pStyle w:val="ListParagraph"/>
        <w:numPr>
          <w:ilvl w:val="0"/>
          <w:numId w:val="19"/>
        </w:numPr>
      </w:pPr>
      <w:r w:rsidRPr="00F87C04">
        <w:t>climate terminology used in thermal performance assessments:</w:t>
      </w:r>
    </w:p>
    <w:p w14:paraId="5D7B7BBC" w14:textId="7D4DD854" w:rsidR="009651A8" w:rsidRPr="00F87C04" w:rsidRDefault="00452D1A" w:rsidP="00E87004">
      <w:pPr>
        <w:pStyle w:val="ListParagraph"/>
        <w:numPr>
          <w:ilvl w:val="1"/>
          <w:numId w:val="19"/>
        </w:numPr>
      </w:pPr>
      <w:r>
        <w:t xml:space="preserve">heating and cooling loads </w:t>
      </w:r>
      <w:r w:rsidR="00E87004">
        <w:t xml:space="preserve">and </w:t>
      </w:r>
      <w:r w:rsidR="009651A8" w:rsidRPr="00F87C04">
        <w:t>diurnal temperature range</w:t>
      </w:r>
    </w:p>
    <w:p w14:paraId="6546CCE3" w14:textId="77777777" w:rsidR="009651A8" w:rsidRPr="00F87C04" w:rsidRDefault="009651A8" w:rsidP="009651A8">
      <w:pPr>
        <w:pStyle w:val="ListParagraph"/>
        <w:numPr>
          <w:ilvl w:val="1"/>
          <w:numId w:val="19"/>
        </w:numPr>
      </w:pPr>
      <w:r w:rsidRPr="00F87C04">
        <w:t>humidity</w:t>
      </w:r>
    </w:p>
    <w:p w14:paraId="682F0863" w14:textId="77777777" w:rsidR="009651A8" w:rsidRPr="00F87C04" w:rsidRDefault="009651A8" w:rsidP="009651A8">
      <w:pPr>
        <w:pStyle w:val="ListParagraph"/>
        <w:numPr>
          <w:ilvl w:val="1"/>
          <w:numId w:val="19"/>
        </w:numPr>
      </w:pPr>
      <w:r w:rsidRPr="00F87C04">
        <w:t>irradiance</w:t>
      </w:r>
    </w:p>
    <w:p w14:paraId="136A6D90" w14:textId="7F1B44B9" w:rsidR="009651A8" w:rsidRDefault="009651A8" w:rsidP="009651A8">
      <w:pPr>
        <w:pStyle w:val="ListParagraph"/>
        <w:numPr>
          <w:ilvl w:val="1"/>
          <w:numId w:val="19"/>
        </w:numPr>
      </w:pPr>
      <w:r w:rsidRPr="00F87C04">
        <w:t>solar geometry</w:t>
      </w:r>
      <w:r w:rsidR="00125243">
        <w:t xml:space="preserve"> </w:t>
      </w:r>
    </w:p>
    <w:p w14:paraId="74F9F551" w14:textId="77777777" w:rsidR="009651A8" w:rsidRPr="00F87C04" w:rsidRDefault="009651A8" w:rsidP="009651A8">
      <w:pPr>
        <w:pStyle w:val="ListParagraph"/>
        <w:numPr>
          <w:ilvl w:val="1"/>
          <w:numId w:val="19"/>
        </w:numPr>
      </w:pPr>
      <w:r w:rsidRPr="00F87C04">
        <w:t>wind speed and direction</w:t>
      </w:r>
    </w:p>
    <w:p w14:paraId="0B57ECFE" w14:textId="41323F6B" w:rsidR="009651A8" w:rsidRPr="00F87C04" w:rsidRDefault="009651A8" w:rsidP="009651A8">
      <w:pPr>
        <w:pStyle w:val="ListParagraph"/>
        <w:numPr>
          <w:ilvl w:val="0"/>
          <w:numId w:val="19"/>
        </w:numPr>
      </w:pPr>
      <w:r w:rsidRPr="00F87C04">
        <w:t>energy</w:t>
      </w:r>
      <w:r w:rsidR="009B6528" w:rsidRPr="00F87C04">
        <w:t xml:space="preserve"> units of measurement and</w:t>
      </w:r>
      <w:r w:rsidRPr="00F87C04">
        <w:t xml:space="preserve"> terminology associated with thermal performance assessments:</w:t>
      </w:r>
    </w:p>
    <w:p w14:paraId="472B8E5C" w14:textId="77777777" w:rsidR="009651A8" w:rsidRPr="00F87C04" w:rsidRDefault="009651A8" w:rsidP="009651A8">
      <w:pPr>
        <w:pStyle w:val="ListParagraph"/>
        <w:numPr>
          <w:ilvl w:val="1"/>
          <w:numId w:val="19"/>
        </w:numPr>
      </w:pPr>
      <w:r w:rsidRPr="00F87C04">
        <w:t>energy efficiency</w:t>
      </w:r>
    </w:p>
    <w:p w14:paraId="6D78F035" w14:textId="77777777" w:rsidR="00FC44FB" w:rsidRPr="00F87C04" w:rsidRDefault="00FC44FB" w:rsidP="009651A8">
      <w:pPr>
        <w:pStyle w:val="ListParagraph"/>
        <w:numPr>
          <w:ilvl w:val="1"/>
          <w:numId w:val="19"/>
        </w:numPr>
      </w:pPr>
      <w:r w:rsidRPr="00F87C04">
        <w:t>energy loads</w:t>
      </w:r>
    </w:p>
    <w:p w14:paraId="6D014133" w14:textId="152CA9C0" w:rsidR="009651A8" w:rsidRPr="00F87C04" w:rsidRDefault="009651A8" w:rsidP="009651A8">
      <w:pPr>
        <w:pStyle w:val="ListParagraph"/>
        <w:numPr>
          <w:ilvl w:val="1"/>
          <w:numId w:val="19"/>
        </w:numPr>
      </w:pPr>
      <w:r w:rsidRPr="00F87C04">
        <w:t>heating and cooling loads</w:t>
      </w:r>
    </w:p>
    <w:p w14:paraId="642F434D" w14:textId="78849025" w:rsidR="009651A8" w:rsidRDefault="009651A8" w:rsidP="009651A8">
      <w:pPr>
        <w:pStyle w:val="ListParagraph"/>
        <w:numPr>
          <w:ilvl w:val="1"/>
          <w:numId w:val="19"/>
        </w:numPr>
      </w:pPr>
      <w:r w:rsidRPr="00F87C04">
        <w:t>latent heat</w:t>
      </w:r>
    </w:p>
    <w:p w14:paraId="109AE251" w14:textId="02E1CE0B" w:rsidR="003456D2" w:rsidRDefault="003456D2" w:rsidP="003456D2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………………………………………………………………………………………………………………………………………………..</w:t>
      </w:r>
    </w:p>
    <w:p w14:paraId="22D61969" w14:textId="33C975AA" w:rsidR="003456D2" w:rsidRDefault="003456D2" w:rsidP="003456D2">
      <w:pPr>
        <w:pStyle w:val="Heading1"/>
      </w:pPr>
      <w:r>
        <w:lastRenderedPageBreak/>
        <w:t>Assessment Conditions</w:t>
      </w:r>
      <w:r>
        <w:t xml:space="preserve"> </w:t>
      </w:r>
      <w:bookmarkStart w:id="4" w:name="_GoBack"/>
      <w:r w:rsidRPr="003456D2">
        <w:rPr>
          <w:b/>
          <w:color w:val="FF0000"/>
        </w:rPr>
        <w:t>(stipulates any mandatory conditions for assessment)</w:t>
      </w:r>
      <w:bookmarkEnd w:id="4"/>
    </w:p>
    <w:p w14:paraId="2DCC0133" w14:textId="5BFA8F3E" w:rsidR="004D7212" w:rsidRDefault="00882E7C" w:rsidP="000A7BEE">
      <w:r w:rsidRPr="00882E7C">
        <w:t xml:space="preserve">Assessors </w:t>
      </w:r>
      <w:r w:rsidR="001C34F6">
        <w:t xml:space="preserve">must </w:t>
      </w:r>
      <w:r w:rsidRPr="00882E7C">
        <w:t>meet the requirements for assessors contained in the Standards for Registered Training Organisations.</w:t>
      </w:r>
    </w:p>
    <w:p w14:paraId="548CD255" w14:textId="78A7469B" w:rsidR="004D7212" w:rsidRPr="00882E7C" w:rsidRDefault="004D7212" w:rsidP="004D7212">
      <w:r w:rsidRPr="00882E7C">
        <w:t>Assessment of performance must includ</w:t>
      </w:r>
      <w:r>
        <w:t>e access to:</w:t>
      </w:r>
    </w:p>
    <w:p w14:paraId="022C1C9B" w14:textId="7BBFFB37" w:rsidR="009E3210" w:rsidRDefault="00132A6A" w:rsidP="004D7212">
      <w:pPr>
        <w:pStyle w:val="ListParagraph"/>
        <w:numPr>
          <w:ilvl w:val="0"/>
          <w:numId w:val="24"/>
        </w:numPr>
      </w:pPr>
      <w:r>
        <w:t>current accredited NatHERS software</w:t>
      </w:r>
      <w:r w:rsidR="0036595E">
        <w:t xml:space="preserve"> tool</w:t>
      </w:r>
      <w:r w:rsidR="000D3146">
        <w:t xml:space="preserve"> and </w:t>
      </w:r>
      <w:r w:rsidR="00517860">
        <w:t xml:space="preserve">associated </w:t>
      </w:r>
      <w:r>
        <w:t>equipment</w:t>
      </w:r>
      <w:r w:rsidR="00517860">
        <w:t xml:space="preserve"> and manuals</w:t>
      </w:r>
    </w:p>
    <w:p w14:paraId="396DF626" w14:textId="275892A5" w:rsidR="004D7212" w:rsidRDefault="007813A3" w:rsidP="004D7212">
      <w:pPr>
        <w:pStyle w:val="ListParagraph"/>
        <w:numPr>
          <w:ilvl w:val="0"/>
          <w:numId w:val="24"/>
        </w:numPr>
      </w:pPr>
      <w:r>
        <w:t xml:space="preserve">the NCC and jurisdictional guidelines </w:t>
      </w:r>
      <w:r w:rsidR="0036595E">
        <w:t xml:space="preserve">associated with </w:t>
      </w:r>
      <w:r w:rsidR="00B071BD">
        <w:t>conducting NatHERS assessments</w:t>
      </w:r>
    </w:p>
    <w:p w14:paraId="03815CF2" w14:textId="26009701" w:rsidR="0036595E" w:rsidRDefault="00D25A6E" w:rsidP="00D25A6E">
      <w:pPr>
        <w:pStyle w:val="ListParagraph"/>
        <w:numPr>
          <w:ilvl w:val="0"/>
          <w:numId w:val="24"/>
        </w:numPr>
      </w:pPr>
      <w:r>
        <w:t xml:space="preserve">residential building </w:t>
      </w:r>
      <w:r w:rsidR="00B71131">
        <w:t xml:space="preserve">design </w:t>
      </w:r>
      <w:r w:rsidR="0036595E">
        <w:t>documentation</w:t>
      </w:r>
      <w:r>
        <w:t xml:space="preserve"> and technical information to allow achievement of the performance evidence</w:t>
      </w:r>
    </w:p>
    <w:p w14:paraId="53CBF92F" w14:textId="13A3473D" w:rsidR="004D7212" w:rsidRPr="00882E7C" w:rsidRDefault="000D3146" w:rsidP="00675576">
      <w:pPr>
        <w:pStyle w:val="ListParagraph"/>
        <w:numPr>
          <w:ilvl w:val="0"/>
          <w:numId w:val="24"/>
        </w:numPr>
      </w:pPr>
      <w:r>
        <w:t xml:space="preserve">NatHERS </w:t>
      </w:r>
      <w:r w:rsidR="00675576">
        <w:t xml:space="preserve">technical notes, </w:t>
      </w:r>
      <w:r>
        <w:t>Protocol for AAOs</w:t>
      </w:r>
      <w:r w:rsidR="00675576">
        <w:t xml:space="preserve"> and </w:t>
      </w:r>
      <w:r>
        <w:t>Software Accreditation Protocol</w:t>
      </w:r>
      <w:r w:rsidR="00D25A6E">
        <w:t>.</w:t>
      </w:r>
    </w:p>
    <w:p w14:paraId="59A5ACFC" w14:textId="77777777" w:rsidR="00AB667E" w:rsidRDefault="00AB667E" w:rsidP="009F4ACF">
      <w:pPr>
        <w:pStyle w:val="Heading1"/>
      </w:pPr>
      <w:r>
        <w:t>Links</w:t>
      </w:r>
    </w:p>
    <w:p w14:paraId="0BB83118" w14:textId="77777777" w:rsidR="00A44EED" w:rsidRDefault="00AF1D7D" w:rsidP="00A44EED">
      <w:r w:rsidRPr="00AF1D7D">
        <w:t xml:space="preserve">Companion Volume Implementation Guide: </w:t>
      </w:r>
      <w:bookmarkStart w:id="5" w:name="_Hlk535405983"/>
    </w:p>
    <w:p w14:paraId="0059AFC1" w14:textId="77777777" w:rsidR="00A44EED" w:rsidRDefault="002C06FB" w:rsidP="00A44EED">
      <w:pPr>
        <w:rPr>
          <w:b/>
        </w:rPr>
      </w:pPr>
      <w:hyperlink r:id="rId8" w:history="1">
        <w:r w:rsidR="00A44EED" w:rsidRPr="00AC60D0">
          <w:rPr>
            <w:rStyle w:val="Hyperlink"/>
          </w:rPr>
          <w:t>https://vetnet.education.gov.au/Pages/TrainingDocs.aspx?q=6f3f9672-30e8-4835-b348-205dfcf13d9b</w:t>
        </w:r>
      </w:hyperlink>
    </w:p>
    <w:bookmarkEnd w:id="5"/>
    <w:p w14:paraId="43EA1A23" w14:textId="34401F1E" w:rsidR="00AB667E" w:rsidRPr="00642B37" w:rsidRDefault="00AB667E" w:rsidP="00AF1D7D"/>
    <w:sectPr w:rsidR="00AB667E" w:rsidRPr="00642B37" w:rsidSect="00D42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CB783" w14:textId="77777777" w:rsidR="002C06FB" w:rsidRDefault="002C06FB" w:rsidP="000825FE">
      <w:r>
        <w:separator/>
      </w:r>
    </w:p>
  </w:endnote>
  <w:endnote w:type="continuationSeparator" w:id="0">
    <w:p w14:paraId="6A08E19A" w14:textId="77777777" w:rsidR="002C06FB" w:rsidRDefault="002C06FB" w:rsidP="0008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374D" w14:textId="77777777" w:rsidR="000E1B02" w:rsidRDefault="000E1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280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1D4A3" w14:textId="3FBC4C03" w:rsidR="000E1B02" w:rsidRDefault="000E1B02" w:rsidP="00BE6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45B2A" w14:textId="77777777" w:rsidR="000E1B02" w:rsidRDefault="000E1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421E0" w14:textId="77777777" w:rsidR="000E1B02" w:rsidRDefault="000E1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1503" w14:textId="77777777" w:rsidR="002C06FB" w:rsidRDefault="002C06FB" w:rsidP="000825FE">
      <w:r>
        <w:separator/>
      </w:r>
    </w:p>
  </w:footnote>
  <w:footnote w:type="continuationSeparator" w:id="0">
    <w:p w14:paraId="4E31A8BC" w14:textId="77777777" w:rsidR="002C06FB" w:rsidRDefault="002C06FB" w:rsidP="0008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D0E0" w14:textId="77777777" w:rsidR="000E1B02" w:rsidRDefault="000E1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  <w:lang w:val="en-AU"/>
      </w:rPr>
      <w:id w:val="-320889294"/>
      <w:docPartObj>
        <w:docPartGallery w:val="Watermarks"/>
        <w:docPartUnique/>
      </w:docPartObj>
    </w:sdtPr>
    <w:sdtEndPr/>
    <w:sdtContent>
      <w:p w14:paraId="69967EC4" w14:textId="4D88068E" w:rsidR="00A664BF" w:rsidRPr="00FD2675" w:rsidRDefault="002C06FB" w:rsidP="008722DF">
        <w:pPr>
          <w:pStyle w:val="Header"/>
          <w:jc w:val="center"/>
          <w:rPr>
            <w:i/>
            <w:sz w:val="18"/>
            <w:szCs w:val="18"/>
            <w:lang w:val="en-AU"/>
          </w:rPr>
        </w:pPr>
        <w:r>
          <w:rPr>
            <w:i/>
            <w:noProof/>
            <w:sz w:val="18"/>
            <w:szCs w:val="18"/>
            <w:lang w:val="en-AU"/>
          </w:rPr>
          <w:pict w14:anchorId="3EEA0D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A026" w14:textId="77777777" w:rsidR="000E1B02" w:rsidRDefault="000E1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7DEA"/>
    <w:multiLevelType w:val="hybridMultilevel"/>
    <w:tmpl w:val="B74A4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7022"/>
    <w:multiLevelType w:val="hybridMultilevel"/>
    <w:tmpl w:val="40EE3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83316"/>
    <w:multiLevelType w:val="hybridMultilevel"/>
    <w:tmpl w:val="05108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059AB"/>
    <w:multiLevelType w:val="hybridMultilevel"/>
    <w:tmpl w:val="C0027F3E"/>
    <w:lvl w:ilvl="0" w:tplc="26F299D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15B42"/>
    <w:multiLevelType w:val="hybridMultilevel"/>
    <w:tmpl w:val="3DC05B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C336A"/>
    <w:multiLevelType w:val="hybridMultilevel"/>
    <w:tmpl w:val="380EF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C6F38"/>
    <w:multiLevelType w:val="hybridMultilevel"/>
    <w:tmpl w:val="EBFE1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619F"/>
    <w:multiLevelType w:val="hybridMultilevel"/>
    <w:tmpl w:val="D77688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CD1C76"/>
    <w:multiLevelType w:val="hybridMultilevel"/>
    <w:tmpl w:val="21A2AF1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50445F"/>
    <w:multiLevelType w:val="hybridMultilevel"/>
    <w:tmpl w:val="48BCD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20EC9"/>
    <w:multiLevelType w:val="hybridMultilevel"/>
    <w:tmpl w:val="B930E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F43CC"/>
    <w:multiLevelType w:val="hybridMultilevel"/>
    <w:tmpl w:val="4E1AC7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75EBC"/>
    <w:multiLevelType w:val="hybridMultilevel"/>
    <w:tmpl w:val="1616A9C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4383A"/>
    <w:multiLevelType w:val="hybridMultilevel"/>
    <w:tmpl w:val="8B36F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1"/>
  </w:num>
  <w:num w:numId="5">
    <w:abstractNumId w:val="4"/>
  </w:num>
  <w:num w:numId="6">
    <w:abstractNumId w:val="35"/>
  </w:num>
  <w:num w:numId="7">
    <w:abstractNumId w:val="8"/>
  </w:num>
  <w:num w:numId="8">
    <w:abstractNumId w:val="7"/>
  </w:num>
  <w:num w:numId="9">
    <w:abstractNumId w:val="2"/>
  </w:num>
  <w:num w:numId="10">
    <w:abstractNumId w:val="29"/>
  </w:num>
  <w:num w:numId="11">
    <w:abstractNumId w:val="33"/>
  </w:num>
  <w:num w:numId="12">
    <w:abstractNumId w:val="38"/>
  </w:num>
  <w:num w:numId="13">
    <w:abstractNumId w:val="0"/>
  </w:num>
  <w:num w:numId="14">
    <w:abstractNumId w:val="22"/>
  </w:num>
  <w:num w:numId="15">
    <w:abstractNumId w:val="1"/>
  </w:num>
  <w:num w:numId="16">
    <w:abstractNumId w:val="31"/>
  </w:num>
  <w:num w:numId="17">
    <w:abstractNumId w:val="25"/>
  </w:num>
  <w:num w:numId="18">
    <w:abstractNumId w:val="6"/>
  </w:num>
  <w:num w:numId="19">
    <w:abstractNumId w:val="37"/>
  </w:num>
  <w:num w:numId="20">
    <w:abstractNumId w:val="3"/>
  </w:num>
  <w:num w:numId="21">
    <w:abstractNumId w:val="27"/>
  </w:num>
  <w:num w:numId="22">
    <w:abstractNumId w:val="39"/>
  </w:num>
  <w:num w:numId="23">
    <w:abstractNumId w:val="34"/>
  </w:num>
  <w:num w:numId="24">
    <w:abstractNumId w:val="32"/>
  </w:num>
  <w:num w:numId="25">
    <w:abstractNumId w:val="23"/>
  </w:num>
  <w:num w:numId="26">
    <w:abstractNumId w:val="36"/>
  </w:num>
  <w:num w:numId="27">
    <w:abstractNumId w:val="11"/>
  </w:num>
  <w:num w:numId="28">
    <w:abstractNumId w:val="17"/>
  </w:num>
  <w:num w:numId="29">
    <w:abstractNumId w:val="9"/>
  </w:num>
  <w:num w:numId="30">
    <w:abstractNumId w:val="5"/>
  </w:num>
  <w:num w:numId="31">
    <w:abstractNumId w:val="16"/>
  </w:num>
  <w:num w:numId="32">
    <w:abstractNumId w:val="13"/>
  </w:num>
  <w:num w:numId="33">
    <w:abstractNumId w:val="24"/>
  </w:num>
  <w:num w:numId="34">
    <w:abstractNumId w:val="18"/>
  </w:num>
  <w:num w:numId="35">
    <w:abstractNumId w:val="12"/>
  </w:num>
  <w:num w:numId="36">
    <w:abstractNumId w:val="26"/>
  </w:num>
  <w:num w:numId="37">
    <w:abstractNumId w:val="30"/>
  </w:num>
  <w:num w:numId="38">
    <w:abstractNumId w:val="20"/>
  </w:num>
  <w:num w:numId="39">
    <w:abstractNumId w:val="1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styleLockQFSet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F8"/>
    <w:rsid w:val="00001BBF"/>
    <w:rsid w:val="0000434A"/>
    <w:rsid w:val="00006B9A"/>
    <w:rsid w:val="00020577"/>
    <w:rsid w:val="00021219"/>
    <w:rsid w:val="000276DB"/>
    <w:rsid w:val="00027CBD"/>
    <w:rsid w:val="00030E20"/>
    <w:rsid w:val="00034409"/>
    <w:rsid w:val="00037438"/>
    <w:rsid w:val="00041586"/>
    <w:rsid w:val="0004755F"/>
    <w:rsid w:val="00050C86"/>
    <w:rsid w:val="00051EDA"/>
    <w:rsid w:val="0005576C"/>
    <w:rsid w:val="00056E88"/>
    <w:rsid w:val="00061244"/>
    <w:rsid w:val="00061643"/>
    <w:rsid w:val="00065690"/>
    <w:rsid w:val="0007408E"/>
    <w:rsid w:val="000767BE"/>
    <w:rsid w:val="000825FE"/>
    <w:rsid w:val="00090C6A"/>
    <w:rsid w:val="00091BC3"/>
    <w:rsid w:val="00092E3A"/>
    <w:rsid w:val="00093B84"/>
    <w:rsid w:val="00093E85"/>
    <w:rsid w:val="00094990"/>
    <w:rsid w:val="00095A5F"/>
    <w:rsid w:val="000A3A7D"/>
    <w:rsid w:val="000A405D"/>
    <w:rsid w:val="000A48A6"/>
    <w:rsid w:val="000A58EC"/>
    <w:rsid w:val="000A7BEE"/>
    <w:rsid w:val="000B0F5B"/>
    <w:rsid w:val="000B3250"/>
    <w:rsid w:val="000B3E7F"/>
    <w:rsid w:val="000B6630"/>
    <w:rsid w:val="000C0B95"/>
    <w:rsid w:val="000C2353"/>
    <w:rsid w:val="000C38CB"/>
    <w:rsid w:val="000D2E8A"/>
    <w:rsid w:val="000D3146"/>
    <w:rsid w:val="000E0690"/>
    <w:rsid w:val="000E10B4"/>
    <w:rsid w:val="000E1B02"/>
    <w:rsid w:val="000E5C92"/>
    <w:rsid w:val="000F2109"/>
    <w:rsid w:val="001005BA"/>
    <w:rsid w:val="0010134E"/>
    <w:rsid w:val="00101BB9"/>
    <w:rsid w:val="00103C80"/>
    <w:rsid w:val="0010604F"/>
    <w:rsid w:val="00107BE2"/>
    <w:rsid w:val="00116D4E"/>
    <w:rsid w:val="00125243"/>
    <w:rsid w:val="00132A6A"/>
    <w:rsid w:val="00133F9C"/>
    <w:rsid w:val="00135E30"/>
    <w:rsid w:val="001430F8"/>
    <w:rsid w:val="00144536"/>
    <w:rsid w:val="00146593"/>
    <w:rsid w:val="00151D78"/>
    <w:rsid w:val="00152693"/>
    <w:rsid w:val="00152CFB"/>
    <w:rsid w:val="0015771D"/>
    <w:rsid w:val="00160E87"/>
    <w:rsid w:val="00162507"/>
    <w:rsid w:val="001670C9"/>
    <w:rsid w:val="00170646"/>
    <w:rsid w:val="00170AC3"/>
    <w:rsid w:val="00177529"/>
    <w:rsid w:val="0018624D"/>
    <w:rsid w:val="001A2D50"/>
    <w:rsid w:val="001A657B"/>
    <w:rsid w:val="001B1DAA"/>
    <w:rsid w:val="001B5B91"/>
    <w:rsid w:val="001B7F85"/>
    <w:rsid w:val="001C142D"/>
    <w:rsid w:val="001C2021"/>
    <w:rsid w:val="001C2A05"/>
    <w:rsid w:val="001C34F6"/>
    <w:rsid w:val="001D60AC"/>
    <w:rsid w:val="001D637B"/>
    <w:rsid w:val="001E0311"/>
    <w:rsid w:val="001E0990"/>
    <w:rsid w:val="001E5771"/>
    <w:rsid w:val="001E6C12"/>
    <w:rsid w:val="001F6913"/>
    <w:rsid w:val="00200EF9"/>
    <w:rsid w:val="002051D0"/>
    <w:rsid w:val="00207819"/>
    <w:rsid w:val="00210936"/>
    <w:rsid w:val="00223996"/>
    <w:rsid w:val="00231143"/>
    <w:rsid w:val="00235C3B"/>
    <w:rsid w:val="00236F13"/>
    <w:rsid w:val="00240C89"/>
    <w:rsid w:val="00242414"/>
    <w:rsid w:val="00246FE0"/>
    <w:rsid w:val="002502D9"/>
    <w:rsid w:val="00251A76"/>
    <w:rsid w:val="00251B01"/>
    <w:rsid w:val="00252F34"/>
    <w:rsid w:val="00255453"/>
    <w:rsid w:val="00264A26"/>
    <w:rsid w:val="00270D99"/>
    <w:rsid w:val="0027270A"/>
    <w:rsid w:val="002800B7"/>
    <w:rsid w:val="00280177"/>
    <w:rsid w:val="002822C7"/>
    <w:rsid w:val="00284827"/>
    <w:rsid w:val="00286F53"/>
    <w:rsid w:val="002916FD"/>
    <w:rsid w:val="0029510A"/>
    <w:rsid w:val="00295947"/>
    <w:rsid w:val="002A1CC9"/>
    <w:rsid w:val="002A3873"/>
    <w:rsid w:val="002A5154"/>
    <w:rsid w:val="002A5B81"/>
    <w:rsid w:val="002B1C84"/>
    <w:rsid w:val="002B3D70"/>
    <w:rsid w:val="002B4C43"/>
    <w:rsid w:val="002B6D6D"/>
    <w:rsid w:val="002B77CD"/>
    <w:rsid w:val="002C06FB"/>
    <w:rsid w:val="002C4979"/>
    <w:rsid w:val="002D0C2B"/>
    <w:rsid w:val="002D0C79"/>
    <w:rsid w:val="002D254D"/>
    <w:rsid w:val="002D2697"/>
    <w:rsid w:val="002D2B21"/>
    <w:rsid w:val="002D4E81"/>
    <w:rsid w:val="002E2B9B"/>
    <w:rsid w:val="002E5419"/>
    <w:rsid w:val="002F182C"/>
    <w:rsid w:val="002F29F0"/>
    <w:rsid w:val="00300B1B"/>
    <w:rsid w:val="00301E72"/>
    <w:rsid w:val="00305E6D"/>
    <w:rsid w:val="00316FBD"/>
    <w:rsid w:val="00320BFC"/>
    <w:rsid w:val="00320CAB"/>
    <w:rsid w:val="003231C4"/>
    <w:rsid w:val="003232A3"/>
    <w:rsid w:val="00330465"/>
    <w:rsid w:val="003319DF"/>
    <w:rsid w:val="00340ABD"/>
    <w:rsid w:val="003456D2"/>
    <w:rsid w:val="003473CB"/>
    <w:rsid w:val="00350E89"/>
    <w:rsid w:val="00355352"/>
    <w:rsid w:val="00355A4E"/>
    <w:rsid w:val="00360A52"/>
    <w:rsid w:val="003630F3"/>
    <w:rsid w:val="00363748"/>
    <w:rsid w:val="003649A9"/>
    <w:rsid w:val="0036595E"/>
    <w:rsid w:val="00371B6D"/>
    <w:rsid w:val="00372080"/>
    <w:rsid w:val="003760A0"/>
    <w:rsid w:val="003802EF"/>
    <w:rsid w:val="00380F07"/>
    <w:rsid w:val="00386D2F"/>
    <w:rsid w:val="0039055B"/>
    <w:rsid w:val="00395422"/>
    <w:rsid w:val="003A00C5"/>
    <w:rsid w:val="003A16F6"/>
    <w:rsid w:val="003A4328"/>
    <w:rsid w:val="003C394C"/>
    <w:rsid w:val="003D2888"/>
    <w:rsid w:val="003E0A36"/>
    <w:rsid w:val="003F5C97"/>
    <w:rsid w:val="00404287"/>
    <w:rsid w:val="0040469F"/>
    <w:rsid w:val="004064BD"/>
    <w:rsid w:val="00411A71"/>
    <w:rsid w:val="004122F2"/>
    <w:rsid w:val="00421956"/>
    <w:rsid w:val="0042352D"/>
    <w:rsid w:val="004251D0"/>
    <w:rsid w:val="00430F85"/>
    <w:rsid w:val="00436149"/>
    <w:rsid w:val="0044022A"/>
    <w:rsid w:val="00440B50"/>
    <w:rsid w:val="004438BF"/>
    <w:rsid w:val="00452D1A"/>
    <w:rsid w:val="004571A4"/>
    <w:rsid w:val="00467196"/>
    <w:rsid w:val="00474EAE"/>
    <w:rsid w:val="00484243"/>
    <w:rsid w:val="00485A61"/>
    <w:rsid w:val="004926D0"/>
    <w:rsid w:val="00493842"/>
    <w:rsid w:val="004B5B67"/>
    <w:rsid w:val="004B6BEA"/>
    <w:rsid w:val="004C2FCF"/>
    <w:rsid w:val="004C7401"/>
    <w:rsid w:val="004D348C"/>
    <w:rsid w:val="004D7212"/>
    <w:rsid w:val="004D7558"/>
    <w:rsid w:val="004E5EC3"/>
    <w:rsid w:val="004F1694"/>
    <w:rsid w:val="004F361B"/>
    <w:rsid w:val="004F647F"/>
    <w:rsid w:val="004F71DE"/>
    <w:rsid w:val="00504D95"/>
    <w:rsid w:val="00515D2F"/>
    <w:rsid w:val="005168C9"/>
    <w:rsid w:val="00517860"/>
    <w:rsid w:val="005228D9"/>
    <w:rsid w:val="00523C98"/>
    <w:rsid w:val="005240ED"/>
    <w:rsid w:val="00525435"/>
    <w:rsid w:val="00525D0D"/>
    <w:rsid w:val="005279A8"/>
    <w:rsid w:val="005336E6"/>
    <w:rsid w:val="00544983"/>
    <w:rsid w:val="00562923"/>
    <w:rsid w:val="00570098"/>
    <w:rsid w:val="0057267E"/>
    <w:rsid w:val="005750C3"/>
    <w:rsid w:val="00587775"/>
    <w:rsid w:val="00587AEE"/>
    <w:rsid w:val="00590C2E"/>
    <w:rsid w:val="00596687"/>
    <w:rsid w:val="005A1470"/>
    <w:rsid w:val="005A3041"/>
    <w:rsid w:val="005A7BB6"/>
    <w:rsid w:val="005B1048"/>
    <w:rsid w:val="005B2EB5"/>
    <w:rsid w:val="005C19D3"/>
    <w:rsid w:val="005D19F7"/>
    <w:rsid w:val="005E1C19"/>
    <w:rsid w:val="005E3095"/>
    <w:rsid w:val="005E30CA"/>
    <w:rsid w:val="005E555A"/>
    <w:rsid w:val="005E67F8"/>
    <w:rsid w:val="005F4248"/>
    <w:rsid w:val="005F67FB"/>
    <w:rsid w:val="006037B2"/>
    <w:rsid w:val="00606D60"/>
    <w:rsid w:val="006142E1"/>
    <w:rsid w:val="006243DA"/>
    <w:rsid w:val="00627A02"/>
    <w:rsid w:val="00631FAA"/>
    <w:rsid w:val="0063572F"/>
    <w:rsid w:val="006360AA"/>
    <w:rsid w:val="0063761D"/>
    <w:rsid w:val="00641740"/>
    <w:rsid w:val="00642B37"/>
    <w:rsid w:val="006557FD"/>
    <w:rsid w:val="00672818"/>
    <w:rsid w:val="006745D5"/>
    <w:rsid w:val="00675576"/>
    <w:rsid w:val="00676059"/>
    <w:rsid w:val="0068485C"/>
    <w:rsid w:val="006910AF"/>
    <w:rsid w:val="00692BA8"/>
    <w:rsid w:val="00696633"/>
    <w:rsid w:val="006A22B6"/>
    <w:rsid w:val="006A4256"/>
    <w:rsid w:val="006A7EB6"/>
    <w:rsid w:val="006D05E9"/>
    <w:rsid w:val="006D0717"/>
    <w:rsid w:val="006D1C70"/>
    <w:rsid w:val="006D63E1"/>
    <w:rsid w:val="006E1FE5"/>
    <w:rsid w:val="006E260B"/>
    <w:rsid w:val="006F10F6"/>
    <w:rsid w:val="00701655"/>
    <w:rsid w:val="00701EBB"/>
    <w:rsid w:val="007020D3"/>
    <w:rsid w:val="007071ED"/>
    <w:rsid w:val="007202E4"/>
    <w:rsid w:val="0072086C"/>
    <w:rsid w:val="0072395B"/>
    <w:rsid w:val="00724858"/>
    <w:rsid w:val="007406D7"/>
    <w:rsid w:val="00755F56"/>
    <w:rsid w:val="007637C3"/>
    <w:rsid w:val="007641FB"/>
    <w:rsid w:val="007669FC"/>
    <w:rsid w:val="007677D7"/>
    <w:rsid w:val="007710E4"/>
    <w:rsid w:val="00774144"/>
    <w:rsid w:val="0077689D"/>
    <w:rsid w:val="00780B2F"/>
    <w:rsid w:val="007813A3"/>
    <w:rsid w:val="00781B3E"/>
    <w:rsid w:val="00786156"/>
    <w:rsid w:val="007877D1"/>
    <w:rsid w:val="00790993"/>
    <w:rsid w:val="00797571"/>
    <w:rsid w:val="007A06B1"/>
    <w:rsid w:val="007A26F3"/>
    <w:rsid w:val="007A426A"/>
    <w:rsid w:val="007B6DB1"/>
    <w:rsid w:val="007C1785"/>
    <w:rsid w:val="007D031F"/>
    <w:rsid w:val="007D2D54"/>
    <w:rsid w:val="007E285C"/>
    <w:rsid w:val="007E6119"/>
    <w:rsid w:val="007F1C89"/>
    <w:rsid w:val="007F724D"/>
    <w:rsid w:val="00800762"/>
    <w:rsid w:val="00805B28"/>
    <w:rsid w:val="00810372"/>
    <w:rsid w:val="00825D14"/>
    <w:rsid w:val="00826A03"/>
    <w:rsid w:val="008308C1"/>
    <w:rsid w:val="00832076"/>
    <w:rsid w:val="00832E6C"/>
    <w:rsid w:val="00832E86"/>
    <w:rsid w:val="00832FCB"/>
    <w:rsid w:val="0083620E"/>
    <w:rsid w:val="0084242E"/>
    <w:rsid w:val="00844DA7"/>
    <w:rsid w:val="00847B5C"/>
    <w:rsid w:val="00852086"/>
    <w:rsid w:val="00861F07"/>
    <w:rsid w:val="008714FB"/>
    <w:rsid w:val="008722DF"/>
    <w:rsid w:val="00873370"/>
    <w:rsid w:val="00875817"/>
    <w:rsid w:val="0087778C"/>
    <w:rsid w:val="008823B2"/>
    <w:rsid w:val="00882E7C"/>
    <w:rsid w:val="00887524"/>
    <w:rsid w:val="00891B26"/>
    <w:rsid w:val="008A2EB9"/>
    <w:rsid w:val="008A57FE"/>
    <w:rsid w:val="008B4F88"/>
    <w:rsid w:val="008B612D"/>
    <w:rsid w:val="008B7715"/>
    <w:rsid w:val="008C48F9"/>
    <w:rsid w:val="008D0326"/>
    <w:rsid w:val="008D17F1"/>
    <w:rsid w:val="008D5EB5"/>
    <w:rsid w:val="008D663B"/>
    <w:rsid w:val="008D6FC8"/>
    <w:rsid w:val="008E3D41"/>
    <w:rsid w:val="008E5592"/>
    <w:rsid w:val="008E56F6"/>
    <w:rsid w:val="00904A19"/>
    <w:rsid w:val="009075B6"/>
    <w:rsid w:val="0090760C"/>
    <w:rsid w:val="009116B9"/>
    <w:rsid w:val="0091413B"/>
    <w:rsid w:val="00917832"/>
    <w:rsid w:val="00917DCB"/>
    <w:rsid w:val="0092335C"/>
    <w:rsid w:val="009234C4"/>
    <w:rsid w:val="00927C3D"/>
    <w:rsid w:val="00931926"/>
    <w:rsid w:val="00931BBB"/>
    <w:rsid w:val="0093421E"/>
    <w:rsid w:val="009359F2"/>
    <w:rsid w:val="009435B9"/>
    <w:rsid w:val="00945E1D"/>
    <w:rsid w:val="00946E51"/>
    <w:rsid w:val="00947BBC"/>
    <w:rsid w:val="0095104E"/>
    <w:rsid w:val="009615D9"/>
    <w:rsid w:val="0096493E"/>
    <w:rsid w:val="009651A8"/>
    <w:rsid w:val="00970151"/>
    <w:rsid w:val="00971604"/>
    <w:rsid w:val="00974E25"/>
    <w:rsid w:val="009754AC"/>
    <w:rsid w:val="00982183"/>
    <w:rsid w:val="009906E4"/>
    <w:rsid w:val="009915F6"/>
    <w:rsid w:val="009951E5"/>
    <w:rsid w:val="009A0E21"/>
    <w:rsid w:val="009A3DCF"/>
    <w:rsid w:val="009A48A4"/>
    <w:rsid w:val="009A515B"/>
    <w:rsid w:val="009B3A4F"/>
    <w:rsid w:val="009B5EE6"/>
    <w:rsid w:val="009B6528"/>
    <w:rsid w:val="009C0B8B"/>
    <w:rsid w:val="009C1AB2"/>
    <w:rsid w:val="009E3210"/>
    <w:rsid w:val="009F4ACF"/>
    <w:rsid w:val="009F6FF0"/>
    <w:rsid w:val="00A00031"/>
    <w:rsid w:val="00A073E9"/>
    <w:rsid w:val="00A07F65"/>
    <w:rsid w:val="00A107FF"/>
    <w:rsid w:val="00A148EC"/>
    <w:rsid w:val="00A16197"/>
    <w:rsid w:val="00A22557"/>
    <w:rsid w:val="00A2337B"/>
    <w:rsid w:val="00A23A66"/>
    <w:rsid w:val="00A27B9F"/>
    <w:rsid w:val="00A328E2"/>
    <w:rsid w:val="00A3429E"/>
    <w:rsid w:val="00A40D55"/>
    <w:rsid w:val="00A42BBF"/>
    <w:rsid w:val="00A42C76"/>
    <w:rsid w:val="00A44EED"/>
    <w:rsid w:val="00A4511E"/>
    <w:rsid w:val="00A530F4"/>
    <w:rsid w:val="00A611CC"/>
    <w:rsid w:val="00A654A0"/>
    <w:rsid w:val="00A664BF"/>
    <w:rsid w:val="00A66AC2"/>
    <w:rsid w:val="00A66D1E"/>
    <w:rsid w:val="00A67C67"/>
    <w:rsid w:val="00A71E3F"/>
    <w:rsid w:val="00A85744"/>
    <w:rsid w:val="00A87B7C"/>
    <w:rsid w:val="00A9113F"/>
    <w:rsid w:val="00AA6DE1"/>
    <w:rsid w:val="00AA789F"/>
    <w:rsid w:val="00AB667E"/>
    <w:rsid w:val="00AB6F77"/>
    <w:rsid w:val="00AC3B3D"/>
    <w:rsid w:val="00AC4346"/>
    <w:rsid w:val="00AE3E59"/>
    <w:rsid w:val="00AE79CB"/>
    <w:rsid w:val="00AF0096"/>
    <w:rsid w:val="00AF1D7D"/>
    <w:rsid w:val="00AF2A0B"/>
    <w:rsid w:val="00AF6CD0"/>
    <w:rsid w:val="00B071BD"/>
    <w:rsid w:val="00B07D98"/>
    <w:rsid w:val="00B110B9"/>
    <w:rsid w:val="00B14555"/>
    <w:rsid w:val="00B17228"/>
    <w:rsid w:val="00B23274"/>
    <w:rsid w:val="00B3551B"/>
    <w:rsid w:val="00B50852"/>
    <w:rsid w:val="00B62B7A"/>
    <w:rsid w:val="00B62F3B"/>
    <w:rsid w:val="00B71131"/>
    <w:rsid w:val="00B7440B"/>
    <w:rsid w:val="00B7622E"/>
    <w:rsid w:val="00B76B66"/>
    <w:rsid w:val="00B77D8A"/>
    <w:rsid w:val="00B800D0"/>
    <w:rsid w:val="00B96939"/>
    <w:rsid w:val="00BA1D05"/>
    <w:rsid w:val="00BA4A5A"/>
    <w:rsid w:val="00BB145A"/>
    <w:rsid w:val="00BB5307"/>
    <w:rsid w:val="00BC3A12"/>
    <w:rsid w:val="00BC57AB"/>
    <w:rsid w:val="00BC6A9A"/>
    <w:rsid w:val="00BD37F3"/>
    <w:rsid w:val="00BE1BA0"/>
    <w:rsid w:val="00BE6E6C"/>
    <w:rsid w:val="00BE6FC3"/>
    <w:rsid w:val="00BF195A"/>
    <w:rsid w:val="00C10C33"/>
    <w:rsid w:val="00C15556"/>
    <w:rsid w:val="00C23AB7"/>
    <w:rsid w:val="00C24740"/>
    <w:rsid w:val="00C25151"/>
    <w:rsid w:val="00C417AD"/>
    <w:rsid w:val="00C41A6B"/>
    <w:rsid w:val="00C45283"/>
    <w:rsid w:val="00C523DF"/>
    <w:rsid w:val="00C56BEB"/>
    <w:rsid w:val="00C6249A"/>
    <w:rsid w:val="00C62F74"/>
    <w:rsid w:val="00C82527"/>
    <w:rsid w:val="00C8254B"/>
    <w:rsid w:val="00C832EC"/>
    <w:rsid w:val="00C83C63"/>
    <w:rsid w:val="00C844F4"/>
    <w:rsid w:val="00C912A6"/>
    <w:rsid w:val="00CA636F"/>
    <w:rsid w:val="00CB4965"/>
    <w:rsid w:val="00CB65ED"/>
    <w:rsid w:val="00CC07CD"/>
    <w:rsid w:val="00CD1471"/>
    <w:rsid w:val="00CD3C3D"/>
    <w:rsid w:val="00CE3714"/>
    <w:rsid w:val="00CE54AB"/>
    <w:rsid w:val="00CE5BDF"/>
    <w:rsid w:val="00CE6B61"/>
    <w:rsid w:val="00CE7436"/>
    <w:rsid w:val="00D05214"/>
    <w:rsid w:val="00D1223C"/>
    <w:rsid w:val="00D1381D"/>
    <w:rsid w:val="00D22EC3"/>
    <w:rsid w:val="00D24627"/>
    <w:rsid w:val="00D24AA1"/>
    <w:rsid w:val="00D25A6E"/>
    <w:rsid w:val="00D26059"/>
    <w:rsid w:val="00D26357"/>
    <w:rsid w:val="00D27959"/>
    <w:rsid w:val="00D27A05"/>
    <w:rsid w:val="00D32F68"/>
    <w:rsid w:val="00D35A2D"/>
    <w:rsid w:val="00D40DFE"/>
    <w:rsid w:val="00D4245D"/>
    <w:rsid w:val="00D43431"/>
    <w:rsid w:val="00D45B2B"/>
    <w:rsid w:val="00D469D8"/>
    <w:rsid w:val="00D47936"/>
    <w:rsid w:val="00D542DE"/>
    <w:rsid w:val="00D54E60"/>
    <w:rsid w:val="00D604FB"/>
    <w:rsid w:val="00D6509C"/>
    <w:rsid w:val="00D72BFD"/>
    <w:rsid w:val="00D8703D"/>
    <w:rsid w:val="00D9332D"/>
    <w:rsid w:val="00DA004C"/>
    <w:rsid w:val="00DA676F"/>
    <w:rsid w:val="00DB4675"/>
    <w:rsid w:val="00DC6544"/>
    <w:rsid w:val="00DC7B3D"/>
    <w:rsid w:val="00DD0856"/>
    <w:rsid w:val="00DD45ED"/>
    <w:rsid w:val="00DE0959"/>
    <w:rsid w:val="00DF2B46"/>
    <w:rsid w:val="00E012F0"/>
    <w:rsid w:val="00E0244E"/>
    <w:rsid w:val="00E05FB4"/>
    <w:rsid w:val="00E11796"/>
    <w:rsid w:val="00E131C8"/>
    <w:rsid w:val="00E22E97"/>
    <w:rsid w:val="00E237B4"/>
    <w:rsid w:val="00E26C36"/>
    <w:rsid w:val="00E337C7"/>
    <w:rsid w:val="00E3492D"/>
    <w:rsid w:val="00E504AE"/>
    <w:rsid w:val="00E5443B"/>
    <w:rsid w:val="00E557C6"/>
    <w:rsid w:val="00E87004"/>
    <w:rsid w:val="00E96992"/>
    <w:rsid w:val="00EA70A8"/>
    <w:rsid w:val="00EA7A09"/>
    <w:rsid w:val="00EB5EDE"/>
    <w:rsid w:val="00EC6250"/>
    <w:rsid w:val="00ED1E02"/>
    <w:rsid w:val="00ED7AD4"/>
    <w:rsid w:val="00EF756D"/>
    <w:rsid w:val="00F0184F"/>
    <w:rsid w:val="00F038AD"/>
    <w:rsid w:val="00F05BF7"/>
    <w:rsid w:val="00F05DDE"/>
    <w:rsid w:val="00F05EC5"/>
    <w:rsid w:val="00F0702F"/>
    <w:rsid w:val="00F07730"/>
    <w:rsid w:val="00F22E09"/>
    <w:rsid w:val="00F255C7"/>
    <w:rsid w:val="00F31204"/>
    <w:rsid w:val="00F3740A"/>
    <w:rsid w:val="00F40202"/>
    <w:rsid w:val="00F44A79"/>
    <w:rsid w:val="00F51B0F"/>
    <w:rsid w:val="00F55707"/>
    <w:rsid w:val="00F6630E"/>
    <w:rsid w:val="00F7004B"/>
    <w:rsid w:val="00F72A61"/>
    <w:rsid w:val="00F84774"/>
    <w:rsid w:val="00F87C04"/>
    <w:rsid w:val="00F92B16"/>
    <w:rsid w:val="00F9426A"/>
    <w:rsid w:val="00FA0F56"/>
    <w:rsid w:val="00FA26F5"/>
    <w:rsid w:val="00FA45D3"/>
    <w:rsid w:val="00FA4FBE"/>
    <w:rsid w:val="00FB2A5D"/>
    <w:rsid w:val="00FB2EC0"/>
    <w:rsid w:val="00FB3753"/>
    <w:rsid w:val="00FB43FF"/>
    <w:rsid w:val="00FB6808"/>
    <w:rsid w:val="00FC0DF6"/>
    <w:rsid w:val="00FC44FB"/>
    <w:rsid w:val="00FC6524"/>
    <w:rsid w:val="00FD11D6"/>
    <w:rsid w:val="00FD2675"/>
    <w:rsid w:val="00FD790B"/>
    <w:rsid w:val="00FE46C8"/>
    <w:rsid w:val="00FF2FFC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29FC4F"/>
  <w14:defaultImageDpi w14:val="32767"/>
  <w15:docId w15:val="{E58CD7ED-1B7D-4D54-A82B-306F277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C3D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fCri">
    <w:name w:val="Perf Cri"/>
    <w:basedOn w:val="Normal"/>
    <w:qFormat/>
    <w:rsid w:val="00927C3D"/>
    <w:pPr>
      <w:spacing w:after="0" w:line="240" w:lineRule="auto"/>
      <w:ind w:left="720" w:hanging="720"/>
    </w:pPr>
    <w:rPr>
      <w:rFonts w:eastAsia="Calibri"/>
      <w:lang w:eastAsia="en-AU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spacing w:before="120" w:after="120"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A44EE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D1E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40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6f3f9672-30e8-4835-b348-205dfcf13d9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re\Downloads\New%20unit-dotx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A99A-F7A0-4C40-863D-7EC0A2C5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unit-dotx-template</Template>
  <TotalTime>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Campbell</dc:creator>
  <cp:lastModifiedBy>Frances Lamb</cp:lastModifiedBy>
  <cp:revision>2</cp:revision>
  <cp:lastPrinted>2019-01-24T01:04:00Z</cp:lastPrinted>
  <dcterms:created xsi:type="dcterms:W3CDTF">2019-03-01T03:17:00Z</dcterms:created>
  <dcterms:modified xsi:type="dcterms:W3CDTF">2019-03-01T03:17:00Z</dcterms:modified>
</cp:coreProperties>
</file>