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7697" w14:textId="77777777"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7509334D" w14:textId="77777777" w:rsidR="00851BF0" w:rsidRPr="00851BF0" w:rsidRDefault="00851BF0" w:rsidP="00851BF0">
      <w:pPr>
        <w:pStyle w:val="Title"/>
        <w:rPr>
          <w:rFonts w:ascii="Calibri" w:hAnsi="Calibri" w:cs="Calibri"/>
          <w:color w:val="000000" w:themeColor="text1"/>
          <w:sz w:val="36"/>
        </w:rPr>
      </w:pPr>
    </w:p>
    <w:p w14:paraId="7D0216DE" w14:textId="3702779C"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DB38E2">
        <w:rPr>
          <w:rFonts w:ascii="Calibri" w:hAnsi="Calibri" w:cs="Calibri"/>
          <w:color w:val="000000" w:themeColor="text1"/>
          <w:sz w:val="22"/>
          <w:szCs w:val="22"/>
        </w:rPr>
        <w:t>C</w:t>
      </w:r>
      <w:r w:rsidR="008A4304">
        <w:rPr>
          <w:rFonts w:ascii="Calibri" w:hAnsi="Calibri" w:cs="Calibri"/>
          <w:color w:val="000000" w:themeColor="text1"/>
          <w:sz w:val="22"/>
          <w:szCs w:val="22"/>
        </w:rPr>
        <w:t>3</w:t>
      </w:r>
      <w:r w:rsidRPr="00851BF0">
        <w:rPr>
          <w:rFonts w:ascii="Calibri" w:hAnsi="Calibri" w:cs="Calibri"/>
          <w:color w:val="000000" w:themeColor="text1"/>
          <w:sz w:val="22"/>
          <w:szCs w:val="22"/>
        </w:rPr>
        <w:t xml:space="preserve">xx19 </w:t>
      </w:r>
    </w:p>
    <w:p w14:paraId="54343344" w14:textId="1C66F756"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r>
      <w:r w:rsidR="008A4304">
        <w:rPr>
          <w:rFonts w:ascii="Calibri" w:hAnsi="Calibri" w:cs="Calibri"/>
          <w:color w:val="000000" w:themeColor="text1"/>
          <w:sz w:val="22"/>
          <w:szCs w:val="22"/>
        </w:rPr>
        <w:t xml:space="preserve">Certificate III in </w:t>
      </w:r>
      <w:r w:rsidR="005F1385">
        <w:rPr>
          <w:rFonts w:ascii="Calibri" w:hAnsi="Calibri" w:cs="Calibri"/>
          <w:color w:val="000000" w:themeColor="text1"/>
          <w:sz w:val="22"/>
          <w:szCs w:val="22"/>
        </w:rPr>
        <w:t>Scaffolding</w:t>
      </w:r>
    </w:p>
    <w:p w14:paraId="719F91D7" w14:textId="77777777" w:rsidR="00851BF0" w:rsidRPr="00851BF0" w:rsidRDefault="00851BF0" w:rsidP="00851BF0">
      <w:pPr>
        <w:rPr>
          <w:rFonts w:cs="Calibri"/>
          <w:color w:val="000000" w:themeColor="text1"/>
        </w:rPr>
      </w:pPr>
    </w:p>
    <w:p w14:paraId="11AAD2A7"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7EDDBDD0" w14:textId="77777777" w:rsidR="005F1385" w:rsidRPr="005F1385" w:rsidRDefault="001E7615" w:rsidP="005F1385">
      <w:pPr>
        <w:shd w:val="clear" w:color="auto" w:fill="FFFFFF"/>
        <w:spacing w:after="120"/>
        <w:rPr>
          <w:rFonts w:cs="Arial"/>
          <w:szCs w:val="22"/>
        </w:rPr>
      </w:pPr>
      <w:r>
        <w:rPr>
          <w:rFonts w:cs="Arial"/>
          <w:szCs w:val="22"/>
        </w:rPr>
        <w:t xml:space="preserve">This </w:t>
      </w:r>
      <w:r w:rsidR="005F1385" w:rsidRPr="005F1385">
        <w:rPr>
          <w:rFonts w:cs="Arial"/>
          <w:szCs w:val="22"/>
        </w:rPr>
        <w:t>qualification provides a trade outcome in scaffolding operations in the residential and commercial construction industry.</w:t>
      </w:r>
    </w:p>
    <w:p w14:paraId="5A1AED77" w14:textId="77777777" w:rsidR="005F1385" w:rsidRPr="005F1385" w:rsidRDefault="005F1385" w:rsidP="005F1385">
      <w:pPr>
        <w:shd w:val="clear" w:color="auto" w:fill="FFFFFF"/>
        <w:spacing w:after="120"/>
        <w:rPr>
          <w:rFonts w:cs="Arial"/>
          <w:szCs w:val="22"/>
        </w:rPr>
      </w:pPr>
      <w:r w:rsidRPr="005F1385">
        <w:rPr>
          <w:rFonts w:cs="Arial"/>
          <w:szCs w:val="22"/>
        </w:rPr>
        <w:t>Occupational titles may include:</w:t>
      </w:r>
    </w:p>
    <w:p w14:paraId="5614E12B" w14:textId="77777777" w:rsidR="005F1385" w:rsidRPr="005F1385" w:rsidRDefault="005F1385" w:rsidP="005F1385">
      <w:pPr>
        <w:pStyle w:val="ListParagraph"/>
        <w:numPr>
          <w:ilvl w:val="0"/>
          <w:numId w:val="30"/>
        </w:numPr>
        <w:shd w:val="clear" w:color="auto" w:fill="FFFFFF"/>
        <w:spacing w:after="120"/>
        <w:rPr>
          <w:rFonts w:cs="Arial"/>
          <w:szCs w:val="22"/>
        </w:rPr>
      </w:pPr>
      <w:r w:rsidRPr="005F1385">
        <w:rPr>
          <w:rFonts w:cs="Arial"/>
          <w:szCs w:val="22"/>
        </w:rPr>
        <w:t>Scaffolder.</w:t>
      </w:r>
    </w:p>
    <w:p w14:paraId="316D7E61" w14:textId="77777777" w:rsidR="005F1385" w:rsidRPr="005F1385" w:rsidRDefault="005F1385" w:rsidP="005F1385">
      <w:pPr>
        <w:shd w:val="clear" w:color="auto" w:fill="FFFFFF"/>
        <w:spacing w:after="120"/>
        <w:rPr>
          <w:rFonts w:cs="Arial"/>
          <w:szCs w:val="22"/>
        </w:rPr>
      </w:pPr>
      <w:r w:rsidRPr="005F1385">
        <w:rPr>
          <w:rFonts w:cs="Arial"/>
          <w:szCs w:val="22"/>
        </w:rPr>
        <w:t>The qualification has core unit of competency requirements that cover common skills for the construction industry, as well as a specialist field of work.</w:t>
      </w:r>
    </w:p>
    <w:p w14:paraId="2B84B802" w14:textId="77777777" w:rsidR="005F1385" w:rsidRPr="005F1385" w:rsidRDefault="005F1385" w:rsidP="005F1385">
      <w:pPr>
        <w:shd w:val="clear" w:color="auto" w:fill="FFFFFF"/>
        <w:spacing w:after="120"/>
        <w:rPr>
          <w:rFonts w:cs="Arial"/>
          <w:szCs w:val="22"/>
        </w:rPr>
      </w:pPr>
      <w:r w:rsidRPr="005F1385">
        <w:rPr>
          <w:rFonts w:cs="Arial"/>
          <w:szCs w:val="22"/>
        </w:rPr>
        <w:t>The construction industry strongly affirms that training and assessment leading to recognition of skills must be undertaken in a real or very closely simulated workplace environment and this qualification requires all units of competency to be delivered in this context.</w:t>
      </w:r>
    </w:p>
    <w:p w14:paraId="2F7C3C51" w14:textId="4FEAA5BF" w:rsidR="00851BF0" w:rsidRPr="009958EE" w:rsidRDefault="005F1385" w:rsidP="005F1385">
      <w:pPr>
        <w:shd w:val="clear" w:color="auto" w:fill="FFFFFF"/>
        <w:spacing w:after="120"/>
        <w:rPr>
          <w:rFonts w:cs="Arial"/>
          <w:szCs w:val="22"/>
        </w:rPr>
      </w:pPr>
      <w:r w:rsidRPr="005F1385">
        <w:rPr>
          <w:rFonts w:cs="Arial"/>
          <w:szCs w:val="22"/>
        </w:rPr>
        <w:t>Completion of the general induction training program specified by the National Code of Practice for Induction Training for Construction Work (ASCC 2007) is required before entering a construction work site. Achievement of unit CPCCOHS1001A covers this requirement</w:t>
      </w:r>
      <w:r w:rsidR="00F80473" w:rsidRPr="00F80473">
        <w:rPr>
          <w:rFonts w:cs="Arial"/>
          <w:szCs w:val="22"/>
        </w:rPr>
        <w:t xml:space="preserve">. </w:t>
      </w:r>
    </w:p>
    <w:p w14:paraId="4C22AC58"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14:paraId="693A794B" w14:textId="77777777" w:rsidR="00851BF0" w:rsidRPr="009958EE" w:rsidRDefault="00851BF0" w:rsidP="009958EE">
      <w:pPr>
        <w:shd w:val="clear" w:color="auto" w:fill="FFFFFF"/>
        <w:spacing w:after="120"/>
        <w:rPr>
          <w:rFonts w:cs="Arial"/>
          <w:szCs w:val="22"/>
        </w:rPr>
      </w:pPr>
      <w:r w:rsidRPr="009958EE">
        <w:rPr>
          <w:rFonts w:cs="Arial"/>
          <w:szCs w:val="22"/>
        </w:rPr>
        <w:t>There are no entry requirements for this qualification.</w:t>
      </w:r>
    </w:p>
    <w:p w14:paraId="034C1D79"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p>
    <w:p w14:paraId="6F546862" w14:textId="77777777" w:rsidR="005F1385" w:rsidRPr="005F1385" w:rsidRDefault="009958EE" w:rsidP="005F1385">
      <w:pPr>
        <w:shd w:val="clear" w:color="auto" w:fill="FFFFFF"/>
        <w:spacing w:after="120"/>
        <w:rPr>
          <w:rFonts w:cs="Arial"/>
          <w:szCs w:val="22"/>
        </w:rPr>
      </w:pPr>
      <w:bookmarkStart w:id="1" w:name="_Hlk515360770"/>
      <w:r w:rsidRPr="009958EE">
        <w:rPr>
          <w:rFonts w:cs="Arial"/>
          <w:szCs w:val="22"/>
        </w:rPr>
        <w:t xml:space="preserve">To </w:t>
      </w:r>
      <w:r w:rsidR="005F1385" w:rsidRPr="005F1385">
        <w:rPr>
          <w:rFonts w:cs="Arial"/>
          <w:szCs w:val="22"/>
        </w:rPr>
        <w:t>achieve this qualification, the candidate must demonstrate competency in:</w:t>
      </w:r>
    </w:p>
    <w:p w14:paraId="14357688" w14:textId="77777777" w:rsidR="005F1385" w:rsidRPr="005F1385" w:rsidRDefault="005F1385" w:rsidP="005F1385">
      <w:pPr>
        <w:pStyle w:val="ListParagraph"/>
        <w:numPr>
          <w:ilvl w:val="0"/>
          <w:numId w:val="30"/>
        </w:numPr>
        <w:shd w:val="clear" w:color="auto" w:fill="FFFFFF"/>
        <w:spacing w:after="120"/>
        <w:rPr>
          <w:rFonts w:cs="Arial"/>
          <w:szCs w:val="22"/>
        </w:rPr>
      </w:pPr>
      <w:r w:rsidRPr="005F1385">
        <w:rPr>
          <w:rFonts w:cs="Arial"/>
          <w:szCs w:val="22"/>
        </w:rPr>
        <w:t>13 units of competency:</w:t>
      </w:r>
    </w:p>
    <w:p w14:paraId="62110DDB" w14:textId="77777777" w:rsidR="005F1385" w:rsidRPr="005F1385" w:rsidRDefault="005F1385" w:rsidP="005F1385">
      <w:pPr>
        <w:pStyle w:val="ListParagraph"/>
        <w:numPr>
          <w:ilvl w:val="1"/>
          <w:numId w:val="30"/>
        </w:numPr>
        <w:shd w:val="clear" w:color="auto" w:fill="FFFFFF"/>
        <w:spacing w:after="120"/>
        <w:rPr>
          <w:rFonts w:cs="Arial"/>
          <w:szCs w:val="22"/>
        </w:rPr>
      </w:pPr>
      <w:r w:rsidRPr="005F1385">
        <w:rPr>
          <w:rFonts w:cs="Arial"/>
          <w:szCs w:val="22"/>
        </w:rPr>
        <w:t>9 core units</w:t>
      </w:r>
    </w:p>
    <w:p w14:paraId="434D6B37" w14:textId="77777777" w:rsidR="005F1385" w:rsidRPr="005F1385" w:rsidRDefault="005F1385" w:rsidP="005F1385">
      <w:pPr>
        <w:pStyle w:val="ListParagraph"/>
        <w:numPr>
          <w:ilvl w:val="1"/>
          <w:numId w:val="30"/>
        </w:numPr>
        <w:shd w:val="clear" w:color="auto" w:fill="FFFFFF"/>
        <w:spacing w:after="120"/>
        <w:rPr>
          <w:rFonts w:cs="Arial"/>
          <w:szCs w:val="22"/>
        </w:rPr>
      </w:pPr>
      <w:r w:rsidRPr="005F1385">
        <w:rPr>
          <w:rFonts w:cs="Arial"/>
          <w:szCs w:val="22"/>
        </w:rPr>
        <w:t>4 elective units.</w:t>
      </w:r>
    </w:p>
    <w:p w14:paraId="3384B71E" w14:textId="0C1702F6" w:rsidR="00F80473" w:rsidRDefault="005F1385" w:rsidP="005F1385">
      <w:pPr>
        <w:shd w:val="clear" w:color="auto" w:fill="FFFFFF"/>
        <w:spacing w:after="120"/>
        <w:rPr>
          <w:rFonts w:cs="Arial"/>
          <w:szCs w:val="22"/>
        </w:rPr>
      </w:pPr>
      <w:r w:rsidRPr="005F1385">
        <w:rPr>
          <w:rFonts w:cs="Arial"/>
          <w:szCs w:val="22"/>
        </w:rPr>
        <w:t>A maximum of one of the four required elective units may be substituted by selecting relevant units of competency from any Certificate III or IV construction qualification or qualification in another endorsed Training Package</w:t>
      </w:r>
      <w:r w:rsidR="00F80473">
        <w:rPr>
          <w:rFonts w:cs="Arial"/>
          <w:szCs w:val="22"/>
        </w:rPr>
        <w:t>.</w:t>
      </w:r>
    </w:p>
    <w:p w14:paraId="762D22DF" w14:textId="29EE3C1C" w:rsidR="00851BF0" w:rsidRPr="008A4304" w:rsidRDefault="008A4304" w:rsidP="00F80473">
      <w:pPr>
        <w:shd w:val="clear" w:color="auto" w:fill="FFFFFF"/>
        <w:spacing w:after="120"/>
        <w:rPr>
          <w:rFonts w:cs="Arial"/>
          <w:szCs w:val="22"/>
        </w:rPr>
      </w:pPr>
      <w:r w:rsidRPr="008A4304">
        <w:rPr>
          <w:rFonts w:cs="Arial"/>
          <w:szCs w:val="22"/>
        </w:rPr>
        <w:t>Some units in this qualification have prerequisite requirements, which must be met when packaging the qualification. Users are referred to the list of CPC08 units with prerequisite unit requirements available in this Training Package for this purpose.</w:t>
      </w:r>
    </w:p>
    <w:bookmarkEnd w:id="1"/>
    <w:p w14:paraId="3C9FB5EE" w14:textId="77777777" w:rsidR="00851BF0" w:rsidRPr="009958EE"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5F1385" w:rsidRPr="005049C5" w14:paraId="452A8E33"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bookmarkEnd w:id="0"/>
          <w:p w14:paraId="56133B1C" w14:textId="180744A4" w:rsidR="005F1385" w:rsidRPr="008E5438" w:rsidRDefault="005F1385" w:rsidP="005F1385">
            <w:r w:rsidRPr="00146BF9">
              <w:t>CPCCCM1012A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ACF7E3C" w14:textId="76068586" w:rsidR="005F1385" w:rsidRPr="008E5438" w:rsidRDefault="005F1385" w:rsidP="005F1385">
            <w:r w:rsidRPr="00146BF9">
              <w:t>Work effectively and sustainably in the construction industry</w:t>
            </w:r>
          </w:p>
        </w:tc>
      </w:tr>
      <w:tr w:rsidR="005F1385" w:rsidRPr="005049C5" w14:paraId="651A1E03"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C9E2288" w14:textId="141E9093" w:rsidR="005F1385" w:rsidRPr="008E5438" w:rsidRDefault="005F1385" w:rsidP="005F1385">
            <w:r w:rsidRPr="00146BF9">
              <w:t>CPCCCM1013A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99F7361" w14:textId="6CBC9421" w:rsidR="005F1385" w:rsidRPr="008E5438" w:rsidRDefault="005F1385" w:rsidP="005F1385">
            <w:r w:rsidRPr="00146BF9">
              <w:t>Plan and organise work</w:t>
            </w:r>
          </w:p>
        </w:tc>
      </w:tr>
      <w:tr w:rsidR="005F1385" w:rsidRPr="005049C5" w14:paraId="4C0D3D58"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5FE47C3" w14:textId="1DDF5E50" w:rsidR="005F1385" w:rsidRPr="008E5438" w:rsidRDefault="005F1385" w:rsidP="005F1385">
            <w:r w:rsidRPr="00146BF9">
              <w:t>CPCCCM1014A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713C22D" w14:textId="1C7058C3" w:rsidR="005F1385" w:rsidRPr="008E5438" w:rsidRDefault="005F1385" w:rsidP="005F1385">
            <w:r w:rsidRPr="00146BF9">
              <w:t>Conduct workplace communication</w:t>
            </w:r>
          </w:p>
        </w:tc>
      </w:tr>
      <w:tr w:rsidR="005F1385" w:rsidRPr="005049C5" w14:paraId="202EF539"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2F742B2" w14:textId="24207435" w:rsidR="005F1385" w:rsidRPr="008E5438" w:rsidRDefault="005F1385" w:rsidP="005F1385">
            <w:r w:rsidRPr="00146BF9">
              <w:t>CPCCCM1015A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2C66574" w14:textId="616D1C1D" w:rsidR="005F1385" w:rsidRPr="008E5438" w:rsidRDefault="005F1385" w:rsidP="005F1385">
            <w:r w:rsidRPr="00146BF9">
              <w:t>Carry out measurements and calculations</w:t>
            </w:r>
          </w:p>
        </w:tc>
      </w:tr>
      <w:tr w:rsidR="005F1385" w:rsidRPr="005049C5" w14:paraId="1BD7D74E"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965EE0E" w14:textId="6E9EB4BA" w:rsidR="005F1385" w:rsidRPr="008E5438" w:rsidRDefault="005F1385" w:rsidP="005F1385">
            <w:r w:rsidRPr="00146BF9">
              <w:t>CPCCCM2001A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66A6CAB" w14:textId="56C02CC0" w:rsidR="005F1385" w:rsidRPr="008E5438" w:rsidRDefault="005F1385" w:rsidP="005F1385">
            <w:r w:rsidRPr="00146BF9">
              <w:t>Read and interpret plans and specifications</w:t>
            </w:r>
          </w:p>
        </w:tc>
      </w:tr>
      <w:tr w:rsidR="005F1385" w:rsidRPr="005049C5" w14:paraId="0AA65F1E"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4F563A3" w14:textId="77746A73" w:rsidR="005F1385" w:rsidRPr="008E5438" w:rsidRDefault="005F1385" w:rsidP="005F1385">
            <w:r w:rsidRPr="00146BF9">
              <w:t>CPCCOHS2001A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4FC35BC" w14:textId="41269F8F" w:rsidR="005F1385" w:rsidRPr="008E5438" w:rsidRDefault="005F1385" w:rsidP="005F1385">
            <w:r w:rsidRPr="00146BF9">
              <w:t>Apply OHS requirements, policies and procedures in the construction industry</w:t>
            </w:r>
          </w:p>
        </w:tc>
      </w:tr>
    </w:tbl>
    <w:p w14:paraId="06B8D50A" w14:textId="77777777" w:rsidR="005F1385" w:rsidRDefault="005F1385" w:rsidP="008A4304">
      <w:pPr>
        <w:spacing w:after="160" w:line="259" w:lineRule="auto"/>
        <w:rPr>
          <w:rFonts w:cs="Calibri"/>
          <w:b/>
          <w:color w:val="000000" w:themeColor="text1"/>
        </w:rPr>
      </w:pPr>
    </w:p>
    <w:p w14:paraId="246FE5EB" w14:textId="1B51D605" w:rsidR="008A4304" w:rsidRDefault="005F1385" w:rsidP="008A4304">
      <w:pPr>
        <w:spacing w:after="160" w:line="259" w:lineRule="auto"/>
        <w:rPr>
          <w:rFonts w:cs="Calibri"/>
          <w:b/>
          <w:color w:val="000000" w:themeColor="text1"/>
        </w:rPr>
      </w:pPr>
      <w:r>
        <w:rPr>
          <w:rFonts w:cs="Calibri"/>
          <w:b/>
          <w:color w:val="000000" w:themeColor="text1"/>
        </w:rPr>
        <w:t>Scaffolding – basic and intermediate</w:t>
      </w:r>
      <w:r w:rsidR="00F80473">
        <w:rPr>
          <w:rFonts w:cs="Calibri"/>
          <w:b/>
          <w:color w:val="000000" w:themeColor="text1"/>
        </w:rPr>
        <w:t xml:space="preserve"> field of work</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5F1385" w:rsidRPr="005049C5" w14:paraId="07F9941C" w14:textId="77777777" w:rsidTr="000D06A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3D43B17" w14:textId="52915948" w:rsidR="005F1385" w:rsidRPr="00AF52F4" w:rsidRDefault="005F1385" w:rsidP="005F1385">
            <w:r w:rsidRPr="00646474">
              <w:lastRenderedPageBreak/>
              <w:t>CPCCSC2001A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FEBE694" w14:textId="0125056A" w:rsidR="005F1385" w:rsidRPr="00AF52F4" w:rsidRDefault="005F1385" w:rsidP="005F1385">
            <w:r w:rsidRPr="00646474">
              <w:t>Safely handle and use scaffolding tools and equipment</w:t>
            </w:r>
          </w:p>
        </w:tc>
      </w:tr>
      <w:tr w:rsidR="005F1385" w:rsidRPr="005049C5" w14:paraId="4B08C218" w14:textId="77777777" w:rsidTr="000D06A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540D69B" w14:textId="26697AC2" w:rsidR="005F1385" w:rsidRPr="008A4304" w:rsidRDefault="005F1385" w:rsidP="005F1385">
            <w:r w:rsidRPr="00646474">
              <w:t>CPCCLSF2001A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375D8BE" w14:textId="3F5127C3" w:rsidR="005F1385" w:rsidRPr="008A4304" w:rsidRDefault="005F1385" w:rsidP="005F1385">
            <w:r w:rsidRPr="00646474">
              <w:t>Licence to erect, alter and dismantle scaffolding basic level</w:t>
            </w:r>
          </w:p>
        </w:tc>
      </w:tr>
      <w:tr w:rsidR="005F1385" w:rsidRPr="005049C5" w14:paraId="7394229F" w14:textId="77777777" w:rsidTr="000D06A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8EFA42F" w14:textId="709879A6" w:rsidR="005F1385" w:rsidRPr="00800D8C" w:rsidRDefault="005F1385" w:rsidP="005F1385">
            <w:r w:rsidRPr="00646474">
              <w:t>CPCCLSF3001A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C7A86DA" w14:textId="55D2DDB2" w:rsidR="005F1385" w:rsidRPr="00800D8C" w:rsidRDefault="005F1385" w:rsidP="005F1385">
            <w:r w:rsidRPr="00646474">
              <w:t>Licence to erect, alter and dismantle scaffolding intermediate level</w:t>
            </w:r>
          </w:p>
        </w:tc>
      </w:tr>
    </w:tbl>
    <w:p w14:paraId="64A5733D" w14:textId="77777777" w:rsidR="003A1295" w:rsidRPr="00851BF0" w:rsidRDefault="003A1295" w:rsidP="00851BF0">
      <w:pPr>
        <w:rPr>
          <w:rFonts w:cs="Calibri"/>
          <w:b/>
          <w:color w:val="000000" w:themeColor="text1"/>
        </w:rPr>
      </w:pPr>
    </w:p>
    <w:p w14:paraId="0371E62F" w14:textId="347F9C3D" w:rsidR="008448F6" w:rsidRDefault="008448F6" w:rsidP="008448F6">
      <w:pPr>
        <w:spacing w:after="160" w:line="259" w:lineRule="auto"/>
        <w:rPr>
          <w:rFonts w:cs="Calibri"/>
          <w:b/>
          <w:color w:val="000000" w:themeColor="text1"/>
        </w:rPr>
      </w:pPr>
      <w:bookmarkStart w:id="2" w:name="_Hlk526164871"/>
      <w:r>
        <w:rPr>
          <w:rFonts w:cs="Calibri"/>
          <w:b/>
          <w:color w:val="000000" w:themeColor="text1"/>
        </w:rPr>
        <w:t>Elective Units</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5F1385" w:rsidRPr="005049C5" w14:paraId="3B9D5FD2"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bookmarkEnd w:id="2"/>
          <w:p w14:paraId="686836BA" w14:textId="622E793D" w:rsidR="005F1385" w:rsidRPr="00AF52F4" w:rsidRDefault="005F1385" w:rsidP="005F1385">
            <w:r w:rsidRPr="006B7469">
              <w:t>BSBSMB301</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1086F2A" w14:textId="62D7F570" w:rsidR="005F1385" w:rsidRPr="00AF52F4" w:rsidRDefault="005F1385" w:rsidP="005F1385">
            <w:r w:rsidRPr="006B7469">
              <w:t>Investigate micro business opportunities</w:t>
            </w:r>
          </w:p>
        </w:tc>
      </w:tr>
      <w:tr w:rsidR="005F1385" w:rsidRPr="005049C5" w14:paraId="0386A15C"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3D1669C" w14:textId="331ECFAC" w:rsidR="005F1385" w:rsidRPr="00AF52F4" w:rsidRDefault="005F1385" w:rsidP="005F1385">
            <w:r w:rsidRPr="006B7469">
              <w:t>BSBSMB406</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35A1FE7" w14:textId="031674AB" w:rsidR="005F1385" w:rsidRPr="00AF52F4" w:rsidRDefault="005F1385" w:rsidP="005F1385">
            <w:r w:rsidRPr="006B7469">
              <w:t>Manage small business finances</w:t>
            </w:r>
          </w:p>
        </w:tc>
      </w:tr>
      <w:tr w:rsidR="005F1385" w:rsidRPr="005049C5" w14:paraId="64AEB952"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18E3CA7" w14:textId="36F9FF7D" w:rsidR="005F1385" w:rsidRPr="00AF52F4" w:rsidRDefault="005F1385" w:rsidP="005F1385">
            <w:r w:rsidRPr="006B7469">
              <w:t>CPCCCM2007B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8B9A2FD" w14:textId="1E7F6BDC" w:rsidR="005F1385" w:rsidRPr="00AF52F4" w:rsidRDefault="005F1385" w:rsidP="005F1385">
            <w:r w:rsidRPr="006B7469">
              <w:t>Use explosive power tools</w:t>
            </w:r>
          </w:p>
        </w:tc>
      </w:tr>
      <w:tr w:rsidR="005F1385" w:rsidRPr="005049C5" w14:paraId="5A5D2D66"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BC79AF7" w14:textId="1EDF5189" w:rsidR="005F1385" w:rsidRPr="00AF52F4" w:rsidRDefault="005F1385" w:rsidP="005F1385">
            <w:r w:rsidRPr="006B7469">
              <w:t>CPCCCM2010B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390F03D" w14:textId="70AF4350" w:rsidR="005F1385" w:rsidRPr="00AF52F4" w:rsidRDefault="005F1385" w:rsidP="005F1385">
            <w:r w:rsidRPr="006B7469">
              <w:t>Work safely at heights</w:t>
            </w:r>
          </w:p>
        </w:tc>
      </w:tr>
      <w:tr w:rsidR="005F1385" w:rsidRPr="005049C5" w14:paraId="743573C0"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58C9FFB" w14:textId="03A90801" w:rsidR="005F1385" w:rsidRPr="00AF52F4" w:rsidRDefault="005F1385" w:rsidP="005F1385">
            <w:r w:rsidRPr="006B7469">
              <w:t>CPCCCM3001C</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EE221BE" w14:textId="7C50A862" w:rsidR="005F1385" w:rsidRPr="00AF52F4" w:rsidRDefault="005F1385" w:rsidP="005F1385">
            <w:r w:rsidRPr="006B7469">
              <w:t>Operate elevated work platforms</w:t>
            </w:r>
          </w:p>
        </w:tc>
      </w:tr>
      <w:tr w:rsidR="005F1385" w:rsidRPr="005049C5" w14:paraId="06785FCF"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91D37B1" w14:textId="0E179C74" w:rsidR="005F1385" w:rsidRPr="00AF52F4" w:rsidRDefault="005F1385" w:rsidP="005F1385">
            <w:r w:rsidRPr="006B7469">
              <w:t>CPCCCM3002A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0EE712B" w14:textId="4F3EB810" w:rsidR="005F1385" w:rsidRPr="00AF52F4" w:rsidRDefault="005F1385" w:rsidP="005F1385">
            <w:r w:rsidRPr="006B7469">
              <w:t>Operate a truck mounted loading crane</w:t>
            </w:r>
          </w:p>
        </w:tc>
      </w:tr>
      <w:tr w:rsidR="005F1385" w:rsidRPr="005049C5" w14:paraId="5A1093D5"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DC82569" w14:textId="34280A8A" w:rsidR="005F1385" w:rsidRPr="0090268C" w:rsidRDefault="005F1385" w:rsidP="005F1385">
            <w:r w:rsidRPr="006B7469">
              <w:t>CPCCLDG3001A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2503512" w14:textId="7F2929F8" w:rsidR="005F1385" w:rsidRPr="0090268C" w:rsidRDefault="005F1385" w:rsidP="005F1385">
            <w:r w:rsidRPr="006B7469">
              <w:t>Licence to perform dogging</w:t>
            </w:r>
          </w:p>
        </w:tc>
      </w:tr>
      <w:tr w:rsidR="005F1385" w:rsidRPr="005049C5" w14:paraId="1066C9E9"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A69E312" w14:textId="693C0720" w:rsidR="005F1385" w:rsidRPr="0090268C" w:rsidRDefault="005F1385" w:rsidP="005F1385">
            <w:r w:rsidRPr="006B7469">
              <w:t>CPCCRI3001A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B38E2EF" w14:textId="3EEA5687" w:rsidR="005F1385" w:rsidRPr="0090268C" w:rsidRDefault="005F1385" w:rsidP="005F1385">
            <w:r w:rsidRPr="006B7469">
              <w:t>Operate personnel and materials hoists</w:t>
            </w:r>
          </w:p>
        </w:tc>
      </w:tr>
      <w:tr w:rsidR="005F1385" w:rsidRPr="005049C5" w14:paraId="266F29D7"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8CFD11D" w14:textId="3F065535" w:rsidR="005F1385" w:rsidRPr="0090268C" w:rsidRDefault="005F1385" w:rsidP="005F1385">
            <w:r w:rsidRPr="006B7469">
              <w:t>CPCCSC2002A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7962752" w14:textId="70FF95C3" w:rsidR="005F1385" w:rsidRPr="0090268C" w:rsidRDefault="005F1385" w:rsidP="005F1385">
            <w:r w:rsidRPr="006B7469">
              <w:t>Erect and dismantle basic scaffolding</w:t>
            </w:r>
          </w:p>
        </w:tc>
      </w:tr>
      <w:tr w:rsidR="005F1385" w:rsidRPr="005049C5" w14:paraId="267488DE"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31CB930" w14:textId="18214CEF" w:rsidR="005F1385" w:rsidRPr="0090268C" w:rsidRDefault="005F1385" w:rsidP="005F1385">
            <w:r w:rsidRPr="006B7469">
              <w:t>CPCCSC3001A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FF93509" w14:textId="5091204D" w:rsidR="005F1385" w:rsidRPr="0090268C" w:rsidRDefault="005F1385" w:rsidP="005F1385">
            <w:r w:rsidRPr="006B7469">
              <w:t>Erect and dismantle intermediate scaffolding</w:t>
            </w:r>
          </w:p>
        </w:tc>
      </w:tr>
      <w:tr w:rsidR="005F1385" w:rsidRPr="005049C5" w14:paraId="5A1E75A5"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5D02851" w14:textId="6A90FBA4" w:rsidR="005F1385" w:rsidRPr="0090268C" w:rsidRDefault="005F1385" w:rsidP="005F1385">
            <w:r w:rsidRPr="006B7469">
              <w:t>CPCCSF2003A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DA766C5" w14:textId="5712C254" w:rsidR="005F1385" w:rsidRPr="0090268C" w:rsidRDefault="005F1385" w:rsidP="005F1385">
            <w:r w:rsidRPr="006B7469">
              <w:t>Cut and bend materials using oxy-LPG equipment</w:t>
            </w:r>
          </w:p>
        </w:tc>
      </w:tr>
      <w:tr w:rsidR="005F1385" w:rsidRPr="005049C5" w14:paraId="04805E00"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5C114EF" w14:textId="05B6051C" w:rsidR="005F1385" w:rsidRPr="0090268C" w:rsidRDefault="005F1385" w:rsidP="005F1385">
            <w:r w:rsidRPr="006B7469">
              <w:t>RIIWHS302D</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B4D0331" w14:textId="32EEA890" w:rsidR="005F1385" w:rsidRPr="0090268C" w:rsidRDefault="005F1385" w:rsidP="005F1385">
            <w:r w:rsidRPr="006B7469">
              <w:t>Implement traffic management plan</w:t>
            </w:r>
          </w:p>
        </w:tc>
      </w:tr>
      <w:tr w:rsidR="005F1385" w:rsidRPr="005049C5" w14:paraId="7237D245"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A4F96B9" w14:textId="17A1A73A" w:rsidR="005F1385" w:rsidRPr="006B7469" w:rsidRDefault="005F1385" w:rsidP="005F1385">
            <w:r w:rsidRPr="00442E52">
              <w:t>TLILIC2001</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A560CDA" w14:textId="2F991AA3" w:rsidR="005F1385" w:rsidRPr="006B7469" w:rsidRDefault="005F1385" w:rsidP="005F1385">
            <w:r w:rsidRPr="00442E52">
              <w:t>Licence to operate a forklift truck</w:t>
            </w:r>
          </w:p>
        </w:tc>
      </w:tr>
    </w:tbl>
    <w:p w14:paraId="587317EE" w14:textId="77777777" w:rsidR="00851BF0" w:rsidRPr="00851BF0" w:rsidRDefault="00851BF0" w:rsidP="00851BF0">
      <w:pPr>
        <w:rPr>
          <w:rFonts w:cs="Calibri"/>
          <w:color w:val="000000" w:themeColor="text1"/>
        </w:rPr>
      </w:pPr>
    </w:p>
    <w:p w14:paraId="5269F391"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393"/>
        <w:gridCol w:w="3212"/>
        <w:gridCol w:w="1309"/>
      </w:tblGrid>
      <w:tr w:rsidR="00851BF0" w:rsidRPr="00851BF0" w14:paraId="05D34F19" w14:textId="77777777" w:rsidTr="007C2137">
        <w:trPr>
          <w:trHeight w:hRule="exact" w:val="944"/>
        </w:trPr>
        <w:tc>
          <w:tcPr>
            <w:tcW w:w="1164" w:type="pct"/>
            <w:shd w:val="clear" w:color="auto" w:fill="auto"/>
            <w:hideMark/>
          </w:tcPr>
          <w:p w14:paraId="45B1EBA0"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14:paraId="55A92CD2" w14:textId="36B315B6" w:rsidR="00851BF0" w:rsidRPr="00851BF0" w:rsidRDefault="00851BF0" w:rsidP="007C2137">
            <w:pPr>
              <w:rPr>
                <w:rFonts w:cs="Calibri"/>
                <w:b/>
                <w:color w:val="000000" w:themeColor="text1"/>
              </w:rPr>
            </w:pPr>
            <w:r w:rsidRPr="00851BF0">
              <w:rPr>
                <w:rFonts w:cs="Calibri"/>
                <w:b/>
                <w:color w:val="000000" w:themeColor="text1"/>
              </w:rPr>
              <w:t>CP</w:t>
            </w:r>
            <w:r w:rsidR="00DB38E2">
              <w:rPr>
                <w:rFonts w:cs="Calibri"/>
                <w:b/>
                <w:color w:val="000000" w:themeColor="text1"/>
              </w:rPr>
              <w:t>C08</w:t>
            </w:r>
            <w:r w:rsidR="0005305E">
              <w:rPr>
                <w:rFonts w:cs="Calibri"/>
                <w:b/>
                <w:color w:val="000000" w:themeColor="text1"/>
              </w:rPr>
              <w:t xml:space="preserve"> Property Service Training Package</w:t>
            </w:r>
          </w:p>
        </w:tc>
        <w:tc>
          <w:tcPr>
            <w:tcW w:w="1783" w:type="pct"/>
            <w:shd w:val="clear" w:color="auto" w:fill="auto"/>
            <w:hideMark/>
          </w:tcPr>
          <w:p w14:paraId="56294A02"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5" w:type="pct"/>
            <w:shd w:val="clear" w:color="auto" w:fill="auto"/>
            <w:hideMark/>
          </w:tcPr>
          <w:p w14:paraId="090900C7" w14:textId="77777777" w:rsidR="00851BF0" w:rsidRPr="00851BF0" w:rsidRDefault="00851BF0" w:rsidP="007C2137">
            <w:pPr>
              <w:rPr>
                <w:rFonts w:cs="Calibri"/>
                <w:b/>
                <w:color w:val="000000" w:themeColor="text1"/>
              </w:rPr>
            </w:pPr>
            <w:r w:rsidRPr="00851BF0">
              <w:rPr>
                <w:rFonts w:cs="Calibri"/>
                <w:b/>
                <w:color w:val="000000" w:themeColor="text1"/>
              </w:rPr>
              <w:t>Anticipated</w:t>
            </w:r>
          </w:p>
          <w:p w14:paraId="396F81CC" w14:textId="77777777" w:rsidR="00851BF0" w:rsidRPr="00851BF0" w:rsidRDefault="00851BF0" w:rsidP="007C2137">
            <w:pPr>
              <w:rPr>
                <w:rFonts w:cs="Calibri"/>
                <w:b/>
                <w:color w:val="000000" w:themeColor="text1"/>
              </w:rPr>
            </w:pPr>
            <w:r w:rsidRPr="00851BF0">
              <w:rPr>
                <w:rFonts w:cs="Calibri"/>
                <w:b/>
                <w:color w:val="000000" w:themeColor="text1"/>
              </w:rPr>
              <w:t>equivalency statement</w:t>
            </w:r>
          </w:p>
        </w:tc>
      </w:tr>
      <w:tr w:rsidR="00851BF0" w:rsidRPr="00851BF0" w14:paraId="5F9F24A4" w14:textId="77777777" w:rsidTr="008448F6">
        <w:trPr>
          <w:trHeight w:val="28"/>
        </w:trPr>
        <w:tc>
          <w:tcPr>
            <w:tcW w:w="1164" w:type="pct"/>
            <w:shd w:val="clear" w:color="auto" w:fill="auto"/>
            <w:vAlign w:val="center"/>
          </w:tcPr>
          <w:p w14:paraId="53F72F48" w14:textId="1D7EF280" w:rsidR="002D66A3" w:rsidRDefault="008448F6" w:rsidP="007C2137">
            <w:pPr>
              <w:rPr>
                <w:rFonts w:cs="Calibri"/>
                <w:color w:val="000000" w:themeColor="text1"/>
                <w:lang w:eastAsia="en-AU"/>
              </w:rPr>
            </w:pPr>
            <w:r>
              <w:rPr>
                <w:rFonts w:cs="Calibri"/>
                <w:color w:val="000000" w:themeColor="text1"/>
                <w:lang w:eastAsia="en-AU"/>
              </w:rPr>
              <w:t>CP</w:t>
            </w:r>
            <w:r w:rsidR="007C3F24">
              <w:rPr>
                <w:rFonts w:cs="Calibri"/>
                <w:color w:val="000000" w:themeColor="text1"/>
                <w:lang w:eastAsia="en-AU"/>
              </w:rPr>
              <w:t>C</w:t>
            </w:r>
            <w:r w:rsidR="008A4304">
              <w:rPr>
                <w:rFonts w:cs="Calibri"/>
                <w:color w:val="000000" w:themeColor="text1"/>
                <w:lang w:eastAsia="en-AU"/>
              </w:rPr>
              <w:t>3</w:t>
            </w:r>
            <w:r>
              <w:rPr>
                <w:rFonts w:cs="Calibri"/>
                <w:color w:val="000000" w:themeColor="text1"/>
                <w:lang w:eastAsia="en-AU"/>
              </w:rPr>
              <w:t xml:space="preserve">XX19 </w:t>
            </w:r>
          </w:p>
          <w:p w14:paraId="168E1959" w14:textId="3EBFA18A" w:rsidR="00851BF0" w:rsidRPr="00851BF0" w:rsidRDefault="008A4304" w:rsidP="007C2137">
            <w:pPr>
              <w:rPr>
                <w:rFonts w:cs="Calibri"/>
                <w:color w:val="000000" w:themeColor="text1"/>
                <w:lang w:eastAsia="en-AU"/>
              </w:rPr>
            </w:pPr>
            <w:r>
              <w:rPr>
                <w:rFonts w:cs="Calibri"/>
                <w:color w:val="000000" w:themeColor="text1"/>
                <w:lang w:eastAsia="en-AU"/>
              </w:rPr>
              <w:t xml:space="preserve">Certificate III in </w:t>
            </w:r>
            <w:r w:rsidR="005F1385">
              <w:rPr>
                <w:rFonts w:cs="Calibri"/>
                <w:color w:val="000000" w:themeColor="text1"/>
                <w:lang w:eastAsia="en-AU"/>
              </w:rPr>
              <w:t>Scaffolding</w:t>
            </w:r>
          </w:p>
        </w:tc>
        <w:tc>
          <w:tcPr>
            <w:tcW w:w="1329" w:type="pct"/>
            <w:shd w:val="clear" w:color="auto" w:fill="auto"/>
            <w:vAlign w:val="center"/>
          </w:tcPr>
          <w:p w14:paraId="646F25B3" w14:textId="5A900F0E" w:rsidR="008448F6" w:rsidRDefault="008448F6" w:rsidP="007C2137">
            <w:pPr>
              <w:rPr>
                <w:rFonts w:cs="Calibri"/>
                <w:color w:val="000000" w:themeColor="text1"/>
              </w:rPr>
            </w:pPr>
            <w:r>
              <w:rPr>
                <w:rFonts w:cs="Calibri"/>
                <w:color w:val="000000" w:themeColor="text1"/>
              </w:rPr>
              <w:t>CP</w:t>
            </w:r>
            <w:r w:rsidR="007C3F24">
              <w:rPr>
                <w:rFonts w:cs="Calibri"/>
                <w:color w:val="000000" w:themeColor="text1"/>
              </w:rPr>
              <w:t>C</w:t>
            </w:r>
            <w:r w:rsidR="008A4304">
              <w:rPr>
                <w:rFonts w:cs="Calibri"/>
                <w:color w:val="000000" w:themeColor="text1"/>
              </w:rPr>
              <w:t>3</w:t>
            </w:r>
            <w:r w:rsidR="00F5237E">
              <w:rPr>
                <w:rFonts w:cs="Calibri"/>
                <w:color w:val="000000" w:themeColor="text1"/>
              </w:rPr>
              <w:t>0</w:t>
            </w:r>
            <w:r w:rsidR="005F1385">
              <w:rPr>
                <w:rFonts w:cs="Calibri"/>
                <w:color w:val="000000" w:themeColor="text1"/>
              </w:rPr>
              <w:t>9</w:t>
            </w:r>
            <w:bookmarkStart w:id="3" w:name="_GoBack"/>
            <w:bookmarkEnd w:id="3"/>
            <w:r w:rsidR="00F5237E">
              <w:rPr>
                <w:rFonts w:cs="Calibri"/>
                <w:color w:val="000000" w:themeColor="text1"/>
              </w:rPr>
              <w:t>11</w:t>
            </w:r>
          </w:p>
          <w:p w14:paraId="170630FA" w14:textId="4D4DC2A3" w:rsidR="00851BF0" w:rsidRPr="00851BF0" w:rsidRDefault="008A4304" w:rsidP="007C2137">
            <w:pPr>
              <w:rPr>
                <w:rFonts w:cs="Calibri"/>
                <w:color w:val="000000" w:themeColor="text1"/>
              </w:rPr>
            </w:pPr>
            <w:r w:rsidRPr="008A4304">
              <w:rPr>
                <w:rFonts w:cs="Calibri"/>
                <w:color w:val="000000" w:themeColor="text1"/>
              </w:rPr>
              <w:t xml:space="preserve">Certificate III in </w:t>
            </w:r>
            <w:r w:rsidR="005F1385">
              <w:rPr>
                <w:rFonts w:cs="Calibri"/>
                <w:color w:val="000000" w:themeColor="text1"/>
              </w:rPr>
              <w:t>Scaffolding</w:t>
            </w:r>
            <w:r w:rsidRPr="008A4304">
              <w:rPr>
                <w:rFonts w:cs="Calibri"/>
                <w:color w:val="000000" w:themeColor="text1"/>
              </w:rPr>
              <w:t xml:space="preserve"> </w:t>
            </w:r>
          </w:p>
        </w:tc>
        <w:tc>
          <w:tcPr>
            <w:tcW w:w="1783" w:type="pct"/>
            <w:shd w:val="clear" w:color="auto" w:fill="auto"/>
            <w:vAlign w:val="center"/>
          </w:tcPr>
          <w:p w14:paraId="63919E57" w14:textId="77777777" w:rsidR="00851BF0" w:rsidRPr="00851BF0" w:rsidRDefault="00851BF0" w:rsidP="008448F6">
            <w:pPr>
              <w:rPr>
                <w:rFonts w:cs="Calibri"/>
                <w:color w:val="000000" w:themeColor="text1"/>
              </w:rPr>
            </w:pPr>
            <w:r w:rsidRPr="00851BF0">
              <w:rPr>
                <w:rFonts w:cs="Calibri"/>
                <w:color w:val="000000" w:themeColor="text1"/>
              </w:rPr>
              <w:t>TBD</w:t>
            </w:r>
          </w:p>
        </w:tc>
        <w:tc>
          <w:tcPr>
            <w:tcW w:w="725" w:type="pct"/>
            <w:shd w:val="clear" w:color="auto" w:fill="auto"/>
            <w:vAlign w:val="center"/>
          </w:tcPr>
          <w:p w14:paraId="6474604C" w14:textId="77777777" w:rsidR="00851BF0" w:rsidRPr="00851BF0" w:rsidRDefault="00851BF0" w:rsidP="008448F6">
            <w:pPr>
              <w:jc w:val="center"/>
              <w:rPr>
                <w:rFonts w:cs="Calibri"/>
                <w:color w:val="000000" w:themeColor="text1"/>
              </w:rPr>
            </w:pPr>
            <w:r w:rsidRPr="00851BF0">
              <w:rPr>
                <w:rFonts w:cs="Calibri"/>
                <w:color w:val="000000" w:themeColor="text1"/>
              </w:rPr>
              <w:t>TBD</w:t>
            </w:r>
          </w:p>
        </w:tc>
      </w:tr>
    </w:tbl>
    <w:p w14:paraId="774D8A08" w14:textId="77777777" w:rsidR="00851BF0" w:rsidRPr="00851BF0" w:rsidRDefault="00851BF0" w:rsidP="00851BF0">
      <w:pPr>
        <w:rPr>
          <w:rFonts w:cs="Calibri"/>
          <w:color w:val="000000" w:themeColor="text1"/>
        </w:rPr>
      </w:pPr>
    </w:p>
    <w:p w14:paraId="74B548AB" w14:textId="77777777" w:rsidR="00851BF0" w:rsidRDefault="00851BF0" w:rsidP="00851BF0">
      <w:pPr>
        <w:rPr>
          <w:b/>
        </w:rPr>
      </w:pPr>
      <w:r w:rsidRPr="00851BF0">
        <w:rPr>
          <w:b/>
        </w:rPr>
        <w:t>LINKS</w:t>
      </w:r>
    </w:p>
    <w:p w14:paraId="69B1BA62" w14:textId="77777777" w:rsidR="00851BF0" w:rsidRPr="00851BF0" w:rsidRDefault="00851BF0" w:rsidP="00851BF0">
      <w:pPr>
        <w:rPr>
          <w:b/>
        </w:rPr>
      </w:pPr>
    </w:p>
    <w:p w14:paraId="624841F4" w14:textId="77777777"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to be added.</w:t>
      </w:r>
    </w:p>
    <w:sectPr w:rsidR="00D120A2" w:rsidRPr="000E66CD"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17A8C" w14:textId="77777777" w:rsidR="00310638" w:rsidRDefault="00310638">
      <w:r>
        <w:separator/>
      </w:r>
    </w:p>
  </w:endnote>
  <w:endnote w:type="continuationSeparator" w:id="0">
    <w:p w14:paraId="4E845D0E" w14:textId="77777777" w:rsidR="00310638" w:rsidRDefault="0031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096231B1" w14:textId="77777777" w:rsidR="00866AAA" w:rsidRDefault="00540D9F" w:rsidP="00F81562">
            <w:pPr>
              <w:pStyle w:val="Footer"/>
              <w:rPr>
                <w:sz w:val="24"/>
              </w:rPr>
            </w:pPr>
            <w:r>
              <w:rPr>
                <w:sz w:val="24"/>
              </w:rPr>
              <w:tab/>
            </w:r>
          </w:p>
          <w:p w14:paraId="17190E32" w14:textId="77777777" w:rsidR="00866AAA" w:rsidRDefault="00540D9F" w:rsidP="00F81562">
            <w:pPr>
              <w:pStyle w:val="Footer"/>
            </w:pPr>
            <w:r>
              <w:t xml:space="preserve">Page </w:t>
            </w:r>
            <w:r>
              <w:rPr>
                <w:sz w:val="24"/>
              </w:rPr>
              <w:fldChar w:fldCharType="begin"/>
            </w:r>
            <w:r>
              <w:instrText xml:space="preserve"> PAGE </w:instrText>
            </w:r>
            <w:r>
              <w:rPr>
                <w:sz w:val="24"/>
              </w:rPr>
              <w:fldChar w:fldCharType="separate"/>
            </w:r>
            <w:r>
              <w:rPr>
                <w:noProof/>
              </w:rPr>
              <w:t>1</w:t>
            </w:r>
            <w:r>
              <w:rPr>
                <w:sz w:val="24"/>
              </w:rP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sdtContent>
      </w:sdt>
    </w:sdtContent>
  </w:sdt>
  <w:p w14:paraId="3742652A" w14:textId="77777777" w:rsidR="00866AAA" w:rsidRDefault="00310638"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BDB81" w14:textId="77777777" w:rsidR="00310638" w:rsidRDefault="00310638">
      <w:r>
        <w:separator/>
      </w:r>
    </w:p>
  </w:footnote>
  <w:footnote w:type="continuationSeparator" w:id="0">
    <w:p w14:paraId="5323031F" w14:textId="77777777" w:rsidR="00310638" w:rsidRDefault="00310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596679"/>
      <w:docPartObj>
        <w:docPartGallery w:val="Watermarks"/>
        <w:docPartUnique/>
      </w:docPartObj>
    </w:sdtPr>
    <w:sdtEndPr/>
    <w:sdtContent>
      <w:p w14:paraId="1F5EC56F" w14:textId="77777777" w:rsidR="00A664BF" w:rsidRDefault="00851BF0" w:rsidP="00F81562">
        <w:pPr>
          <w:pStyle w:val="Header"/>
        </w:pPr>
        <w:r>
          <w:rPr>
            <w:noProof/>
          </w:rPr>
          <mc:AlternateContent>
            <mc:Choice Requires="wps">
              <w:drawing>
                <wp:anchor distT="0" distB="0" distL="114300" distR="114300" simplePos="0" relativeHeight="251657728" behindDoc="1" locked="0" layoutInCell="0" allowOverlap="1" wp14:anchorId="19B5D3CF" wp14:editId="6F8B601F">
                  <wp:simplePos x="0" y="0"/>
                  <wp:positionH relativeFrom="margin">
                    <wp:align>center</wp:align>
                  </wp:positionH>
                  <wp:positionV relativeFrom="margin">
                    <wp:align>center</wp:align>
                  </wp:positionV>
                  <wp:extent cx="5237480" cy="3142615"/>
                  <wp:effectExtent l="0" t="0" r="0" b="0"/>
                  <wp:wrapNone/>
                  <wp:docPr id="1"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2FB0F8" w14:textId="77777777" w:rsidR="00215045" w:rsidRDefault="00540D9F" w:rsidP="00215045">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9B5D3CF"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" o:allowincell="f" filled="f" stroked="f">
                  <v:stroke joinstyle="round"/>
                  <v:path arrowok="t"/>
                  <v:textbox>
                    <w:txbxContent>
                      <w:p w14:paraId="752FB0F8" w14:textId="77777777" w:rsidR="00215045" w:rsidRDefault="00540D9F" w:rsidP="00215045">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p>
    </w:sdtContent>
  </w:sdt>
  <w:p w14:paraId="11C901A1" w14:textId="77777777" w:rsidR="00992786" w:rsidRPr="008722DF" w:rsidRDefault="00310638"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3651BE"/>
    <w:multiLevelType w:val="hybridMultilevel"/>
    <w:tmpl w:val="3C088C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E5714"/>
    <w:multiLevelType w:val="hybridMultilevel"/>
    <w:tmpl w:val="C6204896"/>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21A5D"/>
    <w:multiLevelType w:val="hybridMultilevel"/>
    <w:tmpl w:val="4A6A17C2"/>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12325"/>
    <w:multiLevelType w:val="hybridMultilevel"/>
    <w:tmpl w:val="0E5648D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B3260"/>
    <w:multiLevelType w:val="hybridMultilevel"/>
    <w:tmpl w:val="44B2CA18"/>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A54B33"/>
    <w:multiLevelType w:val="hybridMultilevel"/>
    <w:tmpl w:val="6DE435E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228E9"/>
    <w:multiLevelType w:val="hybridMultilevel"/>
    <w:tmpl w:val="3FA60E2A"/>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6B6D8C"/>
    <w:multiLevelType w:val="hybridMultilevel"/>
    <w:tmpl w:val="F6304E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6096C"/>
    <w:multiLevelType w:val="hybridMultilevel"/>
    <w:tmpl w:val="ED1A7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1653C"/>
    <w:multiLevelType w:val="hybridMultilevel"/>
    <w:tmpl w:val="0E6477B2"/>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6B485D"/>
    <w:multiLevelType w:val="hybridMultilevel"/>
    <w:tmpl w:val="508224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E437BE"/>
    <w:multiLevelType w:val="hybridMultilevel"/>
    <w:tmpl w:val="D3B0A2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4"/>
  </w:num>
  <w:num w:numId="4">
    <w:abstractNumId w:val="26"/>
  </w:num>
  <w:num w:numId="5">
    <w:abstractNumId w:val="6"/>
  </w:num>
  <w:num w:numId="6">
    <w:abstractNumId w:val="5"/>
  </w:num>
  <w:num w:numId="7">
    <w:abstractNumId w:val="29"/>
  </w:num>
  <w:num w:numId="8">
    <w:abstractNumId w:val="24"/>
  </w:num>
  <w:num w:numId="9">
    <w:abstractNumId w:val="25"/>
  </w:num>
  <w:num w:numId="10">
    <w:abstractNumId w:val="9"/>
  </w:num>
  <w:num w:numId="11">
    <w:abstractNumId w:val="7"/>
  </w:num>
  <w:num w:numId="12">
    <w:abstractNumId w:val="12"/>
  </w:num>
  <w:num w:numId="13">
    <w:abstractNumId w:val="20"/>
  </w:num>
  <w:num w:numId="14">
    <w:abstractNumId w:val="3"/>
  </w:num>
  <w:num w:numId="15">
    <w:abstractNumId w:val="18"/>
  </w:num>
  <w:num w:numId="16">
    <w:abstractNumId w:val="1"/>
  </w:num>
  <w:num w:numId="17">
    <w:abstractNumId w:val="11"/>
  </w:num>
  <w:num w:numId="18">
    <w:abstractNumId w:val="13"/>
  </w:num>
  <w:num w:numId="19">
    <w:abstractNumId w:val="0"/>
  </w:num>
  <w:num w:numId="20">
    <w:abstractNumId w:val="16"/>
  </w:num>
  <w:num w:numId="21">
    <w:abstractNumId w:val="10"/>
  </w:num>
  <w:num w:numId="22">
    <w:abstractNumId w:val="21"/>
  </w:num>
  <w:num w:numId="23">
    <w:abstractNumId w:val="15"/>
  </w:num>
  <w:num w:numId="24">
    <w:abstractNumId w:val="8"/>
  </w:num>
  <w:num w:numId="25">
    <w:abstractNumId w:val="4"/>
  </w:num>
  <w:num w:numId="26">
    <w:abstractNumId w:val="19"/>
  </w:num>
  <w:num w:numId="27">
    <w:abstractNumId w:val="2"/>
  </w:num>
  <w:num w:numId="28">
    <w:abstractNumId w:val="17"/>
  </w:num>
  <w:num w:numId="29">
    <w:abstractNumId w:val="2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42"/>
    <w:rsid w:val="00034BDA"/>
    <w:rsid w:val="0005305E"/>
    <w:rsid w:val="00086D97"/>
    <w:rsid w:val="000A2BE9"/>
    <w:rsid w:val="000A3810"/>
    <w:rsid w:val="000C678D"/>
    <w:rsid w:val="000D3688"/>
    <w:rsid w:val="000E66CD"/>
    <w:rsid w:val="000F27E7"/>
    <w:rsid w:val="001515EE"/>
    <w:rsid w:val="00166CF4"/>
    <w:rsid w:val="001847BC"/>
    <w:rsid w:val="001A2875"/>
    <w:rsid w:val="001A3942"/>
    <w:rsid w:val="001D675B"/>
    <w:rsid w:val="001D6DD8"/>
    <w:rsid w:val="001E7615"/>
    <w:rsid w:val="001F6E2F"/>
    <w:rsid w:val="002032D8"/>
    <w:rsid w:val="002247D7"/>
    <w:rsid w:val="00261826"/>
    <w:rsid w:val="002D66A3"/>
    <w:rsid w:val="00310638"/>
    <w:rsid w:val="003A1295"/>
    <w:rsid w:val="003D1CA1"/>
    <w:rsid w:val="003D6689"/>
    <w:rsid w:val="00406AAF"/>
    <w:rsid w:val="00474C29"/>
    <w:rsid w:val="0049201E"/>
    <w:rsid w:val="004B78C4"/>
    <w:rsid w:val="004D182E"/>
    <w:rsid w:val="005223A2"/>
    <w:rsid w:val="00523284"/>
    <w:rsid w:val="00540D9F"/>
    <w:rsid w:val="00550D37"/>
    <w:rsid w:val="00566E99"/>
    <w:rsid w:val="005B59E7"/>
    <w:rsid w:val="005F1385"/>
    <w:rsid w:val="006303BF"/>
    <w:rsid w:val="00655A21"/>
    <w:rsid w:val="00672F3A"/>
    <w:rsid w:val="00675722"/>
    <w:rsid w:val="00681B89"/>
    <w:rsid w:val="006828B3"/>
    <w:rsid w:val="00690511"/>
    <w:rsid w:val="006A33C4"/>
    <w:rsid w:val="006A3447"/>
    <w:rsid w:val="006B51D8"/>
    <w:rsid w:val="006B5C77"/>
    <w:rsid w:val="006D4BE7"/>
    <w:rsid w:val="006F633B"/>
    <w:rsid w:val="00717B1C"/>
    <w:rsid w:val="007242B0"/>
    <w:rsid w:val="0073065B"/>
    <w:rsid w:val="007966A7"/>
    <w:rsid w:val="007C088B"/>
    <w:rsid w:val="007C3F24"/>
    <w:rsid w:val="00823362"/>
    <w:rsid w:val="008448F6"/>
    <w:rsid w:val="00851BF0"/>
    <w:rsid w:val="00856328"/>
    <w:rsid w:val="008662B4"/>
    <w:rsid w:val="00866CEF"/>
    <w:rsid w:val="0087310C"/>
    <w:rsid w:val="008A4304"/>
    <w:rsid w:val="008B7086"/>
    <w:rsid w:val="008C0BC3"/>
    <w:rsid w:val="008C6791"/>
    <w:rsid w:val="00913B65"/>
    <w:rsid w:val="00930EC9"/>
    <w:rsid w:val="00950659"/>
    <w:rsid w:val="009521F5"/>
    <w:rsid w:val="0098617A"/>
    <w:rsid w:val="009958EE"/>
    <w:rsid w:val="00A15A4D"/>
    <w:rsid w:val="00A67C04"/>
    <w:rsid w:val="00AA6420"/>
    <w:rsid w:val="00AB3F20"/>
    <w:rsid w:val="00AC027B"/>
    <w:rsid w:val="00AC5782"/>
    <w:rsid w:val="00AD7280"/>
    <w:rsid w:val="00B161D5"/>
    <w:rsid w:val="00B351CF"/>
    <w:rsid w:val="00B70A8E"/>
    <w:rsid w:val="00B8235F"/>
    <w:rsid w:val="00B878B7"/>
    <w:rsid w:val="00B9649A"/>
    <w:rsid w:val="00BC1B87"/>
    <w:rsid w:val="00BE316E"/>
    <w:rsid w:val="00C00C62"/>
    <w:rsid w:val="00C057F0"/>
    <w:rsid w:val="00C24985"/>
    <w:rsid w:val="00CC3231"/>
    <w:rsid w:val="00CD0BD9"/>
    <w:rsid w:val="00CF3B97"/>
    <w:rsid w:val="00D1080E"/>
    <w:rsid w:val="00D120A2"/>
    <w:rsid w:val="00D14A27"/>
    <w:rsid w:val="00D92823"/>
    <w:rsid w:val="00D965CF"/>
    <w:rsid w:val="00D97208"/>
    <w:rsid w:val="00DB38E2"/>
    <w:rsid w:val="00DD5C3C"/>
    <w:rsid w:val="00DE481A"/>
    <w:rsid w:val="00DF49DE"/>
    <w:rsid w:val="00E07BE1"/>
    <w:rsid w:val="00E1333B"/>
    <w:rsid w:val="00E50172"/>
    <w:rsid w:val="00E83981"/>
    <w:rsid w:val="00E93013"/>
    <w:rsid w:val="00EB2B4F"/>
    <w:rsid w:val="00F26AB8"/>
    <w:rsid w:val="00F324C2"/>
    <w:rsid w:val="00F32A35"/>
    <w:rsid w:val="00F5237E"/>
    <w:rsid w:val="00F80473"/>
    <w:rsid w:val="00FD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C5103"/>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styleId="UnresolvedMention">
    <w:name w:val="Unresolved Mention"/>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Liz Perrott</cp:lastModifiedBy>
  <cp:revision>3</cp:revision>
  <dcterms:created xsi:type="dcterms:W3CDTF">2018-10-01T03:58:00Z</dcterms:created>
  <dcterms:modified xsi:type="dcterms:W3CDTF">2018-10-01T04:01:00Z</dcterms:modified>
</cp:coreProperties>
</file>