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45B4" w14:textId="7D27AF4D" w:rsidR="006B6AAA" w:rsidRPr="00946A35" w:rsidRDefault="00CD528A" w:rsidP="006B6AAA">
      <w:r w:rsidRPr="00946A35">
        <w:rPr>
          <w:b/>
        </w:rPr>
        <w:t>QUALIFICATION CODE</w:t>
      </w:r>
      <w:r w:rsidRPr="00946A35">
        <w:t xml:space="preserve"> </w:t>
      </w:r>
      <w:r w:rsidR="006B6AAA" w:rsidRPr="00946A35">
        <w:tab/>
      </w:r>
      <w:r w:rsidR="00E530A4" w:rsidRPr="00946A35">
        <w:tab/>
      </w:r>
      <w:r w:rsidR="00810FDB" w:rsidRPr="00946A35">
        <w:t>CP</w:t>
      </w:r>
      <w:r w:rsidR="00FA704F" w:rsidRPr="00946A35">
        <w:t>C3</w:t>
      </w:r>
      <w:r w:rsidR="0041405E">
        <w:t>04</w:t>
      </w:r>
      <w:r w:rsidR="00AF4FE6" w:rsidRPr="00946A35">
        <w:t>19</w:t>
      </w:r>
    </w:p>
    <w:p w14:paraId="10ADD446" w14:textId="77777777" w:rsidR="00612E2D" w:rsidRPr="00946A35" w:rsidRDefault="00CD528A" w:rsidP="00612E2D">
      <w:r w:rsidRPr="00946A35">
        <w:rPr>
          <w:b/>
        </w:rPr>
        <w:t>QUALIFICATION TITLE</w:t>
      </w:r>
      <w:r w:rsidRPr="00946A35">
        <w:t xml:space="preserve"> </w:t>
      </w:r>
      <w:r w:rsidR="006B6AAA" w:rsidRPr="00946A35">
        <w:tab/>
      </w:r>
      <w:r w:rsidR="00E530A4" w:rsidRPr="00946A35">
        <w:tab/>
      </w:r>
      <w:r w:rsidR="006B6AAA" w:rsidRPr="00946A35">
        <w:rPr>
          <w:color w:val="000000"/>
          <w:lang w:eastAsia="en-AU"/>
        </w:rPr>
        <w:t xml:space="preserve">Certificate </w:t>
      </w:r>
      <w:r w:rsidR="00AE17E1" w:rsidRPr="00946A35">
        <w:rPr>
          <w:color w:val="000000"/>
          <w:lang w:eastAsia="en-AU"/>
        </w:rPr>
        <w:t>III in Demolition</w:t>
      </w:r>
    </w:p>
    <w:p w14:paraId="77B538A6" w14:textId="77777777" w:rsidR="00612E2D" w:rsidRPr="00946A35" w:rsidRDefault="00CD528A" w:rsidP="00612E2D">
      <w:pPr>
        <w:rPr>
          <w:b/>
          <w:bCs/>
        </w:rPr>
      </w:pPr>
      <w:r w:rsidRPr="00946A35">
        <w:rPr>
          <w:b/>
          <w:bCs/>
        </w:rPr>
        <w:t>QUALIFICATION DESCRIPTION</w:t>
      </w:r>
    </w:p>
    <w:p w14:paraId="7E4B337C" w14:textId="6FF1F0A3" w:rsidR="00AE17E1" w:rsidRDefault="00AE17E1" w:rsidP="00AE17E1">
      <w:bookmarkStart w:id="0" w:name="O_661071"/>
      <w:bookmarkStart w:id="1" w:name="O_661072"/>
      <w:bookmarkEnd w:id="0"/>
      <w:bookmarkEnd w:id="1"/>
      <w:r w:rsidRPr="00946A35">
        <w:t xml:space="preserve">This qualification is designed to meet the needs of specialist demolition workers who dismantle and demolish public, residential, commercial and industrial </w:t>
      </w:r>
      <w:r w:rsidR="00E404E3" w:rsidRPr="00946A35">
        <w:t xml:space="preserve">structures </w:t>
      </w:r>
      <w:r w:rsidRPr="00946A35">
        <w:t>of all types, and process the resulting materials for salvage, recycling and waste disposal.</w:t>
      </w:r>
    </w:p>
    <w:p w14:paraId="26030D91" w14:textId="77777777" w:rsidR="00AE17E1" w:rsidRPr="00946A35" w:rsidRDefault="00AE17E1" w:rsidP="00AE17E1">
      <w:r w:rsidRPr="00946A35">
        <w:t>Occupational titles could include:</w:t>
      </w:r>
    </w:p>
    <w:p w14:paraId="5E2C2E58" w14:textId="77777777" w:rsidR="00AE17E1" w:rsidRPr="00946A35" w:rsidRDefault="00AE17E1" w:rsidP="00AE17E1">
      <w:pPr>
        <w:numPr>
          <w:ilvl w:val="0"/>
          <w:numId w:val="5"/>
        </w:numPr>
      </w:pPr>
      <w:r w:rsidRPr="00946A35">
        <w:t>Demolition worker</w:t>
      </w:r>
    </w:p>
    <w:p w14:paraId="5FFAC86C" w14:textId="2E29011E" w:rsidR="00AE17E1" w:rsidRPr="00946A35" w:rsidRDefault="00AE17E1" w:rsidP="00AE17E1">
      <w:pPr>
        <w:numPr>
          <w:ilvl w:val="0"/>
          <w:numId w:val="5"/>
        </w:numPr>
      </w:pPr>
      <w:r w:rsidRPr="00946A35">
        <w:t>Demolition plant operator</w:t>
      </w:r>
      <w:r w:rsidR="006F1142" w:rsidRPr="00946A35">
        <w:t xml:space="preserve"> </w:t>
      </w:r>
    </w:p>
    <w:p w14:paraId="32E7CB00" w14:textId="6CCDF45E" w:rsidR="00AE17E1" w:rsidRPr="00946A35" w:rsidRDefault="00AE17E1" w:rsidP="00AE17E1">
      <w:pPr>
        <w:numPr>
          <w:ilvl w:val="0"/>
          <w:numId w:val="5"/>
        </w:numPr>
      </w:pPr>
      <w:r w:rsidRPr="00946A35">
        <w:t xml:space="preserve">Demolition </w:t>
      </w:r>
      <w:r w:rsidR="001B5384">
        <w:t>team leader</w:t>
      </w:r>
      <w:r w:rsidR="00E26F25">
        <w:t>.</w:t>
      </w:r>
    </w:p>
    <w:p w14:paraId="22D7EF22" w14:textId="77777777" w:rsidR="00AE17E1" w:rsidRPr="00946A35" w:rsidRDefault="00AE17E1" w:rsidP="00AE17E1">
      <w:r w:rsidRPr="00946A35">
        <w:rPr>
          <w:b/>
          <w:bCs/>
        </w:rPr>
        <w:t>Pathways information</w:t>
      </w:r>
      <w:r w:rsidRPr="00946A35">
        <w:t> </w:t>
      </w:r>
    </w:p>
    <w:p w14:paraId="50FDA558" w14:textId="6C3C4684" w:rsidR="00AE17E1" w:rsidRPr="00946A35" w:rsidRDefault="00AE17E1" w:rsidP="00AE17E1">
      <w:r w:rsidRPr="00946A35">
        <w:t>This qualification is suitable for an Australian Apprenticeship pathway.</w:t>
      </w:r>
    </w:p>
    <w:p w14:paraId="5F6A279E" w14:textId="357D8CC0" w:rsidR="00E61112" w:rsidRDefault="00E61112" w:rsidP="00AE17E1">
      <w:pPr>
        <w:rPr>
          <w:b/>
        </w:rPr>
      </w:pPr>
      <w:r w:rsidRPr="00946A35">
        <w:rPr>
          <w:b/>
        </w:rPr>
        <w:t>ENTRY REQUIREMENTS</w:t>
      </w:r>
    </w:p>
    <w:p w14:paraId="59C8B2CD" w14:textId="12725ABD" w:rsidR="009A618D" w:rsidRPr="00946A35" w:rsidRDefault="009A618D" w:rsidP="00AE17E1">
      <w:pPr>
        <w:rPr>
          <w:b/>
        </w:rPr>
      </w:pPr>
      <w:r w:rsidRPr="002063A9">
        <w:t>CPCCWHS1001</w:t>
      </w:r>
      <w:r w:rsidRPr="009A618D">
        <w:t xml:space="preserve"> </w:t>
      </w:r>
      <w:r w:rsidRPr="002063A9">
        <w:t>Prepare to work safely in the construction industry </w:t>
      </w:r>
    </w:p>
    <w:p w14:paraId="2DBD1170" w14:textId="63D4399B" w:rsidR="00612E2D" w:rsidRPr="00946A35" w:rsidRDefault="00CD528A" w:rsidP="00AE17E1">
      <w:pPr>
        <w:rPr>
          <w:b/>
          <w:bCs/>
        </w:rPr>
      </w:pPr>
      <w:r w:rsidRPr="00946A35">
        <w:rPr>
          <w:b/>
          <w:bCs/>
        </w:rPr>
        <w:t>PACKAGING RULES</w:t>
      </w:r>
      <w:r w:rsidR="00B129FC" w:rsidRPr="00946A35">
        <w:rPr>
          <w:b/>
          <w:bCs/>
        </w:rPr>
        <w:t xml:space="preserve"> </w:t>
      </w:r>
    </w:p>
    <w:p w14:paraId="4952C1D0" w14:textId="77777777" w:rsidR="00AE17E1" w:rsidRPr="00946A35" w:rsidRDefault="00AE17E1" w:rsidP="00AE17E1">
      <w:pPr>
        <w:pStyle w:val="BodyText"/>
      </w:pPr>
      <w:r w:rsidRPr="00946A35">
        <w:t>To achieve this qualification, competency must be demonstrated in:</w:t>
      </w:r>
    </w:p>
    <w:p w14:paraId="06E23763" w14:textId="76E0FF22" w:rsidR="00AE17E1" w:rsidRPr="00946A35" w:rsidRDefault="00B129FC" w:rsidP="00B129FC">
      <w:pPr>
        <w:pStyle w:val="ListParagraph"/>
        <w:numPr>
          <w:ilvl w:val="0"/>
          <w:numId w:val="10"/>
        </w:numPr>
        <w:rPr>
          <w:rFonts w:cs="Calibri"/>
          <w:szCs w:val="22"/>
        </w:rPr>
      </w:pPr>
      <w:r w:rsidRPr="00946A35">
        <w:rPr>
          <w:rFonts w:cs="Calibri"/>
          <w:szCs w:val="22"/>
        </w:rPr>
        <w:t>2</w:t>
      </w:r>
      <w:r w:rsidR="009A618D">
        <w:rPr>
          <w:rFonts w:cs="Calibri"/>
          <w:szCs w:val="22"/>
        </w:rPr>
        <w:t xml:space="preserve">0 </w:t>
      </w:r>
      <w:r w:rsidR="00AE17E1" w:rsidRPr="00946A35">
        <w:rPr>
          <w:rFonts w:cs="Calibri"/>
          <w:szCs w:val="22"/>
        </w:rPr>
        <w:t>units of competency:</w:t>
      </w:r>
    </w:p>
    <w:p w14:paraId="7212ADAD" w14:textId="77777777" w:rsidR="00115331" w:rsidRPr="00946A35" w:rsidRDefault="00115331" w:rsidP="00115331">
      <w:pPr>
        <w:pStyle w:val="ListParagraph"/>
        <w:rPr>
          <w:rFonts w:cs="Calibri"/>
          <w:szCs w:val="22"/>
        </w:rPr>
      </w:pPr>
    </w:p>
    <w:p w14:paraId="2F7376E1" w14:textId="53DF8BF4" w:rsidR="00AE17E1" w:rsidRPr="00946A35" w:rsidRDefault="00B129FC" w:rsidP="00B129FC">
      <w:pPr>
        <w:pStyle w:val="ListParagraph"/>
        <w:numPr>
          <w:ilvl w:val="1"/>
          <w:numId w:val="10"/>
        </w:numPr>
        <w:rPr>
          <w:rFonts w:cs="Calibri"/>
          <w:szCs w:val="22"/>
        </w:rPr>
      </w:pPr>
      <w:r w:rsidRPr="00946A35">
        <w:rPr>
          <w:rFonts w:cs="Calibri"/>
          <w:szCs w:val="22"/>
        </w:rPr>
        <w:t>1</w:t>
      </w:r>
      <w:r w:rsidR="009A618D">
        <w:rPr>
          <w:rFonts w:cs="Calibri"/>
          <w:szCs w:val="22"/>
        </w:rPr>
        <w:t>1</w:t>
      </w:r>
      <w:r w:rsidR="00AE17E1" w:rsidRPr="00946A35">
        <w:rPr>
          <w:rFonts w:cs="Calibri"/>
          <w:szCs w:val="22"/>
        </w:rPr>
        <w:t xml:space="preserve"> core units</w:t>
      </w:r>
    </w:p>
    <w:p w14:paraId="798BF4E1" w14:textId="10611846" w:rsidR="00E832C5" w:rsidRPr="00946A35" w:rsidRDefault="00E832C5" w:rsidP="00E832C5">
      <w:pPr>
        <w:pStyle w:val="ListParagraph"/>
        <w:numPr>
          <w:ilvl w:val="1"/>
          <w:numId w:val="10"/>
        </w:numPr>
        <w:rPr>
          <w:rFonts w:cs="Calibri"/>
          <w:szCs w:val="22"/>
        </w:rPr>
      </w:pPr>
      <w:r w:rsidRPr="00946A35">
        <w:rPr>
          <w:rFonts w:cs="Calibri"/>
          <w:szCs w:val="22"/>
        </w:rPr>
        <w:t>9 elective units</w:t>
      </w:r>
      <w:r w:rsidR="00680384">
        <w:rPr>
          <w:rFonts w:cs="Calibri"/>
          <w:szCs w:val="22"/>
        </w:rPr>
        <w:t>.</w:t>
      </w:r>
    </w:p>
    <w:p w14:paraId="476A4754" w14:textId="77777777" w:rsidR="00E832C5" w:rsidRPr="00946A35" w:rsidRDefault="00E832C5" w:rsidP="00E832C5">
      <w:pPr>
        <w:pStyle w:val="ListParagraph"/>
        <w:ind w:left="1440"/>
        <w:rPr>
          <w:rFonts w:cs="Calibri"/>
          <w:szCs w:val="22"/>
        </w:rPr>
      </w:pPr>
    </w:p>
    <w:p w14:paraId="26F6037B" w14:textId="4688013E" w:rsidR="00B129FC" w:rsidRPr="00C91B99" w:rsidRDefault="00E832C5" w:rsidP="00E832C5">
      <w:pPr>
        <w:rPr>
          <w:rFonts w:cs="Calibri"/>
        </w:rPr>
      </w:pPr>
      <w:r w:rsidRPr="00946A35">
        <w:rPr>
          <w:rFonts w:cs="Calibri"/>
        </w:rPr>
        <w:t xml:space="preserve">The elective units can be selected </w:t>
      </w:r>
      <w:r w:rsidRPr="00946A35">
        <w:t xml:space="preserve">from any of the groups listed below. </w:t>
      </w:r>
      <w:r w:rsidR="00C70B22" w:rsidRPr="00946A35">
        <w:t>T</w:t>
      </w:r>
      <w:r w:rsidRPr="00946A35">
        <w:t>wo elective units can be selected from another training package</w:t>
      </w:r>
      <w:r w:rsidR="00B129FC" w:rsidRPr="00946A35">
        <w:rPr>
          <w:rFonts w:cs="Calibri"/>
        </w:rPr>
        <w:t xml:space="preserve">, as long as they contribute to a valid, industry-supported </w:t>
      </w:r>
      <w:r w:rsidR="00B129FC" w:rsidRPr="00C91B99">
        <w:rPr>
          <w:rFonts w:cs="Calibri"/>
        </w:rPr>
        <w:t>vocational outcome and do not diminish the AQF level of this qualification.</w:t>
      </w:r>
    </w:p>
    <w:p w14:paraId="78CEB5A0" w14:textId="56E7E104" w:rsidR="00C91B99" w:rsidRPr="00C91B99" w:rsidRDefault="0041405E" w:rsidP="0041405E">
      <w:r w:rsidRPr="00C91B99">
        <w:t>Units</w:t>
      </w:r>
      <w:r w:rsidR="00C91B99" w:rsidRPr="00C91B99">
        <w:t xml:space="preserve"> of competency with </w:t>
      </w:r>
      <w:r w:rsidRPr="00C91B99">
        <w:t>asterisk</w:t>
      </w:r>
      <w:r w:rsidR="00C91B99" w:rsidRPr="00C91B99">
        <w:t>s</w:t>
      </w:r>
      <w:r w:rsidRPr="00C91B99">
        <w:t xml:space="preserve"> </w:t>
      </w:r>
      <w:r w:rsidR="00C91B99" w:rsidRPr="00C91B99">
        <w:t xml:space="preserve">have </w:t>
      </w:r>
      <w:r w:rsidRPr="00C91B99">
        <w:t>pre-requisite</w:t>
      </w:r>
      <w:r w:rsidR="00C91B99" w:rsidRPr="00C91B99">
        <w:t>(s) as listed below:</w:t>
      </w:r>
    </w:p>
    <w:p w14:paraId="46C0FEE7" w14:textId="56F236DD" w:rsidR="0041405E" w:rsidRPr="00C91B99" w:rsidRDefault="00C91B99" w:rsidP="00C91B99">
      <w:pPr>
        <w:rPr>
          <w:color w:val="000000" w:themeColor="text1"/>
        </w:rPr>
      </w:pPr>
      <w:r w:rsidRPr="00C91B99">
        <w:rPr>
          <w:color w:val="000000" w:themeColor="text1"/>
        </w:rPr>
        <w:t>*</w:t>
      </w:r>
      <w:r w:rsidR="0041405E" w:rsidRPr="00C91B99">
        <w:t>CPCCWHS2001 Apply WHS requirements, policies and procedures in the construction industry.</w:t>
      </w:r>
    </w:p>
    <w:p w14:paraId="527DE809" w14:textId="488950EC" w:rsidR="0041405E" w:rsidRPr="00C91B99" w:rsidRDefault="0041405E" w:rsidP="00C91B99">
      <w:r w:rsidRPr="00C91B99">
        <w:t>**CPCCLDG3001</w:t>
      </w:r>
      <w:r w:rsidR="005F24B1">
        <w:t>A</w:t>
      </w:r>
      <w:r w:rsidRPr="00C91B99">
        <w:t xml:space="preserve"> Licence to perform dogging</w:t>
      </w:r>
      <w:r w:rsidR="00C91B99" w:rsidRPr="00C91B99">
        <w:t>.</w:t>
      </w:r>
    </w:p>
    <w:p w14:paraId="433B75DD" w14:textId="4AB2CDAD" w:rsidR="0041405E" w:rsidRPr="00C91B99" w:rsidRDefault="0041405E" w:rsidP="00C91B99">
      <w:r w:rsidRPr="00C91B99">
        <w:t>***CPCCLRG3001</w:t>
      </w:r>
      <w:r w:rsidR="00496724">
        <w:t>A</w:t>
      </w:r>
      <w:r w:rsidRPr="00C91B99">
        <w:t xml:space="preserve"> Licence to perform rigging basic level</w:t>
      </w:r>
      <w:r w:rsidR="00C91B99" w:rsidRPr="00C91B99">
        <w:t>.</w:t>
      </w:r>
    </w:p>
    <w:p w14:paraId="5B257BE5" w14:textId="1EF22644" w:rsidR="0041405E" w:rsidRPr="00C91B99" w:rsidRDefault="0041405E" w:rsidP="00C91B99">
      <w:r w:rsidRPr="00C91B99">
        <w:t>****CPCCLSF2001</w:t>
      </w:r>
      <w:r w:rsidR="00496724">
        <w:t>A</w:t>
      </w:r>
      <w:r w:rsidRPr="00C91B99">
        <w:t xml:space="preserve"> Licence to erect, alter and dismantle scaffolding basic level</w:t>
      </w:r>
      <w:r w:rsidR="00C91B99" w:rsidRPr="00C91B99">
        <w:t>.</w:t>
      </w:r>
    </w:p>
    <w:p w14:paraId="6AA493A5" w14:textId="3E535BB6" w:rsidR="0041405E" w:rsidRPr="00C91B99" w:rsidRDefault="0041405E" w:rsidP="00C91B99">
      <w:pPr>
        <w:spacing w:after="0" w:line="240" w:lineRule="auto"/>
      </w:pPr>
      <w:r w:rsidRPr="00C91B99">
        <w:t>*****CPCCLSF3001</w:t>
      </w:r>
      <w:r w:rsidR="00496724">
        <w:t>A</w:t>
      </w:r>
      <w:r w:rsidRPr="00C91B99">
        <w:t xml:space="preserve"> Licence to erect, alter and dismantle scaffolding intermediate level</w:t>
      </w:r>
      <w:r w:rsidR="00C91B99" w:rsidRPr="00C91B99">
        <w:t>.</w:t>
      </w:r>
    </w:p>
    <w:p w14:paraId="62F97D6A" w14:textId="77777777" w:rsidR="0041405E" w:rsidRPr="0041405E" w:rsidRDefault="0041405E" w:rsidP="0041405E">
      <w:pPr>
        <w:spacing w:after="0" w:line="240" w:lineRule="auto"/>
        <w:rPr>
          <w:sz w:val="18"/>
        </w:rPr>
      </w:pPr>
    </w:p>
    <w:p w14:paraId="169B9ABB" w14:textId="78AD30F7" w:rsidR="005155A6" w:rsidRPr="0007199C" w:rsidRDefault="0007199C" w:rsidP="005155A6">
      <w:pPr>
        <w:rPr>
          <w:b/>
          <w:color w:val="000000" w:themeColor="text1"/>
        </w:rPr>
      </w:pPr>
      <w:r w:rsidRPr="0007199C">
        <w:rPr>
          <w:b/>
          <w:color w:val="000000" w:themeColor="text1"/>
        </w:rPr>
        <w:t xml:space="preserve">Core </w:t>
      </w:r>
      <w:r w:rsidR="005155A6" w:rsidRPr="0007199C">
        <w:rPr>
          <w:b/>
          <w:color w:val="000000" w:themeColor="text1"/>
        </w:rPr>
        <w:t>units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10"/>
      </w:tblGrid>
      <w:tr w:rsidR="005155A6" w:rsidRPr="00946A35" w14:paraId="6E1E4FCD" w14:textId="77777777" w:rsidTr="00D35C35">
        <w:tc>
          <w:tcPr>
            <w:tcW w:w="1562" w:type="dxa"/>
          </w:tcPr>
          <w:p w14:paraId="044B4935" w14:textId="53829C41" w:rsidR="005155A6" w:rsidRPr="00946A35" w:rsidRDefault="005155A6" w:rsidP="00865E7A">
            <w:r w:rsidRPr="00946A35">
              <w:t>CPCCCM2010</w:t>
            </w:r>
            <w:r w:rsidR="00496724">
              <w:t>B</w:t>
            </w:r>
          </w:p>
        </w:tc>
        <w:tc>
          <w:tcPr>
            <w:tcW w:w="7510" w:type="dxa"/>
          </w:tcPr>
          <w:p w14:paraId="57443125" w14:textId="77777777" w:rsidR="005155A6" w:rsidRPr="00946A35" w:rsidRDefault="005155A6" w:rsidP="00865E7A">
            <w:r w:rsidRPr="00946A35">
              <w:t>Work safely at heights</w:t>
            </w:r>
          </w:p>
        </w:tc>
      </w:tr>
      <w:tr w:rsidR="005155A6" w:rsidRPr="00946A35" w14:paraId="78D7E6E5" w14:textId="77777777" w:rsidTr="00D35C35">
        <w:tc>
          <w:tcPr>
            <w:tcW w:w="1562" w:type="dxa"/>
          </w:tcPr>
          <w:p w14:paraId="1BE852E0" w14:textId="77777777" w:rsidR="005155A6" w:rsidRPr="00946A35" w:rsidRDefault="005155A6" w:rsidP="00865E7A">
            <w:r w:rsidRPr="00946A35">
              <w:t>CPCCCM1015</w:t>
            </w:r>
          </w:p>
        </w:tc>
        <w:tc>
          <w:tcPr>
            <w:tcW w:w="7510" w:type="dxa"/>
          </w:tcPr>
          <w:p w14:paraId="3AC02854" w14:textId="77777777" w:rsidR="005155A6" w:rsidRPr="00946A35" w:rsidRDefault="005155A6" w:rsidP="00865E7A">
            <w:r w:rsidRPr="00946A35">
              <w:t>Carry out measurements and calculations</w:t>
            </w:r>
          </w:p>
        </w:tc>
      </w:tr>
      <w:tr w:rsidR="005155A6" w:rsidRPr="00946A35" w14:paraId="62FB0E00" w14:textId="77777777" w:rsidTr="00D35C35">
        <w:tc>
          <w:tcPr>
            <w:tcW w:w="1562" w:type="dxa"/>
          </w:tcPr>
          <w:p w14:paraId="0DC1CADE" w14:textId="77777777" w:rsidR="005155A6" w:rsidRPr="00946A35" w:rsidRDefault="005155A6" w:rsidP="00865E7A">
            <w:r w:rsidRPr="00946A35">
              <w:t>CPCCDE3016*</w:t>
            </w:r>
          </w:p>
        </w:tc>
        <w:tc>
          <w:tcPr>
            <w:tcW w:w="7510" w:type="dxa"/>
          </w:tcPr>
          <w:p w14:paraId="5E905ADF" w14:textId="77777777" w:rsidR="005155A6" w:rsidRPr="00946A35" w:rsidRDefault="005155A6" w:rsidP="00865E7A">
            <w:r w:rsidRPr="00946A35">
              <w:t>Identify hazards on demolition sites and apply risk management strategies</w:t>
            </w:r>
          </w:p>
        </w:tc>
      </w:tr>
      <w:tr w:rsidR="005155A6" w:rsidRPr="00946A35" w14:paraId="7EB92C82" w14:textId="77777777" w:rsidTr="00D35C35">
        <w:tc>
          <w:tcPr>
            <w:tcW w:w="1562" w:type="dxa"/>
          </w:tcPr>
          <w:p w14:paraId="545512E8" w14:textId="77777777" w:rsidR="005155A6" w:rsidRPr="00946A35" w:rsidRDefault="005155A6" w:rsidP="00865E7A">
            <w:r w:rsidRPr="00946A35">
              <w:lastRenderedPageBreak/>
              <w:t>CPCCDE3017*</w:t>
            </w:r>
          </w:p>
        </w:tc>
        <w:tc>
          <w:tcPr>
            <w:tcW w:w="7510" w:type="dxa"/>
          </w:tcPr>
          <w:p w14:paraId="5EC32040" w14:textId="77777777" w:rsidR="005155A6" w:rsidRPr="00946A35" w:rsidRDefault="005155A6" w:rsidP="00865E7A">
            <w:r w:rsidRPr="00946A35">
              <w:t>Select and use hand tools and equipment for demolition tasks</w:t>
            </w:r>
          </w:p>
        </w:tc>
      </w:tr>
      <w:tr w:rsidR="005155A6" w:rsidRPr="00946A35" w14:paraId="46343343" w14:textId="77777777" w:rsidTr="00D35C35">
        <w:tc>
          <w:tcPr>
            <w:tcW w:w="1562" w:type="dxa"/>
          </w:tcPr>
          <w:p w14:paraId="20ED81B2" w14:textId="77777777" w:rsidR="005155A6" w:rsidRPr="00946A35" w:rsidRDefault="005155A6" w:rsidP="00865E7A">
            <w:r w:rsidRPr="00946A35">
              <w:t>CPCCDE3018*</w:t>
            </w:r>
          </w:p>
        </w:tc>
        <w:tc>
          <w:tcPr>
            <w:tcW w:w="7510" w:type="dxa"/>
          </w:tcPr>
          <w:p w14:paraId="529556EA" w14:textId="77777777" w:rsidR="005155A6" w:rsidRPr="00946A35" w:rsidRDefault="005155A6" w:rsidP="00865E7A">
            <w:r w:rsidRPr="00946A35">
              <w:t>Select and use small plant and equipment for demolition tasks</w:t>
            </w:r>
          </w:p>
        </w:tc>
      </w:tr>
      <w:tr w:rsidR="005155A6" w:rsidRPr="00946A35" w14:paraId="16661C07" w14:textId="77777777" w:rsidTr="00D35C35">
        <w:tc>
          <w:tcPr>
            <w:tcW w:w="1562" w:type="dxa"/>
          </w:tcPr>
          <w:p w14:paraId="5B9F6C87" w14:textId="77777777" w:rsidR="005155A6" w:rsidRPr="00946A35" w:rsidRDefault="005155A6" w:rsidP="00865E7A">
            <w:r w:rsidRPr="00946A35">
              <w:t>CPCCDE3019*</w:t>
            </w:r>
          </w:p>
        </w:tc>
        <w:tc>
          <w:tcPr>
            <w:tcW w:w="7510" w:type="dxa"/>
          </w:tcPr>
          <w:p w14:paraId="0E13530F" w14:textId="77777777" w:rsidR="005155A6" w:rsidRPr="00946A35" w:rsidRDefault="005155A6" w:rsidP="00865E7A">
            <w:r w:rsidRPr="00946A35">
              <w:t>Demolish small buildings and structures using hand tools and small plant and equipment</w:t>
            </w:r>
          </w:p>
        </w:tc>
      </w:tr>
      <w:tr w:rsidR="005155A6" w:rsidRPr="00946A35" w14:paraId="611CAAE8" w14:textId="77777777" w:rsidTr="00D35C35">
        <w:tc>
          <w:tcPr>
            <w:tcW w:w="1562" w:type="dxa"/>
          </w:tcPr>
          <w:p w14:paraId="664DE725" w14:textId="77777777" w:rsidR="005155A6" w:rsidRPr="00946A35" w:rsidRDefault="005155A6" w:rsidP="00865E7A">
            <w:r w:rsidRPr="00946A35">
              <w:t>CPCCDE3020*</w:t>
            </w:r>
          </w:p>
        </w:tc>
        <w:tc>
          <w:tcPr>
            <w:tcW w:w="7510" w:type="dxa"/>
          </w:tcPr>
          <w:p w14:paraId="55A975E5" w14:textId="77777777" w:rsidR="005155A6" w:rsidRPr="00946A35" w:rsidRDefault="005155A6" w:rsidP="00865E7A">
            <w:r w:rsidRPr="00946A35">
              <w:t>Select and use tools and equipment for hot work in the demolition industry</w:t>
            </w:r>
          </w:p>
        </w:tc>
      </w:tr>
      <w:tr w:rsidR="005155A6" w:rsidRPr="00946A35" w14:paraId="1B4224B8" w14:textId="77777777" w:rsidTr="00D35C35">
        <w:tc>
          <w:tcPr>
            <w:tcW w:w="1562" w:type="dxa"/>
          </w:tcPr>
          <w:p w14:paraId="23D56285" w14:textId="3FC444BE" w:rsidR="005155A6" w:rsidRPr="00946A35" w:rsidRDefault="005155A6" w:rsidP="00865E7A">
            <w:r w:rsidRPr="00946A35">
              <w:t>CPCCDE</w:t>
            </w:r>
            <w:r w:rsidR="008A7715" w:rsidRPr="00946A35">
              <w:t>3027</w:t>
            </w:r>
          </w:p>
        </w:tc>
        <w:tc>
          <w:tcPr>
            <w:tcW w:w="7510" w:type="dxa"/>
          </w:tcPr>
          <w:p w14:paraId="4C3152CB" w14:textId="516FB57B" w:rsidR="005155A6" w:rsidRPr="00946A35" w:rsidRDefault="00C70B22" w:rsidP="00865E7A">
            <w:r w:rsidRPr="00946A35">
              <w:t>Read and interpret demolition site work</w:t>
            </w:r>
            <w:r w:rsidR="00D50036">
              <w:t xml:space="preserve"> </w:t>
            </w:r>
            <w:r w:rsidRPr="00946A35">
              <w:t>plans</w:t>
            </w:r>
          </w:p>
        </w:tc>
      </w:tr>
      <w:tr w:rsidR="005155A6" w:rsidRPr="00946A35" w14:paraId="7D5712B5" w14:textId="77777777" w:rsidTr="00D35C35">
        <w:tc>
          <w:tcPr>
            <w:tcW w:w="1562" w:type="dxa"/>
          </w:tcPr>
          <w:p w14:paraId="53875AB1" w14:textId="77777777" w:rsidR="005155A6" w:rsidRPr="00946A35" w:rsidRDefault="005155A6" w:rsidP="00865E7A">
            <w:r w:rsidRPr="00946A35">
              <w:t>CPCCWHS2001</w:t>
            </w:r>
          </w:p>
        </w:tc>
        <w:tc>
          <w:tcPr>
            <w:tcW w:w="7510" w:type="dxa"/>
          </w:tcPr>
          <w:p w14:paraId="0AAF2CD1" w14:textId="77777777" w:rsidR="005155A6" w:rsidRPr="00946A35" w:rsidRDefault="005155A6" w:rsidP="00865E7A">
            <w:r w:rsidRPr="00946A35">
              <w:t>Apply WHS requirements, policies and procedures in the construction industry</w:t>
            </w:r>
          </w:p>
        </w:tc>
      </w:tr>
      <w:tr w:rsidR="005155A6" w:rsidRPr="00946A35" w14:paraId="37BCF953" w14:textId="77777777" w:rsidTr="00D35C35">
        <w:tc>
          <w:tcPr>
            <w:tcW w:w="1562" w:type="dxa"/>
          </w:tcPr>
          <w:p w14:paraId="1075A038" w14:textId="77777777" w:rsidR="005155A6" w:rsidRPr="00946A35" w:rsidRDefault="005155A6" w:rsidP="00865E7A">
            <w:r w:rsidRPr="00946A35">
              <w:t>MEM11011B</w:t>
            </w:r>
          </w:p>
        </w:tc>
        <w:tc>
          <w:tcPr>
            <w:tcW w:w="7510" w:type="dxa"/>
          </w:tcPr>
          <w:p w14:paraId="0B903E91" w14:textId="77777777" w:rsidR="005155A6" w:rsidRPr="00946A35" w:rsidRDefault="005155A6" w:rsidP="00865E7A">
            <w:r w:rsidRPr="00946A35">
              <w:t>Undertake manual handling</w:t>
            </w:r>
          </w:p>
        </w:tc>
      </w:tr>
      <w:tr w:rsidR="005155A6" w:rsidRPr="00946A35" w14:paraId="7F531659" w14:textId="77777777" w:rsidTr="00D35C35">
        <w:tc>
          <w:tcPr>
            <w:tcW w:w="1562" w:type="dxa"/>
          </w:tcPr>
          <w:p w14:paraId="67B5A4EA" w14:textId="77777777" w:rsidR="005155A6" w:rsidRPr="00946A35" w:rsidRDefault="005155A6" w:rsidP="00865E7A">
            <w:r w:rsidRPr="00946A35">
              <w:t>TLID2003</w:t>
            </w:r>
            <w:bookmarkStart w:id="2" w:name="_GoBack"/>
            <w:bookmarkEnd w:id="2"/>
          </w:p>
        </w:tc>
        <w:tc>
          <w:tcPr>
            <w:tcW w:w="7510" w:type="dxa"/>
          </w:tcPr>
          <w:p w14:paraId="3E8494F3" w14:textId="77777777" w:rsidR="005155A6" w:rsidRPr="00946A35" w:rsidRDefault="005155A6" w:rsidP="00865E7A">
            <w:pPr>
              <w:rPr>
                <w:sz w:val="24"/>
                <w:szCs w:val="24"/>
              </w:rPr>
            </w:pPr>
            <w:r w:rsidRPr="00946A35">
              <w:t>Handle dangerous goods/hazardous substances</w:t>
            </w:r>
            <w:r w:rsidRPr="00946A35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14:paraId="2D60A9A2" w14:textId="77777777" w:rsidR="00D35C35" w:rsidRDefault="00D35C35" w:rsidP="005155A6">
      <w:pPr>
        <w:rPr>
          <w:b/>
          <w:color w:val="000000" w:themeColor="text1"/>
        </w:rPr>
      </w:pPr>
    </w:p>
    <w:p w14:paraId="236AA061" w14:textId="0CB596A3" w:rsidR="005155A6" w:rsidRPr="0007199C" w:rsidRDefault="0007199C" w:rsidP="005155A6">
      <w:pPr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="005155A6" w:rsidRPr="0007199C">
        <w:rPr>
          <w:b/>
          <w:color w:val="000000" w:themeColor="text1"/>
        </w:rPr>
        <w:t>lective units</w:t>
      </w:r>
    </w:p>
    <w:p w14:paraId="4C977703" w14:textId="77777777" w:rsidR="005155A6" w:rsidRPr="00946A35" w:rsidRDefault="005155A6" w:rsidP="005155A6">
      <w:pPr>
        <w:ind w:right="95"/>
        <w:rPr>
          <w:b/>
        </w:rPr>
      </w:pPr>
      <w:r w:rsidRPr="00946A35">
        <w:rPr>
          <w:b/>
        </w:rPr>
        <w:t>Group A – General Electives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7470"/>
      </w:tblGrid>
      <w:tr w:rsidR="005155A6" w:rsidRPr="00946A35" w14:paraId="62763C54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F1BEB9E" w14:textId="73D18445" w:rsidR="005155A6" w:rsidRPr="00946A35" w:rsidRDefault="005155A6" w:rsidP="00865E7A">
            <w:r w:rsidRPr="00946A35">
              <w:t xml:space="preserve">CPCCDE3014* 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2D2AEA96" w14:textId="77777777" w:rsidR="005155A6" w:rsidRPr="00946A35" w:rsidRDefault="005155A6" w:rsidP="00865E7A">
            <w:r w:rsidRPr="00946A35">
              <w:t xml:space="preserve">Remove non-friable asbestos </w:t>
            </w:r>
          </w:p>
        </w:tc>
      </w:tr>
      <w:tr w:rsidR="005155A6" w:rsidRPr="00946A35" w14:paraId="618D9D0C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6CF5596D" w14:textId="77777777" w:rsidR="005155A6" w:rsidRPr="00946A35" w:rsidRDefault="005155A6" w:rsidP="00865E7A">
            <w:r w:rsidRPr="00946A35">
              <w:t xml:space="preserve">CPCCDE3015* 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1B748E8E" w14:textId="77777777" w:rsidR="005155A6" w:rsidRPr="00946A35" w:rsidRDefault="005155A6" w:rsidP="00865E7A">
            <w:r w:rsidRPr="00946A35">
              <w:t xml:space="preserve">Remove friable asbestos </w:t>
            </w:r>
          </w:p>
        </w:tc>
      </w:tr>
      <w:tr w:rsidR="005155A6" w:rsidRPr="00946A35" w14:paraId="42CB4B85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8CBC7CE" w14:textId="77777777" w:rsidR="005155A6" w:rsidRPr="00946A35" w:rsidRDefault="005155A6" w:rsidP="00865E7A">
            <w:r w:rsidRPr="00946A35">
              <w:t xml:space="preserve">CPCCSF2003* 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0CBCD1DA" w14:textId="77777777" w:rsidR="005155A6" w:rsidRPr="00946A35" w:rsidRDefault="005155A6" w:rsidP="00865E7A">
            <w:r w:rsidRPr="00946A35">
              <w:t xml:space="preserve">Cut and bend materials using oxy-LPG equipment </w:t>
            </w:r>
          </w:p>
        </w:tc>
      </w:tr>
      <w:tr w:rsidR="005155A6" w:rsidRPr="00946A35" w14:paraId="5F6F758D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C1D176B" w14:textId="77777777" w:rsidR="005155A6" w:rsidRPr="00946A35" w:rsidRDefault="005155A6" w:rsidP="00865E7A">
            <w:r w:rsidRPr="00946A35">
              <w:t xml:space="preserve">RIIWHS202D 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53181F23" w14:textId="77777777" w:rsidR="005155A6" w:rsidRPr="00946A35" w:rsidRDefault="005155A6" w:rsidP="00865E7A">
            <w:r w:rsidRPr="00946A35">
              <w:t>Enter and work in confined spaces</w:t>
            </w:r>
          </w:p>
        </w:tc>
      </w:tr>
      <w:tr w:rsidR="005155A6" w:rsidRPr="00946A35" w14:paraId="495BABBC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1FD9B62" w14:textId="77777777" w:rsidR="005155A6" w:rsidRPr="00946A35" w:rsidRDefault="005155A6" w:rsidP="00865E7A">
            <w:r w:rsidRPr="00946A35">
              <w:t xml:space="preserve">RIIWHS205D 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093ECD6E" w14:textId="77777777" w:rsidR="005155A6" w:rsidRPr="00946A35" w:rsidRDefault="005155A6" w:rsidP="00865E7A">
            <w:r w:rsidRPr="00946A35">
              <w:t>Control traffic with stop-slow bat</w:t>
            </w:r>
          </w:p>
        </w:tc>
      </w:tr>
      <w:tr w:rsidR="005155A6" w:rsidRPr="00946A35" w14:paraId="05FCCEB7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5CD81CAB" w14:textId="77777777" w:rsidR="005155A6" w:rsidRPr="00946A35" w:rsidRDefault="005155A6" w:rsidP="00865E7A">
            <w:r w:rsidRPr="00946A35">
              <w:t xml:space="preserve">RIIWHS302D 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69D0B000" w14:textId="77777777" w:rsidR="005155A6" w:rsidRPr="00946A35" w:rsidRDefault="005155A6" w:rsidP="00865E7A">
            <w:r w:rsidRPr="00946A35">
              <w:t>Implement traffic management plan</w:t>
            </w:r>
          </w:p>
        </w:tc>
      </w:tr>
      <w:tr w:rsidR="005155A6" w:rsidRPr="00946A35" w14:paraId="386281FB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4E92E65F" w14:textId="77777777" w:rsidR="005155A6" w:rsidRPr="00946A35" w:rsidRDefault="005155A6" w:rsidP="00865E7A">
            <w:r w:rsidRPr="00946A35">
              <w:t>RIIRIS202D</w:t>
            </w:r>
          </w:p>
        </w:tc>
        <w:tc>
          <w:tcPr>
            <w:tcW w:w="4138" w:type="pct"/>
            <w:shd w:val="clear" w:color="auto" w:fill="auto"/>
            <w:noWrap/>
            <w:vAlign w:val="center"/>
            <w:hideMark/>
          </w:tcPr>
          <w:p w14:paraId="749CA493" w14:textId="4C06B2D7" w:rsidR="005155A6" w:rsidRPr="00946A35" w:rsidRDefault="005155A6" w:rsidP="00865E7A">
            <w:r w:rsidRPr="00946A35">
              <w:t xml:space="preserve">Respond to </w:t>
            </w:r>
            <w:proofErr w:type="gramStart"/>
            <w:r w:rsidRPr="00946A35">
              <w:t>site</w:t>
            </w:r>
            <w:r w:rsidR="00806248">
              <w:t xml:space="preserve"> </w:t>
            </w:r>
            <w:r w:rsidRPr="00946A35">
              <w:t>based</w:t>
            </w:r>
            <w:proofErr w:type="gramEnd"/>
            <w:r w:rsidRPr="00946A35">
              <w:t xml:space="preserve"> spills</w:t>
            </w:r>
          </w:p>
        </w:tc>
      </w:tr>
      <w:tr w:rsidR="005155A6" w:rsidRPr="00946A35" w14:paraId="04BFA22D" w14:textId="77777777" w:rsidTr="0041405E">
        <w:trPr>
          <w:trHeight w:val="320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36214749" w14:textId="77777777" w:rsidR="005155A6" w:rsidRPr="00946A35" w:rsidRDefault="005155A6" w:rsidP="00865E7A">
            <w:r w:rsidRPr="00946A35">
              <w:t xml:space="preserve">RIIRTM203D </w:t>
            </w:r>
          </w:p>
        </w:tc>
        <w:tc>
          <w:tcPr>
            <w:tcW w:w="4138" w:type="pct"/>
            <w:shd w:val="clear" w:color="auto" w:fill="auto"/>
            <w:noWrap/>
            <w:vAlign w:val="bottom"/>
            <w:hideMark/>
          </w:tcPr>
          <w:p w14:paraId="35B891D6" w14:textId="77777777" w:rsidR="005155A6" w:rsidRPr="00946A35" w:rsidRDefault="005155A6" w:rsidP="00865E7A">
            <w:r w:rsidRPr="00946A35">
              <w:t>Work as a safety observer/spotter</w:t>
            </w:r>
          </w:p>
        </w:tc>
      </w:tr>
    </w:tbl>
    <w:p w14:paraId="46BD4D3F" w14:textId="77777777" w:rsidR="005155A6" w:rsidRPr="00946A35" w:rsidRDefault="005155A6" w:rsidP="005155A6"/>
    <w:p w14:paraId="67494CDD" w14:textId="26A604E5" w:rsidR="005155A6" w:rsidRPr="00946A35" w:rsidRDefault="005155A6" w:rsidP="005155A6">
      <w:pPr>
        <w:rPr>
          <w:b/>
        </w:rPr>
      </w:pPr>
      <w:r w:rsidRPr="00946A35">
        <w:rPr>
          <w:b/>
        </w:rPr>
        <w:t>Group B – Plant operat</w:t>
      </w:r>
      <w:r w:rsidR="001B5384">
        <w:rPr>
          <w:b/>
        </w:rPr>
        <w:t>ion</w:t>
      </w:r>
      <w:r w:rsidRPr="00946A35">
        <w:rPr>
          <w:b/>
        </w:rPr>
        <w:t xml:space="preserve"> field of work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7"/>
      </w:tblGrid>
      <w:tr w:rsidR="005155A6" w:rsidRPr="00946A35" w14:paraId="16F854B1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5A4B2992" w14:textId="0209180F" w:rsidR="005155A6" w:rsidRPr="00946A35" w:rsidRDefault="005155A6" w:rsidP="00865E7A">
            <w:r w:rsidRPr="00946A35">
              <w:t xml:space="preserve">CPCCDE3021* </w:t>
            </w:r>
          </w:p>
        </w:tc>
        <w:tc>
          <w:tcPr>
            <w:tcW w:w="7517" w:type="dxa"/>
            <w:noWrap/>
            <w:hideMark/>
          </w:tcPr>
          <w:p w14:paraId="10869B16" w14:textId="77777777" w:rsidR="005155A6" w:rsidRPr="00946A35" w:rsidRDefault="005155A6" w:rsidP="00865E7A">
            <w:r w:rsidRPr="00946A35">
              <w:t>Operate demolition material crushing plants</w:t>
            </w:r>
          </w:p>
        </w:tc>
      </w:tr>
      <w:tr w:rsidR="005155A6" w:rsidRPr="00946A35" w14:paraId="24FA84C7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4FD5B888" w14:textId="7B7C3C24" w:rsidR="005155A6" w:rsidRPr="00946A35" w:rsidRDefault="005155A6" w:rsidP="00865E7A">
            <w:r w:rsidRPr="00946A35">
              <w:t>CPCCDE3022*</w:t>
            </w:r>
          </w:p>
        </w:tc>
        <w:tc>
          <w:tcPr>
            <w:tcW w:w="7517" w:type="dxa"/>
            <w:noWrap/>
            <w:hideMark/>
          </w:tcPr>
          <w:p w14:paraId="55151604" w14:textId="77777777" w:rsidR="005155A6" w:rsidRPr="00946A35" w:rsidRDefault="005155A6" w:rsidP="00865E7A">
            <w:r w:rsidRPr="00946A35">
              <w:t>Manage demolition recyclable and waste materials using load shifting equipment</w:t>
            </w:r>
          </w:p>
        </w:tc>
      </w:tr>
      <w:tr w:rsidR="005155A6" w:rsidRPr="00946A35" w14:paraId="75E67EC8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39C47A4B" w14:textId="77777777" w:rsidR="005155A6" w:rsidRPr="00946A35" w:rsidRDefault="005155A6" w:rsidP="00865E7A">
            <w:r w:rsidRPr="00946A35">
              <w:t xml:space="preserve">CPCCDE3023* </w:t>
            </w:r>
          </w:p>
        </w:tc>
        <w:tc>
          <w:tcPr>
            <w:tcW w:w="7517" w:type="dxa"/>
            <w:noWrap/>
            <w:hideMark/>
          </w:tcPr>
          <w:p w14:paraId="41946B55" w14:textId="77777777" w:rsidR="005155A6" w:rsidRPr="00946A35" w:rsidRDefault="005155A6" w:rsidP="00865E7A">
            <w:r w:rsidRPr="00946A35">
              <w:t xml:space="preserve">Operate skid steer loaders at ground level on demolition sites </w:t>
            </w:r>
          </w:p>
        </w:tc>
      </w:tr>
      <w:tr w:rsidR="005155A6" w:rsidRPr="00946A35" w14:paraId="65621099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269AB5DE" w14:textId="77777777" w:rsidR="005155A6" w:rsidRPr="00946A35" w:rsidRDefault="005155A6" w:rsidP="00865E7A">
            <w:r w:rsidRPr="00946A35">
              <w:t xml:space="preserve">CPCCDE3024* </w:t>
            </w:r>
          </w:p>
        </w:tc>
        <w:tc>
          <w:tcPr>
            <w:tcW w:w="7517" w:type="dxa"/>
            <w:noWrap/>
            <w:hideMark/>
          </w:tcPr>
          <w:p w14:paraId="183FDF31" w14:textId="77777777" w:rsidR="005155A6" w:rsidRPr="00946A35" w:rsidRDefault="005155A6" w:rsidP="00865E7A">
            <w:r w:rsidRPr="00946A35">
              <w:t>Operate mobile plant on suspended floors on demolition sites</w:t>
            </w:r>
          </w:p>
        </w:tc>
      </w:tr>
      <w:tr w:rsidR="005155A6" w:rsidRPr="00946A35" w14:paraId="6B01B145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7E23A774" w14:textId="77777777" w:rsidR="005155A6" w:rsidRPr="00946A35" w:rsidRDefault="005155A6" w:rsidP="00865E7A">
            <w:r w:rsidRPr="00946A35">
              <w:t>CPCCDE3025*</w:t>
            </w:r>
          </w:p>
        </w:tc>
        <w:tc>
          <w:tcPr>
            <w:tcW w:w="7517" w:type="dxa"/>
            <w:noWrap/>
            <w:hideMark/>
          </w:tcPr>
          <w:p w14:paraId="38DC003B" w14:textId="77777777" w:rsidR="005155A6" w:rsidRPr="00946A35" w:rsidRDefault="005155A6" w:rsidP="00865E7A">
            <w:r w:rsidRPr="00946A35">
              <w:t>Operate remote-controlled plant on demolition sites</w:t>
            </w:r>
          </w:p>
        </w:tc>
      </w:tr>
      <w:tr w:rsidR="005155A6" w:rsidRPr="00946A35" w14:paraId="246C21B6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3AFA9C1A" w14:textId="77777777" w:rsidR="005155A6" w:rsidRPr="00946A35" w:rsidRDefault="005155A6" w:rsidP="00865E7A">
            <w:r w:rsidRPr="00946A35">
              <w:t>CPCCDE3026*</w:t>
            </w:r>
          </w:p>
        </w:tc>
        <w:tc>
          <w:tcPr>
            <w:tcW w:w="7517" w:type="dxa"/>
            <w:noWrap/>
            <w:hideMark/>
          </w:tcPr>
          <w:p w14:paraId="3B436AFC" w14:textId="77777777" w:rsidR="005155A6" w:rsidRPr="00946A35" w:rsidRDefault="005155A6" w:rsidP="00865E7A">
            <w:r w:rsidRPr="00946A35">
              <w:t>Operate excavators at ground level to demolish building elements</w:t>
            </w:r>
          </w:p>
        </w:tc>
      </w:tr>
      <w:tr w:rsidR="005155A6" w:rsidRPr="00946A35" w14:paraId="6DA5E6D1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635606A0" w14:textId="58788AE0" w:rsidR="005155A6" w:rsidRPr="00946A35" w:rsidRDefault="005155A6" w:rsidP="00865E7A">
            <w:r w:rsidRPr="00946A35">
              <w:t>RIIHAN309</w:t>
            </w:r>
            <w:r w:rsidR="00496724">
              <w:t>F</w:t>
            </w:r>
            <w:r w:rsidRPr="00946A35">
              <w:t xml:space="preserve"> </w:t>
            </w:r>
          </w:p>
        </w:tc>
        <w:tc>
          <w:tcPr>
            <w:tcW w:w="7517" w:type="dxa"/>
            <w:noWrap/>
            <w:hideMark/>
          </w:tcPr>
          <w:p w14:paraId="76491B36" w14:textId="77777777" w:rsidR="005155A6" w:rsidRPr="00946A35" w:rsidRDefault="005155A6" w:rsidP="00865E7A">
            <w:r w:rsidRPr="00946A35">
              <w:t>Conduct telescopic materials handler operations</w:t>
            </w:r>
          </w:p>
        </w:tc>
      </w:tr>
      <w:tr w:rsidR="005155A6" w:rsidRPr="00946A35" w14:paraId="1C1E1777" w14:textId="77777777" w:rsidTr="00D35C35">
        <w:trPr>
          <w:trHeight w:val="320"/>
        </w:trPr>
        <w:tc>
          <w:tcPr>
            <w:tcW w:w="1555" w:type="dxa"/>
            <w:noWrap/>
            <w:hideMark/>
          </w:tcPr>
          <w:p w14:paraId="1094D80A" w14:textId="4A1697B0" w:rsidR="005155A6" w:rsidRPr="00946A35" w:rsidRDefault="005155A6" w:rsidP="00865E7A">
            <w:r w:rsidRPr="00946A35">
              <w:t>RIIMPO320</w:t>
            </w:r>
            <w:r w:rsidR="001B5384">
              <w:t>F</w:t>
            </w:r>
            <w:r w:rsidRPr="00946A35">
              <w:t xml:space="preserve"> </w:t>
            </w:r>
          </w:p>
        </w:tc>
        <w:tc>
          <w:tcPr>
            <w:tcW w:w="7517" w:type="dxa"/>
            <w:noWrap/>
            <w:hideMark/>
          </w:tcPr>
          <w:p w14:paraId="3930B1B4" w14:textId="77777777" w:rsidR="005155A6" w:rsidRPr="00946A35" w:rsidRDefault="005155A6" w:rsidP="00865E7A">
            <w:r w:rsidRPr="00946A35">
              <w:t>Conduct civil construction excavator operations</w:t>
            </w:r>
          </w:p>
        </w:tc>
      </w:tr>
    </w:tbl>
    <w:p w14:paraId="741E04FD" w14:textId="619D81CB" w:rsidR="005155A6" w:rsidRPr="00946A35" w:rsidRDefault="001B5384" w:rsidP="00D35C35">
      <w:pPr>
        <w:spacing w:after="0" w:line="240" w:lineRule="auto"/>
        <w:rPr>
          <w:b/>
        </w:rPr>
      </w:pPr>
      <w:r>
        <w:rPr>
          <w:b/>
        </w:rPr>
        <w:br w:type="page"/>
      </w:r>
      <w:r w:rsidR="005155A6" w:rsidRPr="00946A35">
        <w:rPr>
          <w:b/>
        </w:rPr>
        <w:lastRenderedPageBreak/>
        <w:t xml:space="preserve">Group C – licensing field of work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99"/>
      </w:tblGrid>
      <w:tr w:rsidR="00760C09" w:rsidRPr="00946A35" w14:paraId="45DDA28E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5565B5D3" w14:textId="77777777" w:rsidR="005155A6" w:rsidRPr="00946A35" w:rsidRDefault="005155A6" w:rsidP="005155A6">
            <w:r w:rsidRPr="00946A35">
              <w:t xml:space="preserve">CPCCCM3001 </w:t>
            </w:r>
          </w:p>
        </w:tc>
        <w:tc>
          <w:tcPr>
            <w:tcW w:w="3822" w:type="pct"/>
            <w:noWrap/>
            <w:hideMark/>
          </w:tcPr>
          <w:p w14:paraId="39FD4F72" w14:textId="77777777" w:rsidR="005155A6" w:rsidRPr="00946A35" w:rsidRDefault="005155A6" w:rsidP="005155A6">
            <w:r w:rsidRPr="00946A35">
              <w:t>Operate elevated work platforms up to 11 metres </w:t>
            </w:r>
          </w:p>
        </w:tc>
      </w:tr>
      <w:tr w:rsidR="00760C09" w:rsidRPr="00946A35" w14:paraId="2F086FAF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62B1E8C4" w14:textId="52CBD259" w:rsidR="005155A6" w:rsidRPr="00946A35" w:rsidRDefault="005155A6" w:rsidP="005155A6">
            <w:pPr>
              <w:ind w:right="-2895"/>
            </w:pPr>
            <w:r w:rsidRPr="00946A35">
              <w:t>CPCCLDG3001</w:t>
            </w:r>
            <w:r w:rsidR="00496724">
              <w:t>A</w:t>
            </w:r>
            <w:r w:rsidRPr="00946A35">
              <w:t xml:space="preserve"> </w:t>
            </w:r>
          </w:p>
        </w:tc>
        <w:tc>
          <w:tcPr>
            <w:tcW w:w="3822" w:type="pct"/>
            <w:noWrap/>
            <w:hideMark/>
          </w:tcPr>
          <w:p w14:paraId="5E3B9678" w14:textId="77777777" w:rsidR="005155A6" w:rsidRPr="00946A35" w:rsidRDefault="005155A6" w:rsidP="005155A6">
            <w:r w:rsidRPr="00946A35">
              <w:t>Licence to perform dogging</w:t>
            </w:r>
          </w:p>
        </w:tc>
      </w:tr>
      <w:tr w:rsidR="00760C09" w:rsidRPr="00946A35" w14:paraId="1664B15D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71B14A3D" w14:textId="2577B56E" w:rsidR="005155A6" w:rsidRPr="00946A35" w:rsidRDefault="005155A6" w:rsidP="005155A6">
            <w:r w:rsidRPr="00946A35">
              <w:t>CPCCLHS3001</w:t>
            </w:r>
            <w:r w:rsidR="00496724">
              <w:t>A</w:t>
            </w:r>
          </w:p>
        </w:tc>
        <w:tc>
          <w:tcPr>
            <w:tcW w:w="3822" w:type="pct"/>
            <w:noWrap/>
            <w:hideMark/>
          </w:tcPr>
          <w:p w14:paraId="3979F2CF" w14:textId="77777777" w:rsidR="005155A6" w:rsidRPr="00946A35" w:rsidRDefault="005155A6" w:rsidP="005155A6">
            <w:r w:rsidRPr="00946A35">
              <w:t>Licence to operate a personnel and materials hoist</w:t>
            </w:r>
          </w:p>
        </w:tc>
      </w:tr>
      <w:tr w:rsidR="00760C09" w:rsidRPr="00946A35" w14:paraId="1C3FF8B9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2FF4FF2C" w14:textId="2D908F4A" w:rsidR="005155A6" w:rsidRPr="00946A35" w:rsidRDefault="005155A6" w:rsidP="005155A6">
            <w:r w:rsidRPr="00946A35">
              <w:t>CPCCLRG3001</w:t>
            </w:r>
            <w:r w:rsidR="00496724">
              <w:t>A</w:t>
            </w:r>
            <w:r w:rsidRPr="00946A35">
              <w:t xml:space="preserve">** </w:t>
            </w:r>
          </w:p>
        </w:tc>
        <w:tc>
          <w:tcPr>
            <w:tcW w:w="3822" w:type="pct"/>
            <w:noWrap/>
            <w:hideMark/>
          </w:tcPr>
          <w:p w14:paraId="64EE1246" w14:textId="77777777" w:rsidR="005155A6" w:rsidRPr="00946A35" w:rsidRDefault="005155A6" w:rsidP="005155A6">
            <w:r w:rsidRPr="00946A35">
              <w:t>Licence to perform rigging basic level</w:t>
            </w:r>
          </w:p>
        </w:tc>
      </w:tr>
      <w:tr w:rsidR="00760C09" w:rsidRPr="00946A35" w14:paraId="3B97996A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5D359D42" w14:textId="47D5A4DB" w:rsidR="005155A6" w:rsidRPr="00946A35" w:rsidRDefault="005155A6" w:rsidP="005155A6">
            <w:r w:rsidRPr="00946A35">
              <w:t>CPCCLRG3002</w:t>
            </w:r>
            <w:r w:rsidR="00496724">
              <w:t>A</w:t>
            </w:r>
            <w:r w:rsidRPr="00946A35">
              <w:t xml:space="preserve">*** </w:t>
            </w:r>
          </w:p>
        </w:tc>
        <w:tc>
          <w:tcPr>
            <w:tcW w:w="3822" w:type="pct"/>
            <w:noWrap/>
            <w:hideMark/>
          </w:tcPr>
          <w:p w14:paraId="6CDED4D3" w14:textId="77777777" w:rsidR="005155A6" w:rsidRPr="00946A35" w:rsidRDefault="005155A6" w:rsidP="005155A6">
            <w:r w:rsidRPr="00946A35">
              <w:t>Licence to perform rigging intermediate level</w:t>
            </w:r>
          </w:p>
        </w:tc>
      </w:tr>
      <w:tr w:rsidR="00760C09" w:rsidRPr="00946A35" w14:paraId="44967238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41E54D9A" w14:textId="0A72BDAF" w:rsidR="005155A6" w:rsidRPr="00946A35" w:rsidRDefault="005155A6" w:rsidP="005155A6">
            <w:r w:rsidRPr="00946A35">
              <w:t>CPCCLSF2001</w:t>
            </w:r>
            <w:r w:rsidR="00496724">
              <w:t>A</w:t>
            </w:r>
          </w:p>
        </w:tc>
        <w:tc>
          <w:tcPr>
            <w:tcW w:w="3822" w:type="pct"/>
            <w:noWrap/>
            <w:hideMark/>
          </w:tcPr>
          <w:p w14:paraId="14DEDB79" w14:textId="77777777" w:rsidR="005155A6" w:rsidRPr="00946A35" w:rsidRDefault="005155A6" w:rsidP="005155A6">
            <w:r w:rsidRPr="00946A35">
              <w:t>Licence to erect, alter and dismantle scaffolding basic level</w:t>
            </w:r>
          </w:p>
        </w:tc>
      </w:tr>
      <w:tr w:rsidR="00760C09" w:rsidRPr="00946A35" w14:paraId="05EA8F15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5AA8B033" w14:textId="151A296C" w:rsidR="005155A6" w:rsidRPr="00946A35" w:rsidRDefault="005155A6" w:rsidP="005155A6">
            <w:r w:rsidRPr="00946A35">
              <w:t>CPCCLSF3001</w:t>
            </w:r>
            <w:r w:rsidR="00496724">
              <w:t>A</w:t>
            </w:r>
            <w:r w:rsidRPr="00946A35">
              <w:t xml:space="preserve">**** </w:t>
            </w:r>
          </w:p>
        </w:tc>
        <w:tc>
          <w:tcPr>
            <w:tcW w:w="3822" w:type="pct"/>
            <w:noWrap/>
            <w:hideMark/>
          </w:tcPr>
          <w:p w14:paraId="147C76E9" w14:textId="77777777" w:rsidR="005155A6" w:rsidRPr="00946A35" w:rsidRDefault="005155A6" w:rsidP="005155A6">
            <w:r w:rsidRPr="00946A35">
              <w:t>Licence to erect, alter and dismantle scaffolding intermediate level</w:t>
            </w:r>
          </w:p>
        </w:tc>
      </w:tr>
      <w:tr w:rsidR="00760C09" w:rsidRPr="00946A35" w14:paraId="28B22382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127FC238" w14:textId="7A26C0E9" w:rsidR="005155A6" w:rsidRPr="00946A35" w:rsidRDefault="005155A6" w:rsidP="005155A6">
            <w:r w:rsidRPr="00946A35">
              <w:t>CPCCLSF4001</w:t>
            </w:r>
            <w:r w:rsidR="00496724">
              <w:t>A</w:t>
            </w:r>
            <w:r w:rsidRPr="00946A35">
              <w:t xml:space="preserve">***** </w:t>
            </w:r>
          </w:p>
        </w:tc>
        <w:tc>
          <w:tcPr>
            <w:tcW w:w="3822" w:type="pct"/>
            <w:noWrap/>
            <w:hideMark/>
          </w:tcPr>
          <w:p w14:paraId="4A4A8A8D" w14:textId="77777777" w:rsidR="005155A6" w:rsidRPr="00946A35" w:rsidRDefault="005155A6" w:rsidP="005155A6">
            <w:r w:rsidRPr="00946A35">
              <w:t>Licence to erect, alter and dismantle scaffolding advanced level</w:t>
            </w:r>
          </w:p>
        </w:tc>
      </w:tr>
      <w:tr w:rsidR="00760C09" w:rsidRPr="00946A35" w14:paraId="0F1D6C18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6777D27E" w14:textId="77777777" w:rsidR="005155A6" w:rsidRPr="00946A35" w:rsidRDefault="005155A6" w:rsidP="005155A6">
            <w:r w:rsidRPr="00946A35">
              <w:t xml:space="preserve">TLILIC0003 </w:t>
            </w:r>
          </w:p>
        </w:tc>
        <w:tc>
          <w:tcPr>
            <w:tcW w:w="3822" w:type="pct"/>
            <w:noWrap/>
            <w:hideMark/>
          </w:tcPr>
          <w:p w14:paraId="7AD316C5" w14:textId="77777777" w:rsidR="005155A6" w:rsidRPr="00946A35" w:rsidRDefault="005155A6" w:rsidP="005155A6">
            <w:r w:rsidRPr="00946A35">
              <w:t>Licence to operate a forklift truck</w:t>
            </w:r>
          </w:p>
        </w:tc>
      </w:tr>
      <w:tr w:rsidR="00760C09" w:rsidRPr="00946A35" w14:paraId="6425206A" w14:textId="77777777" w:rsidTr="00496724">
        <w:trPr>
          <w:trHeight w:val="320"/>
        </w:trPr>
        <w:tc>
          <w:tcPr>
            <w:tcW w:w="1178" w:type="pct"/>
            <w:noWrap/>
            <w:hideMark/>
          </w:tcPr>
          <w:p w14:paraId="76C8972D" w14:textId="77777777" w:rsidR="005155A6" w:rsidRPr="00946A35" w:rsidRDefault="005155A6" w:rsidP="005155A6">
            <w:r w:rsidRPr="00946A35">
              <w:t xml:space="preserve">TLILIC0005  </w:t>
            </w:r>
          </w:p>
        </w:tc>
        <w:tc>
          <w:tcPr>
            <w:tcW w:w="3822" w:type="pct"/>
            <w:noWrap/>
            <w:hideMark/>
          </w:tcPr>
          <w:p w14:paraId="085C9DF9" w14:textId="77777777" w:rsidR="005155A6" w:rsidRPr="00946A35" w:rsidRDefault="005155A6" w:rsidP="005155A6">
            <w:r w:rsidRPr="00946A35">
              <w:t>Licence to operate a boom-type elevating work platform (boom length 11 metres or more)</w:t>
            </w:r>
          </w:p>
        </w:tc>
      </w:tr>
    </w:tbl>
    <w:p w14:paraId="38BCCFD5" w14:textId="77777777" w:rsidR="005155A6" w:rsidRPr="00946A35" w:rsidRDefault="005155A6" w:rsidP="005155A6"/>
    <w:p w14:paraId="3E7DF3F3" w14:textId="77777777" w:rsidR="005155A6" w:rsidRPr="00946A35" w:rsidRDefault="005155A6" w:rsidP="005155A6">
      <w:pPr>
        <w:rPr>
          <w:b/>
          <w:bCs/>
        </w:rPr>
      </w:pPr>
      <w:r w:rsidRPr="00946A35">
        <w:rPr>
          <w:b/>
          <w:bCs/>
        </w:rPr>
        <w:t>QUALIFICATION MAPPING INFORMATION</w:t>
      </w:r>
    </w:p>
    <w:tbl>
      <w:tblPr>
        <w:tblW w:w="50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08"/>
        <w:gridCol w:w="2838"/>
        <w:gridCol w:w="1700"/>
      </w:tblGrid>
      <w:tr w:rsidR="005155A6" w:rsidRPr="00946A35" w14:paraId="0B48375F" w14:textId="77777777" w:rsidTr="0007199C">
        <w:trPr>
          <w:trHeight w:hRule="exact" w:val="970"/>
        </w:trPr>
        <w:tc>
          <w:tcPr>
            <w:tcW w:w="1172" w:type="pct"/>
            <w:shd w:val="clear" w:color="auto" w:fill="auto"/>
            <w:hideMark/>
          </w:tcPr>
          <w:p w14:paraId="01047564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Code and Title</w:t>
            </w:r>
          </w:p>
        </w:tc>
        <w:tc>
          <w:tcPr>
            <w:tcW w:w="1327" w:type="pct"/>
            <w:shd w:val="clear" w:color="auto" w:fill="auto"/>
            <w:hideMark/>
          </w:tcPr>
          <w:p w14:paraId="23183514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CPC08 Construction, Plumbing and Services Training Package</w:t>
            </w:r>
          </w:p>
        </w:tc>
        <w:tc>
          <w:tcPr>
            <w:tcW w:w="1564" w:type="pct"/>
            <w:shd w:val="clear" w:color="auto" w:fill="auto"/>
            <w:hideMark/>
          </w:tcPr>
          <w:p w14:paraId="72B8F922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Comments</w:t>
            </w:r>
          </w:p>
        </w:tc>
        <w:tc>
          <w:tcPr>
            <w:tcW w:w="937" w:type="pct"/>
            <w:shd w:val="clear" w:color="auto" w:fill="auto"/>
            <w:hideMark/>
          </w:tcPr>
          <w:p w14:paraId="3D3A93E3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Anticipated equivalency statement</w:t>
            </w:r>
          </w:p>
        </w:tc>
      </w:tr>
      <w:tr w:rsidR="005155A6" w:rsidRPr="00946A35" w14:paraId="1F273383" w14:textId="77777777" w:rsidTr="0041405E">
        <w:trPr>
          <w:trHeight w:val="28"/>
        </w:trPr>
        <w:tc>
          <w:tcPr>
            <w:tcW w:w="1172" w:type="pct"/>
            <w:shd w:val="clear" w:color="auto" w:fill="auto"/>
            <w:vAlign w:val="center"/>
          </w:tcPr>
          <w:p w14:paraId="6C80EB0F" w14:textId="46A4DD37" w:rsidR="005155A6" w:rsidRPr="00946A35" w:rsidRDefault="005155A6" w:rsidP="0041405E">
            <w:pPr>
              <w:spacing w:after="0" w:line="240" w:lineRule="auto"/>
              <w:rPr>
                <w:b/>
                <w:color w:val="000000"/>
                <w:lang w:eastAsia="en-AU"/>
              </w:rPr>
            </w:pPr>
            <w:r w:rsidRPr="00946A35">
              <w:rPr>
                <w:color w:val="000000"/>
                <w:lang w:eastAsia="en-AU"/>
              </w:rPr>
              <w:t>CPC3</w:t>
            </w:r>
            <w:r w:rsidR="0041405E">
              <w:rPr>
                <w:color w:val="000000"/>
                <w:lang w:eastAsia="en-AU"/>
              </w:rPr>
              <w:t>04</w:t>
            </w:r>
            <w:r w:rsidRPr="00946A35">
              <w:rPr>
                <w:color w:val="000000"/>
                <w:lang w:eastAsia="en-AU"/>
              </w:rPr>
              <w:t xml:space="preserve">19 Certificate III in Demolition 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28C69D74" w14:textId="77777777" w:rsidR="005155A6" w:rsidRPr="00946A35" w:rsidRDefault="005155A6" w:rsidP="0041405E">
            <w:pPr>
              <w:spacing w:after="0" w:line="240" w:lineRule="auto"/>
              <w:rPr>
                <w:b/>
              </w:rPr>
            </w:pPr>
            <w:r w:rsidRPr="00946A35">
              <w:rPr>
                <w:color w:val="000000"/>
                <w:lang w:eastAsia="en-AU"/>
              </w:rPr>
              <w:t>CPC30413 Certificate III in Demolition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640035D" w14:textId="349AEA2B" w:rsidR="005155A6" w:rsidRDefault="005155A6" w:rsidP="0041405E">
            <w:pPr>
              <w:spacing w:after="0" w:line="240" w:lineRule="auto"/>
              <w:rPr>
                <w:color w:val="000000"/>
                <w:lang w:eastAsia="en-AU"/>
              </w:rPr>
            </w:pPr>
            <w:r w:rsidRPr="00946A35">
              <w:t>Supersedes and is equivalent to</w:t>
            </w:r>
            <w:r w:rsidRPr="00946A35">
              <w:rPr>
                <w:color w:val="000000"/>
                <w:lang w:eastAsia="en-AU"/>
              </w:rPr>
              <w:t xml:space="preserve"> CPC30413 Certificate III in Demolition</w:t>
            </w:r>
            <w:r w:rsidR="0041405E">
              <w:rPr>
                <w:color w:val="000000"/>
                <w:lang w:eastAsia="en-AU"/>
              </w:rPr>
              <w:t>.</w:t>
            </w:r>
          </w:p>
          <w:p w14:paraId="361632B6" w14:textId="77777777" w:rsidR="0041405E" w:rsidRDefault="0041405E" w:rsidP="0041405E">
            <w:pPr>
              <w:spacing w:after="0" w:line="240" w:lineRule="auto"/>
              <w:rPr>
                <w:color w:val="000000"/>
                <w:lang w:eastAsia="en-AU"/>
              </w:rPr>
            </w:pPr>
          </w:p>
          <w:p w14:paraId="6693407B" w14:textId="1E40BCE2" w:rsidR="0041405E" w:rsidRPr="00946A35" w:rsidRDefault="0041405E" w:rsidP="0041405E">
            <w:pPr>
              <w:spacing w:after="0" w:line="240" w:lineRule="auto"/>
            </w:pPr>
            <w:r>
              <w:t xml:space="preserve">Updated to the Standards for Training Packages 2012. 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A1DAA9E" w14:textId="77777777" w:rsidR="005155A6" w:rsidRPr="00946A35" w:rsidRDefault="005155A6" w:rsidP="00865E7A">
            <w:pPr>
              <w:spacing w:after="0" w:line="240" w:lineRule="auto"/>
              <w:jc w:val="center"/>
            </w:pPr>
            <w:r w:rsidRPr="00946A35">
              <w:t>E</w:t>
            </w:r>
          </w:p>
        </w:tc>
      </w:tr>
    </w:tbl>
    <w:p w14:paraId="3DEFE056" w14:textId="77777777" w:rsidR="005155A6" w:rsidRPr="00946A35" w:rsidRDefault="005155A6" w:rsidP="005155A6">
      <w:pPr>
        <w:rPr>
          <w:b/>
          <w:bCs/>
        </w:rPr>
      </w:pPr>
    </w:p>
    <w:p w14:paraId="367E227A" w14:textId="77777777" w:rsidR="005155A6" w:rsidRPr="00946A35" w:rsidRDefault="005155A6" w:rsidP="005155A6">
      <w:pPr>
        <w:rPr>
          <w:b/>
          <w:bCs/>
        </w:rPr>
      </w:pPr>
      <w:bookmarkStart w:id="3" w:name="O_661075"/>
      <w:bookmarkEnd w:id="3"/>
      <w:r w:rsidRPr="00946A35">
        <w:rPr>
          <w:b/>
          <w:bCs/>
        </w:rPr>
        <w:t>LINKS</w:t>
      </w:r>
    </w:p>
    <w:p w14:paraId="167C9705" w14:textId="126B116F" w:rsidR="005155A6" w:rsidRPr="0041405E" w:rsidRDefault="005155A6" w:rsidP="0041405E">
      <w:pPr>
        <w:pStyle w:val="BodyText"/>
      </w:pPr>
      <w:r w:rsidRPr="00946A35">
        <w:t>An Implementation Guide to this Training Package is available at:</w:t>
      </w:r>
    </w:p>
    <w:p w14:paraId="140D1A94" w14:textId="5A99ECC9" w:rsidR="00E6083E" w:rsidRPr="00CC0B26" w:rsidRDefault="00973405" w:rsidP="0041405E">
      <w:pPr>
        <w:rPr>
          <w:rFonts w:eastAsia="Yu Gothic Light"/>
          <w:b/>
          <w:sz w:val="32"/>
          <w:szCs w:val="26"/>
        </w:rPr>
      </w:pPr>
      <w:hyperlink r:id="rId8" w:history="1">
        <w:r w:rsidR="0041405E" w:rsidRPr="00DA329C">
          <w:rPr>
            <w:rStyle w:val="Hyperlink"/>
          </w:rPr>
          <w:t>https://vetnet.education.gov.au/Pages/TrainingDocs.aspx?q=7e15fa6a-68b8-4097-b099-030a5569b1ad</w:t>
        </w:r>
      </w:hyperlink>
    </w:p>
    <w:sectPr w:rsidR="00E6083E" w:rsidRPr="00CC0B26" w:rsidSect="00E83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B231" w14:textId="77777777" w:rsidR="00973405" w:rsidRDefault="00973405" w:rsidP="00A66B71">
      <w:pPr>
        <w:spacing w:after="0" w:line="240" w:lineRule="auto"/>
      </w:pPr>
      <w:r>
        <w:separator/>
      </w:r>
    </w:p>
  </w:endnote>
  <w:endnote w:type="continuationSeparator" w:id="0">
    <w:p w14:paraId="03F7271F" w14:textId="77777777" w:rsidR="00973405" w:rsidRDefault="00973405" w:rsidP="00A6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BED7" w14:textId="77777777" w:rsidR="00172C4F" w:rsidRDefault="0017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D0DD" w14:textId="77777777" w:rsidR="00172C4F" w:rsidRDefault="00172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0E8D" w14:textId="77777777" w:rsidR="00172C4F" w:rsidRDefault="0017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D320" w14:textId="77777777" w:rsidR="00973405" w:rsidRDefault="00973405" w:rsidP="00A66B71">
      <w:pPr>
        <w:spacing w:after="0" w:line="240" w:lineRule="auto"/>
      </w:pPr>
      <w:r>
        <w:separator/>
      </w:r>
    </w:p>
  </w:footnote>
  <w:footnote w:type="continuationSeparator" w:id="0">
    <w:p w14:paraId="294D1CD4" w14:textId="77777777" w:rsidR="00973405" w:rsidRDefault="00973405" w:rsidP="00A6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9D0" w14:textId="6F0BA4D7" w:rsidR="00A66B71" w:rsidRDefault="00A6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F090" w14:textId="2CBFACD7" w:rsidR="00A66B71" w:rsidRDefault="00A6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B52" w14:textId="5F0572A2" w:rsidR="00A66B71" w:rsidRDefault="00A6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922"/>
    <w:multiLevelType w:val="hybridMultilevel"/>
    <w:tmpl w:val="6B6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F74"/>
    <w:multiLevelType w:val="multilevel"/>
    <w:tmpl w:val="002E6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15EE9"/>
    <w:multiLevelType w:val="hybridMultilevel"/>
    <w:tmpl w:val="9218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5" w15:restartNumberingAfterBreak="0">
    <w:nsid w:val="38C944E3"/>
    <w:multiLevelType w:val="hybridMultilevel"/>
    <w:tmpl w:val="FCD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421F"/>
    <w:multiLevelType w:val="hybridMultilevel"/>
    <w:tmpl w:val="064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61D0"/>
    <w:multiLevelType w:val="hybridMultilevel"/>
    <w:tmpl w:val="7DF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6C2A"/>
    <w:multiLevelType w:val="multilevel"/>
    <w:tmpl w:val="A9686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1"/>
    <w:rsid w:val="000230B1"/>
    <w:rsid w:val="00033B51"/>
    <w:rsid w:val="0007199C"/>
    <w:rsid w:val="0007240A"/>
    <w:rsid w:val="000812A9"/>
    <w:rsid w:val="000B6792"/>
    <w:rsid w:val="000B743C"/>
    <w:rsid w:val="000C3CAC"/>
    <w:rsid w:val="000D35EA"/>
    <w:rsid w:val="001133DB"/>
    <w:rsid w:val="00115331"/>
    <w:rsid w:val="00131BFF"/>
    <w:rsid w:val="00172C4F"/>
    <w:rsid w:val="0017530E"/>
    <w:rsid w:val="001958B6"/>
    <w:rsid w:val="001A4539"/>
    <w:rsid w:val="001B5384"/>
    <w:rsid w:val="001C20F1"/>
    <w:rsid w:val="001C2F29"/>
    <w:rsid w:val="001C3869"/>
    <w:rsid w:val="001D0CFD"/>
    <w:rsid w:val="002063A9"/>
    <w:rsid w:val="00214CA8"/>
    <w:rsid w:val="002214A9"/>
    <w:rsid w:val="00275118"/>
    <w:rsid w:val="00277555"/>
    <w:rsid w:val="0028257C"/>
    <w:rsid w:val="00292252"/>
    <w:rsid w:val="002C7BE3"/>
    <w:rsid w:val="002E3360"/>
    <w:rsid w:val="002E511F"/>
    <w:rsid w:val="00330A15"/>
    <w:rsid w:val="00341199"/>
    <w:rsid w:val="003553AB"/>
    <w:rsid w:val="00361A30"/>
    <w:rsid w:val="00362DD7"/>
    <w:rsid w:val="003A1828"/>
    <w:rsid w:val="003A2EA7"/>
    <w:rsid w:val="003C22D8"/>
    <w:rsid w:val="003E22D4"/>
    <w:rsid w:val="003F15B7"/>
    <w:rsid w:val="003F5F27"/>
    <w:rsid w:val="00401D48"/>
    <w:rsid w:val="0041405E"/>
    <w:rsid w:val="00466204"/>
    <w:rsid w:val="0047226A"/>
    <w:rsid w:val="00495FE5"/>
    <w:rsid w:val="00496724"/>
    <w:rsid w:val="0049719B"/>
    <w:rsid w:val="004C4E1E"/>
    <w:rsid w:val="004E0DD0"/>
    <w:rsid w:val="004F42E7"/>
    <w:rsid w:val="004F7731"/>
    <w:rsid w:val="00510DD2"/>
    <w:rsid w:val="005155A6"/>
    <w:rsid w:val="00520134"/>
    <w:rsid w:val="005210D2"/>
    <w:rsid w:val="005241E0"/>
    <w:rsid w:val="005322CE"/>
    <w:rsid w:val="0053341E"/>
    <w:rsid w:val="00536D46"/>
    <w:rsid w:val="00546A95"/>
    <w:rsid w:val="00546FFF"/>
    <w:rsid w:val="00586961"/>
    <w:rsid w:val="005A3D42"/>
    <w:rsid w:val="005C187E"/>
    <w:rsid w:val="005D5EA2"/>
    <w:rsid w:val="005F24B1"/>
    <w:rsid w:val="00600B32"/>
    <w:rsid w:val="00612E2D"/>
    <w:rsid w:val="00655891"/>
    <w:rsid w:val="0067115A"/>
    <w:rsid w:val="00680384"/>
    <w:rsid w:val="00696BED"/>
    <w:rsid w:val="006A037A"/>
    <w:rsid w:val="006B6AAA"/>
    <w:rsid w:val="006C1E5D"/>
    <w:rsid w:val="006D159E"/>
    <w:rsid w:val="006D3416"/>
    <w:rsid w:val="006D7DC8"/>
    <w:rsid w:val="006F082C"/>
    <w:rsid w:val="006F1142"/>
    <w:rsid w:val="006F4EE1"/>
    <w:rsid w:val="007176F9"/>
    <w:rsid w:val="00721C5E"/>
    <w:rsid w:val="007435DC"/>
    <w:rsid w:val="00760C09"/>
    <w:rsid w:val="007707BE"/>
    <w:rsid w:val="007742DC"/>
    <w:rsid w:val="00795AB4"/>
    <w:rsid w:val="007A62CF"/>
    <w:rsid w:val="007D58C3"/>
    <w:rsid w:val="00806248"/>
    <w:rsid w:val="00810FDB"/>
    <w:rsid w:val="00812EF3"/>
    <w:rsid w:val="0081648A"/>
    <w:rsid w:val="0084389C"/>
    <w:rsid w:val="00846E5A"/>
    <w:rsid w:val="0085667F"/>
    <w:rsid w:val="008710D4"/>
    <w:rsid w:val="00874750"/>
    <w:rsid w:val="00874FC1"/>
    <w:rsid w:val="00885672"/>
    <w:rsid w:val="00886716"/>
    <w:rsid w:val="008A7715"/>
    <w:rsid w:val="008B22CC"/>
    <w:rsid w:val="008B784C"/>
    <w:rsid w:val="008C324F"/>
    <w:rsid w:val="008D2A60"/>
    <w:rsid w:val="008D2B3F"/>
    <w:rsid w:val="008D45D8"/>
    <w:rsid w:val="008D565D"/>
    <w:rsid w:val="008F2300"/>
    <w:rsid w:val="009048DA"/>
    <w:rsid w:val="0090590B"/>
    <w:rsid w:val="00946A35"/>
    <w:rsid w:val="009648AB"/>
    <w:rsid w:val="00970FCD"/>
    <w:rsid w:val="00973405"/>
    <w:rsid w:val="009749F3"/>
    <w:rsid w:val="00986353"/>
    <w:rsid w:val="009A2CCA"/>
    <w:rsid w:val="009A618D"/>
    <w:rsid w:val="009F73A8"/>
    <w:rsid w:val="00A35947"/>
    <w:rsid w:val="00A44BBB"/>
    <w:rsid w:val="00A5238A"/>
    <w:rsid w:val="00A64090"/>
    <w:rsid w:val="00A66B71"/>
    <w:rsid w:val="00A8419C"/>
    <w:rsid w:val="00A947AA"/>
    <w:rsid w:val="00AA4F1D"/>
    <w:rsid w:val="00AB1600"/>
    <w:rsid w:val="00AB2869"/>
    <w:rsid w:val="00AC6DC2"/>
    <w:rsid w:val="00AC75B6"/>
    <w:rsid w:val="00AD7458"/>
    <w:rsid w:val="00AE17E1"/>
    <w:rsid w:val="00AF4FE6"/>
    <w:rsid w:val="00B0612A"/>
    <w:rsid w:val="00B129FC"/>
    <w:rsid w:val="00B157D2"/>
    <w:rsid w:val="00B417BB"/>
    <w:rsid w:val="00B64154"/>
    <w:rsid w:val="00B75CD3"/>
    <w:rsid w:val="00B95FA8"/>
    <w:rsid w:val="00BD50E1"/>
    <w:rsid w:val="00BE3D0A"/>
    <w:rsid w:val="00BE6205"/>
    <w:rsid w:val="00C401D8"/>
    <w:rsid w:val="00C555DC"/>
    <w:rsid w:val="00C566DB"/>
    <w:rsid w:val="00C70B22"/>
    <w:rsid w:val="00C770E3"/>
    <w:rsid w:val="00C84C45"/>
    <w:rsid w:val="00C91B99"/>
    <w:rsid w:val="00CB1D12"/>
    <w:rsid w:val="00CC0B26"/>
    <w:rsid w:val="00CD1717"/>
    <w:rsid w:val="00CD47BA"/>
    <w:rsid w:val="00CD528A"/>
    <w:rsid w:val="00CD7738"/>
    <w:rsid w:val="00CE0739"/>
    <w:rsid w:val="00CF5DEB"/>
    <w:rsid w:val="00CF6627"/>
    <w:rsid w:val="00D22F80"/>
    <w:rsid w:val="00D35C35"/>
    <w:rsid w:val="00D50036"/>
    <w:rsid w:val="00D60DCD"/>
    <w:rsid w:val="00D878EC"/>
    <w:rsid w:val="00DA67D7"/>
    <w:rsid w:val="00DC19EB"/>
    <w:rsid w:val="00DE6A37"/>
    <w:rsid w:val="00E15017"/>
    <w:rsid w:val="00E214B5"/>
    <w:rsid w:val="00E26F25"/>
    <w:rsid w:val="00E30509"/>
    <w:rsid w:val="00E404E3"/>
    <w:rsid w:val="00E442C0"/>
    <w:rsid w:val="00E516DA"/>
    <w:rsid w:val="00E530A4"/>
    <w:rsid w:val="00E603B2"/>
    <w:rsid w:val="00E6083E"/>
    <w:rsid w:val="00E61112"/>
    <w:rsid w:val="00E75B09"/>
    <w:rsid w:val="00E82CBE"/>
    <w:rsid w:val="00E832C5"/>
    <w:rsid w:val="00EA5456"/>
    <w:rsid w:val="00EB5371"/>
    <w:rsid w:val="00EC6591"/>
    <w:rsid w:val="00EE4C4B"/>
    <w:rsid w:val="00F316CD"/>
    <w:rsid w:val="00F468A1"/>
    <w:rsid w:val="00F47C59"/>
    <w:rsid w:val="00F70322"/>
    <w:rsid w:val="00F712DA"/>
    <w:rsid w:val="00F80D81"/>
    <w:rsid w:val="00F90887"/>
    <w:rsid w:val="00FA704F"/>
    <w:rsid w:val="00FC0F5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DE4E0"/>
  <w15:docId w15:val="{92DA4DFA-8ECD-E346-A993-6916583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E17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53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B784C"/>
    <w:rPr>
      <w:i/>
      <w:iCs/>
    </w:rPr>
  </w:style>
  <w:style w:type="paragraph" w:styleId="ListParagraph">
    <w:name w:val="List Paragraph"/>
    <w:basedOn w:val="Normal"/>
    <w:uiPriority w:val="34"/>
    <w:qFormat/>
    <w:rsid w:val="00B129FC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47"/>
    <w:rsid w:val="0041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048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1328A-1FAE-8F45-8910-0C63E85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Manuel Barragan</cp:lastModifiedBy>
  <cp:revision>6</cp:revision>
  <cp:lastPrinted>2019-04-11T04:12:00Z</cp:lastPrinted>
  <dcterms:created xsi:type="dcterms:W3CDTF">2019-04-11T04:40:00Z</dcterms:created>
  <dcterms:modified xsi:type="dcterms:W3CDTF">2019-04-17T23:00:00Z</dcterms:modified>
</cp:coreProperties>
</file>