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1E94F294" w:rsidR="00092F06" w:rsidRPr="0005732A" w:rsidRDefault="00092F06" w:rsidP="0005732A">
      <w:pPr>
        <w:pStyle w:val="Title"/>
      </w:pPr>
      <w:r>
        <w:t xml:space="preserve">Qualification </w:t>
      </w:r>
      <w:r w:rsidR="00791C9C" w:rsidRPr="0038643B">
        <w:t>CP</w:t>
      </w:r>
      <w:r w:rsidR="00F76F97">
        <w:t>P</w:t>
      </w:r>
      <w:r w:rsidR="004248B7">
        <w:t>4</w:t>
      </w:r>
      <w:r w:rsidR="00A619A2">
        <w:t>1</w:t>
      </w:r>
      <w:r w:rsidR="00106D16">
        <w:t>5</w:t>
      </w:r>
      <w:r w:rsidR="00E84046">
        <w:t>1</w:t>
      </w:r>
      <w:r w:rsidR="0038643B" w:rsidRPr="0038643B">
        <w:t>9</w:t>
      </w:r>
    </w:p>
    <w:p w14:paraId="5192CE99" w14:textId="2EA92E8D" w:rsidR="00092F06" w:rsidRDefault="00092F06" w:rsidP="00F81562">
      <w:pPr>
        <w:pStyle w:val="Title"/>
      </w:pPr>
      <w:r w:rsidRPr="00092F06">
        <w:t>Certificate I</w:t>
      </w:r>
      <w:r w:rsidR="004248B7">
        <w:t>V</w:t>
      </w:r>
      <w:r w:rsidRPr="00092F06">
        <w:t xml:space="preserve"> in </w:t>
      </w:r>
      <w:r w:rsidR="004248B7">
        <w:t xml:space="preserve">Security </w:t>
      </w:r>
      <w:r w:rsidR="00FC50DF">
        <w:t>Risk</w:t>
      </w:r>
      <w:r w:rsidR="00482B74">
        <w:t xml:space="preserve"> Analysis</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4FCA2A03" w14:textId="7DA5D8E9" w:rsidR="00E84046" w:rsidRDefault="00B10521" w:rsidP="00D3081B">
      <w:pPr>
        <w:rPr>
          <w:lang w:val="en-AU"/>
        </w:rPr>
      </w:pPr>
      <w:r w:rsidRPr="00B10521">
        <w:t xml:space="preserve">This </w:t>
      </w:r>
      <w:r w:rsidR="002B1501">
        <w:t xml:space="preserve">qualification </w:t>
      </w:r>
      <w:r w:rsidR="001D5ADE">
        <w:t xml:space="preserve">is </w:t>
      </w:r>
      <w:r w:rsidR="002B1501">
        <w:t xml:space="preserve">for </w:t>
      </w:r>
      <w:r w:rsidR="007E4573">
        <w:t xml:space="preserve">security risk </w:t>
      </w:r>
      <w:r w:rsidR="00482B74">
        <w:t xml:space="preserve">analysts </w:t>
      </w:r>
      <w:r w:rsidR="00F857F2">
        <w:t>who apply</w:t>
      </w:r>
      <w:r w:rsidR="00381327">
        <w:t xml:space="preserve"> </w:t>
      </w:r>
      <w:r w:rsidR="00F555BE">
        <w:t xml:space="preserve">technical </w:t>
      </w:r>
      <w:r w:rsidR="00381327">
        <w:t xml:space="preserve">security </w:t>
      </w:r>
      <w:r w:rsidR="00F555BE">
        <w:t xml:space="preserve">and operations </w:t>
      </w:r>
      <w:r w:rsidR="00F857F2">
        <w:t xml:space="preserve">expertise in </w:t>
      </w:r>
      <w:r w:rsidR="00FA1F83">
        <w:t xml:space="preserve">a </w:t>
      </w:r>
      <w:r w:rsidR="00F857F2">
        <w:t>risk management environment</w:t>
      </w:r>
      <w:r w:rsidR="00E84046" w:rsidRPr="00E84046">
        <w:rPr>
          <w:lang w:val="en-AU"/>
        </w:rPr>
        <w:t xml:space="preserve">.  </w:t>
      </w:r>
      <w:r w:rsidR="00684AE0">
        <w:rPr>
          <w:lang w:val="en-AU"/>
        </w:rPr>
        <w:t xml:space="preserve">Security risk </w:t>
      </w:r>
      <w:r w:rsidR="00482B74">
        <w:rPr>
          <w:lang w:val="en-AU"/>
        </w:rPr>
        <w:t xml:space="preserve">analysts </w:t>
      </w:r>
      <w:r w:rsidR="00684AE0">
        <w:rPr>
          <w:lang w:val="en-AU"/>
        </w:rPr>
        <w:t xml:space="preserve">understand the current threat environment and assess risk and </w:t>
      </w:r>
      <w:r w:rsidR="002F21CC">
        <w:rPr>
          <w:lang w:val="en-AU"/>
        </w:rPr>
        <w:t xml:space="preserve">advise clients on </w:t>
      </w:r>
      <w:r w:rsidR="00684AE0">
        <w:rPr>
          <w:lang w:val="en-AU"/>
        </w:rPr>
        <w:t xml:space="preserve">strategies to ensure the protection of electronic security systems and people and property in crowded places, as defined by </w:t>
      </w:r>
      <w:r w:rsidR="00684AE0" w:rsidRPr="00684AE0">
        <w:rPr>
          <w:i/>
          <w:lang w:val="en-AU"/>
        </w:rPr>
        <w:t>Australia’s Strategy for Protecting Crowded Places from Terrorism (2017)</w:t>
      </w:r>
      <w:r w:rsidR="00684AE0">
        <w:rPr>
          <w:lang w:val="en-AU"/>
        </w:rPr>
        <w:t>.</w:t>
      </w:r>
    </w:p>
    <w:p w14:paraId="58E86B66" w14:textId="77777777" w:rsidR="00E84046" w:rsidRDefault="00C84CBF" w:rsidP="00D3081B">
      <w:r>
        <w:t>Occupational titles may include</w:t>
      </w:r>
      <w:r w:rsidR="00E84046">
        <w:t>:</w:t>
      </w:r>
    </w:p>
    <w:p w14:paraId="0AA004BC" w14:textId="6C08F232" w:rsidR="00482B74" w:rsidRDefault="00482B74" w:rsidP="00E84046">
      <w:pPr>
        <w:pStyle w:val="ListParagraph"/>
        <w:numPr>
          <w:ilvl w:val="0"/>
          <w:numId w:val="31"/>
        </w:numPr>
      </w:pPr>
      <w:r>
        <w:t>event security manager</w:t>
      </w:r>
    </w:p>
    <w:p w14:paraId="6E01F70B" w14:textId="37E2574C" w:rsidR="00E84046" w:rsidRDefault="00BF5E33" w:rsidP="00E84046">
      <w:pPr>
        <w:pStyle w:val="ListParagraph"/>
        <w:numPr>
          <w:ilvl w:val="0"/>
          <w:numId w:val="31"/>
        </w:numPr>
      </w:pPr>
      <w:r>
        <w:t>s</w:t>
      </w:r>
      <w:r w:rsidR="00E848D5">
        <w:t>ecurity r</w:t>
      </w:r>
      <w:r w:rsidR="00FC50DF">
        <w:t xml:space="preserve">isk </w:t>
      </w:r>
      <w:r w:rsidR="00894EE0">
        <w:t>adviser</w:t>
      </w:r>
    </w:p>
    <w:p w14:paraId="58C24870" w14:textId="7316F34D" w:rsidR="002B1501" w:rsidRDefault="00E848D5" w:rsidP="00FF0456">
      <w:pPr>
        <w:pStyle w:val="ListParagraph"/>
        <w:numPr>
          <w:ilvl w:val="0"/>
          <w:numId w:val="31"/>
        </w:numPr>
      </w:pPr>
      <w:r>
        <w:t>s</w:t>
      </w:r>
      <w:r w:rsidR="00FC50DF">
        <w:t xml:space="preserve">ecurity </w:t>
      </w:r>
      <w:r w:rsidR="007E4573">
        <w:t xml:space="preserve">risk </w:t>
      </w:r>
      <w:r w:rsidR="00482B74">
        <w:t>analyst</w:t>
      </w:r>
      <w:r w:rsidR="00FF0456">
        <w:t>.</w:t>
      </w:r>
    </w:p>
    <w:p w14:paraId="06612327" w14:textId="73081F94" w:rsidR="004E0E21" w:rsidRPr="004E0E21" w:rsidRDefault="004E0E21" w:rsidP="004E0E21">
      <w:pPr>
        <w:rPr>
          <w:lang w:val="en-AU"/>
        </w:rPr>
      </w:pPr>
      <w:r w:rsidRPr="004E0E21">
        <w:rPr>
          <w:lang w:val="en-AU"/>
        </w:rPr>
        <w:t xml:space="preserve">This qualification provides occupational specialisations in </w:t>
      </w:r>
      <w:r>
        <w:rPr>
          <w:lang w:val="en-AU"/>
        </w:rPr>
        <w:t xml:space="preserve">electronic security </w:t>
      </w:r>
      <w:r w:rsidRPr="004E0E21">
        <w:rPr>
          <w:lang w:val="en-AU"/>
        </w:rPr>
        <w:t xml:space="preserve">and </w:t>
      </w:r>
      <w:r>
        <w:rPr>
          <w:lang w:val="en-AU"/>
        </w:rPr>
        <w:t>crowded places</w:t>
      </w:r>
      <w:r w:rsidRPr="004E0E21">
        <w:rPr>
          <w:lang w:val="en-AU"/>
        </w:rPr>
        <w:t xml:space="preserve">, and a pathway to further learning and work in security risk management. </w:t>
      </w:r>
    </w:p>
    <w:p w14:paraId="4BF329E6" w14:textId="4DA4FF49" w:rsidR="00D75863" w:rsidRPr="009C73FD" w:rsidRDefault="00C81925" w:rsidP="004E0E21">
      <w:r w:rsidRPr="00F9110B">
        <w:rPr>
          <w:rFonts w:eastAsia="Times New Roman"/>
          <w:bCs/>
          <w:lang w:val="en-US"/>
        </w:rPr>
        <w:t>Legislative, regulatory or certification requirements apply in some states and territories to the provision of advice on security solutions, strategies, protocols and procedures. For further information, check with the relevant regulatory authority.</w:t>
      </w:r>
    </w:p>
    <w:p w14:paraId="53DF411D" w14:textId="6C66D263"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1797E1C4" w14:textId="37812DA8" w:rsidR="00D52BAF" w:rsidRDefault="00623475" w:rsidP="00F81562">
      <w:r>
        <w:t xml:space="preserve">To achieve this </w:t>
      </w:r>
      <w:r w:rsidR="001A725F">
        <w:t>qualif</w:t>
      </w:r>
      <w:r w:rsidR="001A725F" w:rsidRPr="006B27EF">
        <w:t>ication</w:t>
      </w:r>
      <w:r w:rsidRPr="006B27EF">
        <w:t xml:space="preserve">, competency must be </w:t>
      </w:r>
      <w:r w:rsidR="0097175C" w:rsidRPr="006B27EF">
        <w:t xml:space="preserve">demonstrated in </w:t>
      </w:r>
      <w:r w:rsidR="003F44E5" w:rsidRPr="006B27EF">
        <w:t>1</w:t>
      </w:r>
      <w:r w:rsidR="00734556" w:rsidRPr="006B27EF">
        <w:t>2</w:t>
      </w:r>
      <w:r w:rsidR="0097175C" w:rsidRPr="006B27EF">
        <w:t xml:space="preserve"> units</w:t>
      </w:r>
      <w:r w:rsidR="00676A84" w:rsidRPr="006B27EF">
        <w:t xml:space="preserve"> of competency</w:t>
      </w:r>
      <w:r w:rsidR="00F76F97" w:rsidRPr="006B27EF">
        <w:t xml:space="preserve">, consisting of </w:t>
      </w:r>
      <w:r w:rsidR="00EC1167" w:rsidRPr="006B27EF">
        <w:t>5</w:t>
      </w:r>
      <w:r w:rsidR="00F76F97" w:rsidRPr="006B27EF">
        <w:t xml:space="preserve"> core</w:t>
      </w:r>
      <w:r w:rsidR="000B742B" w:rsidRPr="006B27EF">
        <w:t xml:space="preserve"> </w:t>
      </w:r>
      <w:r w:rsidR="00F76F97" w:rsidRPr="006B27EF">
        <w:t xml:space="preserve">and </w:t>
      </w:r>
      <w:r w:rsidR="00EC1167" w:rsidRPr="006B27EF">
        <w:t>7</w:t>
      </w:r>
      <w:r w:rsidR="000B742B" w:rsidRPr="006B27EF">
        <w:t xml:space="preserve"> </w:t>
      </w:r>
      <w:r w:rsidR="00F76F97" w:rsidRPr="006B27EF">
        <w:t>elective units.</w:t>
      </w:r>
      <w:r w:rsidR="0078627A" w:rsidRPr="006B27EF">
        <w:t xml:space="preserve"> </w:t>
      </w:r>
      <w:r w:rsidR="00D52BAF" w:rsidRPr="006B27EF">
        <w:t>Electives</w:t>
      </w:r>
      <w:r w:rsidR="00D52BAF">
        <w:t xml:space="preserve"> are to be chosen as follows:</w:t>
      </w:r>
    </w:p>
    <w:p w14:paraId="4109B2BF" w14:textId="2BF0E81A" w:rsidR="001A0901" w:rsidRPr="001A0901" w:rsidRDefault="001A0901" w:rsidP="001A0901">
      <w:pPr>
        <w:numPr>
          <w:ilvl w:val="0"/>
          <w:numId w:val="32"/>
        </w:numPr>
        <w:contextualSpacing/>
      </w:pPr>
      <w:r w:rsidRPr="001A0901">
        <w:t xml:space="preserve">all </w:t>
      </w:r>
      <w:r w:rsidR="002470DE">
        <w:t>3</w:t>
      </w:r>
      <w:r w:rsidRPr="001A0901">
        <w:t xml:space="preserve"> units within Group A </w:t>
      </w:r>
      <w:r w:rsidRPr="001A0901">
        <w:rPr>
          <w:b/>
          <w:u w:val="single"/>
        </w:rPr>
        <w:t>or</w:t>
      </w:r>
      <w:r w:rsidRPr="001A0901">
        <w:t xml:space="preserve"> all </w:t>
      </w:r>
      <w:r w:rsidR="002470DE">
        <w:t>3</w:t>
      </w:r>
      <w:r w:rsidRPr="001A0901">
        <w:t xml:space="preserve"> units within Group B</w:t>
      </w:r>
    </w:p>
    <w:p w14:paraId="2C1B1EF5" w14:textId="557BE1E8" w:rsidR="001A0901" w:rsidRPr="001A0901" w:rsidRDefault="001A0901" w:rsidP="001A0901">
      <w:pPr>
        <w:numPr>
          <w:ilvl w:val="0"/>
          <w:numId w:val="32"/>
        </w:numPr>
        <w:contextualSpacing/>
      </w:pPr>
      <w:r w:rsidRPr="001A0901">
        <w:t xml:space="preserve">up to </w:t>
      </w:r>
      <w:r w:rsidR="00832690">
        <w:t>4</w:t>
      </w:r>
      <w:r w:rsidRPr="001A0901">
        <w:t xml:space="preserve"> units within Groups A, B or C not already selected</w:t>
      </w:r>
    </w:p>
    <w:p w14:paraId="4F9E386F" w14:textId="77777777" w:rsidR="0079763E" w:rsidRDefault="001A0901" w:rsidP="001A0901">
      <w:pPr>
        <w:numPr>
          <w:ilvl w:val="0"/>
          <w:numId w:val="32"/>
        </w:numPr>
        <w:contextualSpacing/>
      </w:pPr>
      <w:r w:rsidRPr="001A0901">
        <w:t xml:space="preserve">up to </w:t>
      </w:r>
      <w:r w:rsidR="0079763E">
        <w:t>2</w:t>
      </w:r>
      <w:r w:rsidRPr="001A0901">
        <w:t xml:space="preserve"> unit</w:t>
      </w:r>
      <w:r w:rsidR="0079763E">
        <w:t>s</w:t>
      </w:r>
      <w:r w:rsidRPr="001A0901">
        <w:t xml:space="preserve"> </w:t>
      </w:r>
      <w:r w:rsidR="00572D52">
        <w:t xml:space="preserve">may be selected </w:t>
      </w:r>
      <w:r w:rsidRPr="001A0901">
        <w:t>from Group D</w:t>
      </w:r>
    </w:p>
    <w:p w14:paraId="277F611E" w14:textId="05456EF3" w:rsidR="001A0901" w:rsidRPr="001A0901" w:rsidRDefault="0079763E" w:rsidP="001A0901">
      <w:pPr>
        <w:numPr>
          <w:ilvl w:val="0"/>
          <w:numId w:val="32"/>
        </w:numPr>
        <w:contextualSpacing/>
      </w:pPr>
      <w:r>
        <w:t>up to 1 unit may be selected</w:t>
      </w:r>
      <w:r w:rsidR="001A0901" w:rsidRPr="001A0901">
        <w:t xml:space="preserve"> </w:t>
      </w:r>
      <w:r w:rsidR="00572D52">
        <w:t xml:space="preserve">from </w:t>
      </w:r>
      <w:r w:rsidR="001A0901" w:rsidRPr="001A0901">
        <w:t xml:space="preserve">any training package, as long as </w:t>
      </w:r>
      <w:r>
        <w:t xml:space="preserve">it </w:t>
      </w:r>
      <w:r w:rsidR="001A0901" w:rsidRPr="001A0901">
        <w:t>contribute</w:t>
      </w:r>
      <w:r>
        <w:t>s</w:t>
      </w:r>
      <w:r w:rsidR="001A0901" w:rsidRPr="001A0901">
        <w:t xml:space="preserve"> to a valid, industry-supported vocational outcome and </w:t>
      </w:r>
      <w:r w:rsidR="00614C9E">
        <w:t xml:space="preserve">maintains </w:t>
      </w:r>
      <w:r w:rsidR="001A0901" w:rsidRPr="001A0901">
        <w:t>the AQF level of this qualification.</w:t>
      </w:r>
    </w:p>
    <w:p w14:paraId="2C05B2A8" w14:textId="77777777" w:rsidR="00F66C11" w:rsidRDefault="00F66C11" w:rsidP="00F81562">
      <w:pPr>
        <w:pStyle w:val="Heading2"/>
      </w:pPr>
      <w:r>
        <w:t>Core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082EC2" w:rsidRPr="002E6D9B" w14:paraId="4ACEB5B9" w14:textId="77777777" w:rsidTr="00082EC2">
        <w:tc>
          <w:tcPr>
            <w:tcW w:w="1392" w:type="dxa"/>
          </w:tcPr>
          <w:p w14:paraId="36CF4513" w14:textId="275A020C" w:rsidR="00082EC2" w:rsidRDefault="00082EC2" w:rsidP="005B532A">
            <w:r>
              <w:t>CPPSEC4</w:t>
            </w:r>
            <w:r w:rsidR="00257B51">
              <w:t>003</w:t>
            </w:r>
          </w:p>
        </w:tc>
        <w:tc>
          <w:tcPr>
            <w:tcW w:w="7680" w:type="dxa"/>
          </w:tcPr>
          <w:p w14:paraId="08F2FD6E" w14:textId="6944DF17" w:rsidR="00082EC2" w:rsidRPr="005B532A" w:rsidRDefault="00082EC2" w:rsidP="005B532A">
            <w:r w:rsidRPr="006F67D4">
              <w:t>Assess and advise on client security needs</w:t>
            </w:r>
          </w:p>
        </w:tc>
      </w:tr>
      <w:tr w:rsidR="00082EC2" w:rsidRPr="002E6D9B" w14:paraId="61622A44" w14:textId="77777777" w:rsidTr="00082EC2">
        <w:tc>
          <w:tcPr>
            <w:tcW w:w="1392" w:type="dxa"/>
          </w:tcPr>
          <w:p w14:paraId="4CDD6E5E" w14:textId="284CC702" w:rsidR="00082EC2" w:rsidRPr="002E6D9B" w:rsidRDefault="00082EC2" w:rsidP="005B532A">
            <w:r>
              <w:t>CPPSEC4</w:t>
            </w:r>
            <w:r w:rsidR="00D506F5">
              <w:t>006</w:t>
            </w:r>
          </w:p>
        </w:tc>
        <w:tc>
          <w:tcPr>
            <w:tcW w:w="7680" w:type="dxa"/>
          </w:tcPr>
          <w:p w14:paraId="7812748E" w14:textId="4F88C76E" w:rsidR="00082EC2" w:rsidRPr="005B532A" w:rsidRDefault="00082EC2" w:rsidP="005B532A">
            <w:r w:rsidRPr="006F67D4">
              <w:t>Conduct security risk assessment of client operations</w:t>
            </w:r>
          </w:p>
        </w:tc>
      </w:tr>
      <w:tr w:rsidR="00082EC2" w:rsidRPr="002E6D9B" w14:paraId="1EC8863A" w14:textId="77777777" w:rsidTr="00082EC2">
        <w:tc>
          <w:tcPr>
            <w:tcW w:w="1392" w:type="dxa"/>
          </w:tcPr>
          <w:p w14:paraId="5C7DCA70" w14:textId="05D68B74" w:rsidR="00082EC2" w:rsidRPr="002E6D9B" w:rsidRDefault="00082EC2" w:rsidP="005B532A">
            <w:r>
              <w:t>CPPSEC4</w:t>
            </w:r>
            <w:r w:rsidR="00D506F5">
              <w:t>007</w:t>
            </w:r>
          </w:p>
        </w:tc>
        <w:tc>
          <w:tcPr>
            <w:tcW w:w="7680" w:type="dxa"/>
          </w:tcPr>
          <w:p w14:paraId="7E3BC248" w14:textId="3EB5845C" w:rsidR="00082EC2" w:rsidRPr="005B532A" w:rsidRDefault="00082EC2" w:rsidP="005B532A">
            <w:r w:rsidRPr="006F67D4">
              <w:t>Identify security threats and assess impact on client operations</w:t>
            </w:r>
          </w:p>
        </w:tc>
      </w:tr>
      <w:tr w:rsidR="00082EC2" w:rsidRPr="002E6D9B" w14:paraId="736E461F" w14:textId="77777777" w:rsidTr="00082EC2">
        <w:tc>
          <w:tcPr>
            <w:tcW w:w="1392" w:type="dxa"/>
          </w:tcPr>
          <w:p w14:paraId="11741713" w14:textId="1FB6AA4C" w:rsidR="00082EC2" w:rsidRPr="002E6D9B" w:rsidRDefault="00082EC2" w:rsidP="00556D8C">
            <w:r>
              <w:t>CPPSEC4</w:t>
            </w:r>
            <w:r w:rsidR="00D506F5">
              <w:t>012</w:t>
            </w:r>
          </w:p>
        </w:tc>
        <w:tc>
          <w:tcPr>
            <w:tcW w:w="7680" w:type="dxa"/>
          </w:tcPr>
          <w:p w14:paraId="756CFD52" w14:textId="0FDA11E6" w:rsidR="00082EC2" w:rsidRPr="005B532A" w:rsidRDefault="00082EC2" w:rsidP="00556D8C">
            <w:r w:rsidRPr="006F67D4">
              <w:t xml:space="preserve">Assess </w:t>
            </w:r>
            <w:r>
              <w:t>security</w:t>
            </w:r>
            <w:r w:rsidRPr="006F67D4">
              <w:t xml:space="preserve"> vulnerabilities</w:t>
            </w:r>
            <w:r>
              <w:t xml:space="preserve"> of assets</w:t>
            </w:r>
          </w:p>
        </w:tc>
      </w:tr>
      <w:tr w:rsidR="0019645B" w:rsidRPr="002E6D9B" w14:paraId="0771E406" w14:textId="77777777" w:rsidTr="00082EC2">
        <w:tc>
          <w:tcPr>
            <w:tcW w:w="1392" w:type="dxa"/>
          </w:tcPr>
          <w:p w14:paraId="43B733CF" w14:textId="63A2B8B8" w:rsidR="0019645B" w:rsidRDefault="0019645B" w:rsidP="00702056">
            <w:r>
              <w:t>CPPSEC4</w:t>
            </w:r>
            <w:r w:rsidR="00702056">
              <w:t>022</w:t>
            </w:r>
          </w:p>
        </w:tc>
        <w:tc>
          <w:tcPr>
            <w:tcW w:w="7680" w:type="dxa"/>
          </w:tcPr>
          <w:p w14:paraId="664B5FAB" w14:textId="25CBF3E6" w:rsidR="0019645B" w:rsidRDefault="0019645B" w:rsidP="0019645B">
            <w:r>
              <w:t>Establish and implement ethics and governance arrangements for security businesses</w:t>
            </w:r>
          </w:p>
        </w:tc>
      </w:tr>
    </w:tbl>
    <w:bookmarkEnd w:id="0"/>
    <w:p w14:paraId="164D453E" w14:textId="00D88648" w:rsidR="00B06F9C" w:rsidRDefault="00F76F97" w:rsidP="003B65D1">
      <w:pPr>
        <w:pStyle w:val="Heading2"/>
        <w:spacing w:before="120"/>
      </w:pPr>
      <w:r>
        <w:lastRenderedPageBreak/>
        <w:t>Elective</w:t>
      </w:r>
    </w:p>
    <w:p w14:paraId="6FCC9294" w14:textId="5ECEF4D6" w:rsidR="00572325" w:rsidRPr="00572325" w:rsidRDefault="00572325" w:rsidP="00572325">
      <w:pPr>
        <w:keepNext/>
        <w:rPr>
          <w:b/>
        </w:rPr>
      </w:pPr>
      <w:bookmarkStart w:id="1" w:name="_Hlk528675174"/>
      <w:r w:rsidRPr="00572325">
        <w:rPr>
          <w:b/>
        </w:rPr>
        <w:t xml:space="preserve">Group A: </w:t>
      </w:r>
      <w:r w:rsidR="00B264E1">
        <w:rPr>
          <w:b/>
        </w:rPr>
        <w:t>Security Technology and Systems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082EC2" w:rsidRPr="00572325" w14:paraId="1CA4D146" w14:textId="77777777" w:rsidTr="00082EC2">
        <w:tc>
          <w:tcPr>
            <w:tcW w:w="1392" w:type="dxa"/>
          </w:tcPr>
          <w:p w14:paraId="16201E1F" w14:textId="61B0A6A5" w:rsidR="00082EC2" w:rsidRPr="00572325" w:rsidRDefault="00082EC2" w:rsidP="00572325">
            <w:r>
              <w:t>CPPSEC4</w:t>
            </w:r>
            <w:r w:rsidR="00D506F5">
              <w:t>009</w:t>
            </w:r>
          </w:p>
        </w:tc>
        <w:tc>
          <w:tcPr>
            <w:tcW w:w="7680" w:type="dxa"/>
          </w:tcPr>
          <w:p w14:paraId="69304388" w14:textId="09AB282A" w:rsidR="00082EC2" w:rsidRPr="00572325" w:rsidRDefault="00082EC2" w:rsidP="00572325">
            <w:r w:rsidRPr="00AF6F95">
              <w:t>Interpret electronic information from advanced technology security systems</w:t>
            </w:r>
          </w:p>
        </w:tc>
      </w:tr>
      <w:tr w:rsidR="00082EC2" w:rsidRPr="00572325" w14:paraId="5560AA6F" w14:textId="77777777" w:rsidTr="00082EC2">
        <w:tc>
          <w:tcPr>
            <w:tcW w:w="1392" w:type="dxa"/>
          </w:tcPr>
          <w:p w14:paraId="4B73787B" w14:textId="78BFA107" w:rsidR="00082EC2" w:rsidRPr="00572325" w:rsidRDefault="00082EC2" w:rsidP="00572325">
            <w:r w:rsidRPr="00572325">
              <w:t>CPPSEC4</w:t>
            </w:r>
            <w:r w:rsidR="00D506F5">
              <w:t>020</w:t>
            </w:r>
          </w:p>
        </w:tc>
        <w:tc>
          <w:tcPr>
            <w:tcW w:w="7680" w:type="dxa"/>
          </w:tcPr>
          <w:p w14:paraId="27E1EF5C" w14:textId="06307D4C" w:rsidR="00082EC2" w:rsidRPr="00572325" w:rsidRDefault="00082EC2" w:rsidP="00572325">
            <w:r w:rsidRPr="00AF6F95">
              <w:t>Advise on advanced technology security systems to meet client needs</w:t>
            </w:r>
          </w:p>
        </w:tc>
      </w:tr>
      <w:tr w:rsidR="00082EC2" w:rsidRPr="00572325" w14:paraId="7BF149A9" w14:textId="77777777" w:rsidTr="00082EC2">
        <w:tc>
          <w:tcPr>
            <w:tcW w:w="1392" w:type="dxa"/>
          </w:tcPr>
          <w:p w14:paraId="679B839B" w14:textId="746783D1" w:rsidR="00082EC2" w:rsidRPr="00572325" w:rsidRDefault="00082EC2" w:rsidP="00572325">
            <w:r w:rsidRPr="00572325">
              <w:t>CPPSEC4</w:t>
            </w:r>
            <w:r w:rsidR="00D506F5">
              <w:t>021</w:t>
            </w:r>
          </w:p>
        </w:tc>
        <w:tc>
          <w:tcPr>
            <w:tcW w:w="7680" w:type="dxa"/>
          </w:tcPr>
          <w:p w14:paraId="5414ADEB" w14:textId="0D437C44" w:rsidR="00082EC2" w:rsidRPr="00572325" w:rsidRDefault="00082EC2" w:rsidP="00572325">
            <w:r w:rsidRPr="00AF6F95">
              <w:t>Develop standard operating procedures for advanced technology security systems</w:t>
            </w:r>
          </w:p>
        </w:tc>
      </w:tr>
    </w:tbl>
    <w:bookmarkEnd w:id="1"/>
    <w:p w14:paraId="612F19AC" w14:textId="0DFDBFAB" w:rsidR="009651C6" w:rsidRPr="00572325" w:rsidRDefault="009651C6" w:rsidP="009651C6">
      <w:pPr>
        <w:keepNext/>
        <w:rPr>
          <w:b/>
        </w:rPr>
      </w:pPr>
      <w:r w:rsidRPr="00572325">
        <w:rPr>
          <w:b/>
        </w:rPr>
        <w:t xml:space="preserve">Group </w:t>
      </w:r>
      <w:r>
        <w:rPr>
          <w:b/>
        </w:rPr>
        <w:t>B</w:t>
      </w:r>
      <w:r w:rsidRPr="00572325">
        <w:rPr>
          <w:b/>
        </w:rPr>
        <w:t xml:space="preserve">: </w:t>
      </w:r>
      <w:r w:rsidR="0047259D">
        <w:rPr>
          <w:b/>
        </w:rPr>
        <w:t>Crowded Places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19645B" w:rsidRPr="00572325" w14:paraId="64585481" w14:textId="77777777" w:rsidTr="00082EC2">
        <w:tc>
          <w:tcPr>
            <w:tcW w:w="1392" w:type="dxa"/>
          </w:tcPr>
          <w:p w14:paraId="66F8B7A5" w14:textId="01FAB6DE" w:rsidR="0019645B" w:rsidRPr="009D77F5" w:rsidRDefault="0019645B" w:rsidP="00702056">
            <w:r w:rsidRPr="009D77F5">
              <w:t>CPPSEC4</w:t>
            </w:r>
            <w:r w:rsidR="00702056">
              <w:t>024</w:t>
            </w:r>
          </w:p>
        </w:tc>
        <w:tc>
          <w:tcPr>
            <w:tcW w:w="7680" w:type="dxa"/>
          </w:tcPr>
          <w:p w14:paraId="6EAA1ED0" w14:textId="63BE66FF" w:rsidR="0019645B" w:rsidRPr="009D77F5" w:rsidRDefault="0019645B" w:rsidP="0019645B">
            <w:r w:rsidRPr="009D77F5">
              <w:t xml:space="preserve">Assess </w:t>
            </w:r>
            <w:r>
              <w:t xml:space="preserve">security of </w:t>
            </w:r>
            <w:r w:rsidRPr="009D77F5">
              <w:t>crowded place</w:t>
            </w:r>
            <w:r>
              <w:t>s</w:t>
            </w:r>
          </w:p>
        </w:tc>
      </w:tr>
      <w:tr w:rsidR="00082EC2" w:rsidRPr="00572325" w14:paraId="05E5E999" w14:textId="77777777" w:rsidTr="00082EC2">
        <w:tc>
          <w:tcPr>
            <w:tcW w:w="1392" w:type="dxa"/>
          </w:tcPr>
          <w:p w14:paraId="1E1CAF33" w14:textId="7DD1F49D" w:rsidR="00082EC2" w:rsidRPr="009D77F5" w:rsidRDefault="00702056" w:rsidP="00EE2E8F">
            <w:r>
              <w:t>CPPSEC4025</w:t>
            </w:r>
          </w:p>
        </w:tc>
        <w:tc>
          <w:tcPr>
            <w:tcW w:w="7680" w:type="dxa"/>
          </w:tcPr>
          <w:p w14:paraId="4D79E84E" w14:textId="4C0B30ED" w:rsidR="00082EC2" w:rsidRPr="009D77F5" w:rsidRDefault="00082EC2" w:rsidP="00EE2E8F">
            <w:r w:rsidRPr="009D77F5">
              <w:t xml:space="preserve">Advise on </w:t>
            </w:r>
            <w:r>
              <w:t xml:space="preserve">operational </w:t>
            </w:r>
            <w:r w:rsidRPr="009D77F5">
              <w:t>requirements to maintain</w:t>
            </w:r>
            <w:r>
              <w:t xml:space="preserve"> </w:t>
            </w:r>
            <w:r w:rsidRPr="009D77F5">
              <w:t>crowded place security</w:t>
            </w:r>
          </w:p>
        </w:tc>
      </w:tr>
      <w:tr w:rsidR="00082EC2" w:rsidRPr="00572325" w14:paraId="0F269EAE" w14:textId="77777777" w:rsidTr="00082EC2">
        <w:trPr>
          <w:trHeight w:val="571"/>
        </w:trPr>
        <w:tc>
          <w:tcPr>
            <w:tcW w:w="1392" w:type="dxa"/>
          </w:tcPr>
          <w:p w14:paraId="27CDAB9A" w14:textId="4F0BE725" w:rsidR="00082EC2" w:rsidRPr="009D77F5" w:rsidRDefault="00082EC2" w:rsidP="00EE2E8F">
            <w:r>
              <w:t>PSPSEC015</w:t>
            </w:r>
          </w:p>
        </w:tc>
        <w:tc>
          <w:tcPr>
            <w:tcW w:w="7680" w:type="dxa"/>
          </w:tcPr>
          <w:p w14:paraId="183CF4CF" w14:textId="5E852D61" w:rsidR="00082EC2" w:rsidRPr="009D77F5" w:rsidRDefault="00082EC2" w:rsidP="00EE2E8F">
            <w:r>
              <w:t>Communicate security awareness</w:t>
            </w:r>
          </w:p>
        </w:tc>
      </w:tr>
    </w:tbl>
    <w:p w14:paraId="3526C821" w14:textId="37ACD426" w:rsidR="00AB2558" w:rsidRPr="00572325" w:rsidRDefault="00AB2558" w:rsidP="00AB2558">
      <w:pPr>
        <w:keepNext/>
        <w:rPr>
          <w:b/>
        </w:rPr>
      </w:pPr>
      <w:r w:rsidRPr="00572325">
        <w:rPr>
          <w:b/>
        </w:rPr>
        <w:t xml:space="preserve">Group </w:t>
      </w:r>
      <w:r>
        <w:rPr>
          <w:b/>
        </w:rPr>
        <w:t>C</w:t>
      </w:r>
      <w:r w:rsidRPr="00572325">
        <w:rPr>
          <w:b/>
        </w:rPr>
        <w:t xml:space="preserve">: </w:t>
      </w:r>
      <w:r w:rsidR="00702056">
        <w:rPr>
          <w:b/>
        </w:rPr>
        <w:t>Specialist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806F3D" w:rsidRPr="009F3913" w14:paraId="0315A160" w14:textId="77777777" w:rsidTr="00082EC2">
        <w:tc>
          <w:tcPr>
            <w:tcW w:w="1392" w:type="dxa"/>
          </w:tcPr>
          <w:p w14:paraId="29FFB73E" w14:textId="77777777" w:rsidR="00806F3D" w:rsidRDefault="00806F3D" w:rsidP="002470DE">
            <w:r>
              <w:t>CPPINV4013</w:t>
            </w:r>
          </w:p>
        </w:tc>
        <w:tc>
          <w:tcPr>
            <w:tcW w:w="7680" w:type="dxa"/>
          </w:tcPr>
          <w:p w14:paraId="52257C12" w14:textId="77777777" w:rsidR="00806F3D" w:rsidRDefault="00806F3D" w:rsidP="002470DE">
            <w:r>
              <w:t>Undertake case managem</w:t>
            </w:r>
            <w:bookmarkStart w:id="2" w:name="_GoBack"/>
            <w:bookmarkEnd w:id="2"/>
            <w:r>
              <w:t>ent of investigations</w:t>
            </w:r>
          </w:p>
        </w:tc>
      </w:tr>
      <w:tr w:rsidR="00806F3D" w:rsidRPr="009F3913" w14:paraId="745DACD4" w14:textId="77777777" w:rsidTr="00082EC2">
        <w:tc>
          <w:tcPr>
            <w:tcW w:w="1392" w:type="dxa"/>
          </w:tcPr>
          <w:p w14:paraId="6FDC8363" w14:textId="77777777" w:rsidR="00806F3D" w:rsidRDefault="00806F3D" w:rsidP="002470DE">
            <w:bookmarkStart w:id="3" w:name="_Hlk528591418"/>
            <w:r>
              <w:t>CPPSEC3125</w:t>
            </w:r>
          </w:p>
        </w:tc>
        <w:tc>
          <w:tcPr>
            <w:tcW w:w="7680" w:type="dxa"/>
          </w:tcPr>
          <w:p w14:paraId="79A970EA" w14:textId="77777777" w:rsidR="00806F3D" w:rsidRDefault="00806F3D" w:rsidP="00702056">
            <w:r>
              <w:t>Implement security procedures to protect critical infrastructure and public assets</w:t>
            </w:r>
          </w:p>
        </w:tc>
      </w:tr>
      <w:tr w:rsidR="00806F3D" w:rsidRPr="009F3913" w14:paraId="0FAA4444" w14:textId="77777777" w:rsidTr="00082EC2">
        <w:tc>
          <w:tcPr>
            <w:tcW w:w="1392" w:type="dxa"/>
          </w:tcPr>
          <w:p w14:paraId="48BC298A" w14:textId="77777777" w:rsidR="00806F3D" w:rsidRPr="00572325" w:rsidRDefault="00806F3D" w:rsidP="002470DE">
            <w:r>
              <w:t>CPPSEC4008</w:t>
            </w:r>
          </w:p>
        </w:tc>
        <w:tc>
          <w:tcPr>
            <w:tcW w:w="7680" w:type="dxa"/>
          </w:tcPr>
          <w:p w14:paraId="75927BF4" w14:textId="77777777" w:rsidR="00806F3D" w:rsidRPr="00572325" w:rsidRDefault="00806F3D" w:rsidP="00702056">
            <w:r>
              <w:t>Assess and p</w:t>
            </w:r>
            <w:r w:rsidRPr="009475A2">
              <w:t>repare security tender submissions</w:t>
            </w:r>
          </w:p>
        </w:tc>
      </w:tr>
      <w:tr w:rsidR="00806F3D" w:rsidRPr="009F3913" w14:paraId="048C8A91" w14:textId="77777777" w:rsidTr="00082EC2">
        <w:tc>
          <w:tcPr>
            <w:tcW w:w="1392" w:type="dxa"/>
          </w:tcPr>
          <w:p w14:paraId="1209ABAA" w14:textId="77777777" w:rsidR="00806F3D" w:rsidRPr="00EC06E3" w:rsidRDefault="00806F3D" w:rsidP="009651C6">
            <w:r w:rsidRPr="00572325">
              <w:t>CPPSEC4</w:t>
            </w:r>
            <w:r>
              <w:t>014</w:t>
            </w:r>
          </w:p>
        </w:tc>
        <w:tc>
          <w:tcPr>
            <w:tcW w:w="7680" w:type="dxa"/>
          </w:tcPr>
          <w:p w14:paraId="180B4CC3" w14:textId="77777777" w:rsidR="00806F3D" w:rsidRDefault="00806F3D" w:rsidP="009651C6">
            <w:r>
              <w:t>C</w:t>
            </w:r>
            <w:r w:rsidRPr="001A323A">
              <w:t>ommission and decommission networked security systems</w:t>
            </w:r>
          </w:p>
        </w:tc>
      </w:tr>
      <w:tr w:rsidR="00806F3D" w:rsidRPr="009F3913" w14:paraId="411F9344" w14:textId="77777777" w:rsidTr="00082EC2">
        <w:tc>
          <w:tcPr>
            <w:tcW w:w="1392" w:type="dxa"/>
          </w:tcPr>
          <w:p w14:paraId="1EAC9938" w14:textId="77777777" w:rsidR="00806F3D" w:rsidRPr="00B8019D" w:rsidRDefault="00806F3D" w:rsidP="009651C6">
            <w:r w:rsidRPr="00572325">
              <w:t>CPPSEC4</w:t>
            </w:r>
            <w:r>
              <w:t>015</w:t>
            </w:r>
          </w:p>
        </w:tc>
        <w:tc>
          <w:tcPr>
            <w:tcW w:w="7680" w:type="dxa"/>
          </w:tcPr>
          <w:p w14:paraId="5E7ECA31" w14:textId="77777777" w:rsidR="00806F3D" w:rsidRPr="00B8019D" w:rsidRDefault="00806F3D" w:rsidP="009651C6">
            <w:r>
              <w:t xml:space="preserve">Maintain </w:t>
            </w:r>
            <w:r w:rsidRPr="009475A2">
              <w:t>networked security system</w:t>
            </w:r>
            <w:r>
              <w:t>s</w:t>
            </w:r>
          </w:p>
        </w:tc>
      </w:tr>
      <w:tr w:rsidR="00806F3D" w:rsidRPr="009F3913" w14:paraId="16D1ACCB" w14:textId="77777777" w:rsidTr="00082EC2">
        <w:tc>
          <w:tcPr>
            <w:tcW w:w="1392" w:type="dxa"/>
          </w:tcPr>
          <w:p w14:paraId="73616CE5" w14:textId="77777777" w:rsidR="00806F3D" w:rsidRPr="00B8019D" w:rsidRDefault="00806F3D" w:rsidP="009651C6">
            <w:r w:rsidRPr="00572325">
              <w:t>CPPSEC4</w:t>
            </w:r>
            <w:r>
              <w:t>016</w:t>
            </w:r>
          </w:p>
        </w:tc>
        <w:tc>
          <w:tcPr>
            <w:tcW w:w="7680" w:type="dxa"/>
          </w:tcPr>
          <w:p w14:paraId="7B9B7B2F" w14:textId="77777777" w:rsidR="00806F3D" w:rsidRPr="00B8019D" w:rsidRDefault="00806F3D" w:rsidP="009651C6">
            <w:r>
              <w:t xml:space="preserve">Install </w:t>
            </w:r>
            <w:r w:rsidRPr="009475A2">
              <w:t>networked security system</w:t>
            </w:r>
            <w:r>
              <w:t>s</w:t>
            </w:r>
          </w:p>
        </w:tc>
      </w:tr>
      <w:tr w:rsidR="00806F3D" w:rsidRPr="009F3913" w14:paraId="1AF05C62" w14:textId="77777777" w:rsidTr="00082EC2">
        <w:tc>
          <w:tcPr>
            <w:tcW w:w="1392" w:type="dxa"/>
          </w:tcPr>
          <w:p w14:paraId="04DE9ED3" w14:textId="77777777" w:rsidR="00806F3D" w:rsidRPr="00B8019D" w:rsidRDefault="00806F3D" w:rsidP="009651C6">
            <w:r w:rsidRPr="00572325">
              <w:t>CPPSEC4</w:t>
            </w:r>
            <w:r>
              <w:t>017</w:t>
            </w:r>
          </w:p>
        </w:tc>
        <w:tc>
          <w:tcPr>
            <w:tcW w:w="7680" w:type="dxa"/>
          </w:tcPr>
          <w:p w14:paraId="6B7FA52B" w14:textId="77777777" w:rsidR="00806F3D" w:rsidRPr="00B8019D" w:rsidRDefault="00806F3D" w:rsidP="009651C6">
            <w:r w:rsidRPr="009475A2">
              <w:t>Design security system configurations and specifications</w:t>
            </w:r>
          </w:p>
        </w:tc>
      </w:tr>
      <w:tr w:rsidR="00806F3D" w:rsidRPr="009F3913" w14:paraId="54A07A2C" w14:textId="77777777" w:rsidTr="00082EC2">
        <w:tc>
          <w:tcPr>
            <w:tcW w:w="1392" w:type="dxa"/>
          </w:tcPr>
          <w:p w14:paraId="1214D586" w14:textId="77777777" w:rsidR="00806F3D" w:rsidRPr="00B8019D" w:rsidRDefault="00806F3D" w:rsidP="009651C6">
            <w:r w:rsidRPr="00572325">
              <w:t>CPPSEC4</w:t>
            </w:r>
            <w:r>
              <w:t>018</w:t>
            </w:r>
          </w:p>
        </w:tc>
        <w:tc>
          <w:tcPr>
            <w:tcW w:w="7680" w:type="dxa"/>
          </w:tcPr>
          <w:p w14:paraId="445038D1" w14:textId="77777777" w:rsidR="00806F3D" w:rsidRPr="00B8019D" w:rsidRDefault="00806F3D" w:rsidP="009651C6">
            <w:r w:rsidRPr="009475A2">
              <w:t>Program and configure networked security systems</w:t>
            </w:r>
          </w:p>
        </w:tc>
      </w:tr>
      <w:tr w:rsidR="00806F3D" w:rsidRPr="009F3913" w14:paraId="08A4D47A" w14:textId="77777777" w:rsidTr="00082EC2">
        <w:tc>
          <w:tcPr>
            <w:tcW w:w="1392" w:type="dxa"/>
          </w:tcPr>
          <w:p w14:paraId="2B7BD86E" w14:textId="77777777" w:rsidR="00806F3D" w:rsidRPr="00572325" w:rsidRDefault="00806F3D" w:rsidP="009651C6">
            <w:r>
              <w:t>CPPSEC4019</w:t>
            </w:r>
          </w:p>
        </w:tc>
        <w:tc>
          <w:tcPr>
            <w:tcW w:w="7680" w:type="dxa"/>
          </w:tcPr>
          <w:p w14:paraId="492AC3C2" w14:textId="77777777" w:rsidR="00806F3D" w:rsidRPr="009475A2" w:rsidRDefault="00806F3D" w:rsidP="009651C6">
            <w:r>
              <w:t>Diagnose faults in networked security systems</w:t>
            </w:r>
          </w:p>
        </w:tc>
      </w:tr>
    </w:tbl>
    <w:bookmarkEnd w:id="3"/>
    <w:p w14:paraId="43CE8CA0" w14:textId="39715A8E" w:rsidR="002470DE" w:rsidRPr="00572325" w:rsidRDefault="002470DE" w:rsidP="002470DE">
      <w:pPr>
        <w:keepNext/>
        <w:rPr>
          <w:b/>
        </w:rPr>
      </w:pPr>
      <w:r w:rsidRPr="00572325">
        <w:rPr>
          <w:b/>
        </w:rPr>
        <w:t xml:space="preserve">Group </w:t>
      </w:r>
      <w:r>
        <w:rPr>
          <w:b/>
        </w:rPr>
        <w:t>D</w:t>
      </w:r>
      <w:r w:rsidRPr="00572325">
        <w:rPr>
          <w:b/>
        </w:rPr>
        <w:t xml:space="preserve">: </w:t>
      </w:r>
      <w:r>
        <w:rPr>
          <w:b/>
        </w:rPr>
        <w:t>General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BB275C" w:rsidRPr="002E6D9B" w14:paraId="3633CE48" w14:textId="77777777" w:rsidTr="00082EC2">
        <w:tc>
          <w:tcPr>
            <w:tcW w:w="1392" w:type="dxa"/>
          </w:tcPr>
          <w:p w14:paraId="46B773E4" w14:textId="7C7D6610" w:rsidR="00BB275C" w:rsidRDefault="00BB275C" w:rsidP="002470DE">
            <w:r>
              <w:t>BSBCOM406</w:t>
            </w:r>
          </w:p>
        </w:tc>
        <w:tc>
          <w:tcPr>
            <w:tcW w:w="7680" w:type="dxa"/>
          </w:tcPr>
          <w:p w14:paraId="06E5BA96" w14:textId="71C15FB5" w:rsidR="00BB275C" w:rsidRDefault="00BB275C" w:rsidP="002470DE">
            <w:r>
              <w:t>Conduct work within a compliance framework</w:t>
            </w:r>
          </w:p>
        </w:tc>
      </w:tr>
      <w:tr w:rsidR="00082EC2" w:rsidRPr="002E6D9B" w14:paraId="0765E27E" w14:textId="77777777" w:rsidTr="00082EC2">
        <w:tc>
          <w:tcPr>
            <w:tcW w:w="1392" w:type="dxa"/>
          </w:tcPr>
          <w:p w14:paraId="360B8358" w14:textId="180832E5" w:rsidR="00082EC2" w:rsidRPr="008B629E" w:rsidRDefault="00082EC2" w:rsidP="002470DE">
            <w:pPr>
              <w:rPr>
                <w:highlight w:val="yellow"/>
              </w:rPr>
            </w:pPr>
            <w:r>
              <w:t>BSBCUS401</w:t>
            </w:r>
          </w:p>
        </w:tc>
        <w:tc>
          <w:tcPr>
            <w:tcW w:w="7680" w:type="dxa"/>
          </w:tcPr>
          <w:p w14:paraId="72BA9CAF" w14:textId="0D9532CB" w:rsidR="00082EC2" w:rsidRPr="008B629E" w:rsidRDefault="00082EC2" w:rsidP="002470DE">
            <w:pPr>
              <w:rPr>
                <w:highlight w:val="yellow"/>
              </w:rPr>
            </w:pPr>
            <w:r>
              <w:t>Coordinate implementation of customer service strategies</w:t>
            </w:r>
          </w:p>
        </w:tc>
      </w:tr>
      <w:tr w:rsidR="00BB275C" w:rsidRPr="009F3913" w14:paraId="7C6AC944" w14:textId="77777777" w:rsidTr="00082EC2">
        <w:tc>
          <w:tcPr>
            <w:tcW w:w="1392" w:type="dxa"/>
          </w:tcPr>
          <w:p w14:paraId="031D989A" w14:textId="27B82127" w:rsidR="00BB275C" w:rsidRDefault="00BB275C" w:rsidP="001D6E68">
            <w:r>
              <w:t>BSBPMG522</w:t>
            </w:r>
          </w:p>
        </w:tc>
        <w:tc>
          <w:tcPr>
            <w:tcW w:w="7680" w:type="dxa"/>
          </w:tcPr>
          <w:p w14:paraId="21740EDC" w14:textId="5DDC9AED" w:rsidR="00BB275C" w:rsidRDefault="00BB275C" w:rsidP="001D6E68">
            <w:r>
              <w:t>Undertake project work</w:t>
            </w:r>
          </w:p>
        </w:tc>
      </w:tr>
      <w:tr w:rsidR="00BB275C" w:rsidRPr="009F3913" w14:paraId="6BC3D0D2" w14:textId="77777777" w:rsidTr="00082EC2">
        <w:tc>
          <w:tcPr>
            <w:tcW w:w="1392" w:type="dxa"/>
          </w:tcPr>
          <w:p w14:paraId="76F8405F" w14:textId="522EE640" w:rsidR="00BB275C" w:rsidRDefault="00BB275C" w:rsidP="001D6E68">
            <w:r>
              <w:t>BSBRES411</w:t>
            </w:r>
          </w:p>
        </w:tc>
        <w:tc>
          <w:tcPr>
            <w:tcW w:w="7680" w:type="dxa"/>
          </w:tcPr>
          <w:p w14:paraId="2CCA6650" w14:textId="7562D814" w:rsidR="00BB275C" w:rsidRDefault="00BB275C" w:rsidP="001D6E68">
            <w:r>
              <w:t>Analyse and present research information</w:t>
            </w:r>
          </w:p>
        </w:tc>
      </w:tr>
      <w:tr w:rsidR="00082EC2" w:rsidRPr="009F3913" w14:paraId="30D71747" w14:textId="77777777" w:rsidTr="00082EC2">
        <w:tc>
          <w:tcPr>
            <w:tcW w:w="1392" w:type="dxa"/>
          </w:tcPr>
          <w:p w14:paraId="34B2C460" w14:textId="75898245" w:rsidR="00082EC2" w:rsidRPr="00EC06E3" w:rsidRDefault="00082EC2" w:rsidP="001D6E68">
            <w:r>
              <w:t>BSBSMB401</w:t>
            </w:r>
          </w:p>
        </w:tc>
        <w:tc>
          <w:tcPr>
            <w:tcW w:w="7680" w:type="dxa"/>
          </w:tcPr>
          <w:p w14:paraId="49246E2B" w14:textId="375779BE" w:rsidR="00082EC2" w:rsidRDefault="00082EC2" w:rsidP="001D6E68">
            <w:r>
              <w:t>Establish legal and risk management requirements of small business</w:t>
            </w:r>
          </w:p>
        </w:tc>
      </w:tr>
      <w:tr w:rsidR="00082EC2" w:rsidRPr="009F3913" w14:paraId="034E095F" w14:textId="77777777" w:rsidTr="00082EC2">
        <w:tc>
          <w:tcPr>
            <w:tcW w:w="1392" w:type="dxa"/>
          </w:tcPr>
          <w:p w14:paraId="2F68D15F" w14:textId="63CA294C" w:rsidR="00082EC2" w:rsidRDefault="00082EC2" w:rsidP="001D6E68">
            <w:r>
              <w:t>BSBSMB402</w:t>
            </w:r>
          </w:p>
        </w:tc>
        <w:tc>
          <w:tcPr>
            <w:tcW w:w="7680" w:type="dxa"/>
          </w:tcPr>
          <w:p w14:paraId="6334E4A1" w14:textId="5D9F33C2" w:rsidR="00082EC2" w:rsidRDefault="00082EC2" w:rsidP="001D6E68">
            <w:r>
              <w:t>Plan small business finances</w:t>
            </w:r>
          </w:p>
        </w:tc>
      </w:tr>
      <w:tr w:rsidR="00BB275C" w:rsidRPr="009F3913" w14:paraId="1B204AF0" w14:textId="77777777" w:rsidTr="00082EC2">
        <w:tc>
          <w:tcPr>
            <w:tcW w:w="1392" w:type="dxa"/>
          </w:tcPr>
          <w:p w14:paraId="0CDD1EE1" w14:textId="40E79714" w:rsidR="00BB275C" w:rsidRDefault="00BB275C" w:rsidP="001D6E68">
            <w:r>
              <w:lastRenderedPageBreak/>
              <w:t>PSPSEC009</w:t>
            </w:r>
          </w:p>
        </w:tc>
        <w:tc>
          <w:tcPr>
            <w:tcW w:w="7680" w:type="dxa"/>
          </w:tcPr>
          <w:p w14:paraId="19F65B7B" w14:textId="0F9BB575" w:rsidR="00BB275C" w:rsidRDefault="00BB275C" w:rsidP="001D6E68">
            <w:r>
              <w:t>Handle sensitive information</w:t>
            </w:r>
          </w:p>
        </w:tc>
      </w:tr>
      <w:tr w:rsidR="00763395" w:rsidRPr="009F3913" w14:paraId="6B32FFBC" w14:textId="77777777" w:rsidTr="00082EC2">
        <w:tc>
          <w:tcPr>
            <w:tcW w:w="1392" w:type="dxa"/>
          </w:tcPr>
          <w:p w14:paraId="7642688A" w14:textId="1BF8F313" w:rsidR="00763395" w:rsidRDefault="00763395" w:rsidP="001D6E68">
            <w:r>
              <w:t>PSPSEC010</w:t>
            </w:r>
          </w:p>
        </w:tc>
        <w:tc>
          <w:tcPr>
            <w:tcW w:w="7680" w:type="dxa"/>
          </w:tcPr>
          <w:p w14:paraId="6CB15C68" w14:textId="72F8CED4" w:rsidR="00763395" w:rsidRDefault="00763395" w:rsidP="001D6E68">
            <w:r>
              <w:t>Provide government security briefings</w:t>
            </w:r>
          </w:p>
        </w:tc>
      </w:tr>
    </w:tbl>
    <w:p w14:paraId="3C734C02" w14:textId="77777777"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9F4A63" w:rsidRPr="00CA089E" w14:paraId="1800BF4C" w14:textId="77777777" w:rsidTr="005165A5">
        <w:tc>
          <w:tcPr>
            <w:tcW w:w="2263" w:type="dxa"/>
          </w:tcPr>
          <w:p w14:paraId="37B08D4B" w14:textId="55E92B2C" w:rsidR="009F4A63" w:rsidRPr="00CA089E" w:rsidRDefault="009F4A63" w:rsidP="009F4A63">
            <w:pPr>
              <w:pStyle w:val="NoSpacing"/>
              <w:rPr>
                <w:shd w:val="clear" w:color="auto" w:fill="FFFFFF"/>
              </w:rPr>
            </w:pPr>
            <w:r>
              <w:rPr>
                <w:shd w:val="clear" w:color="auto" w:fill="FFFFFF"/>
              </w:rPr>
              <w:t>Code and title</w:t>
            </w:r>
          </w:p>
        </w:tc>
        <w:tc>
          <w:tcPr>
            <w:tcW w:w="2240" w:type="dxa"/>
          </w:tcPr>
          <w:p w14:paraId="3025FD47" w14:textId="10BCA85B" w:rsidR="00E06843" w:rsidRPr="00CA089E" w:rsidRDefault="00E06843" w:rsidP="009F4A63">
            <w:pPr>
              <w:pStyle w:val="NoSpacing"/>
              <w:rPr>
                <w:lang w:eastAsia="en-AU"/>
              </w:rPr>
            </w:pPr>
            <w:r>
              <w:rPr>
                <w:lang w:eastAsia="en-AU"/>
              </w:rPr>
              <w:t xml:space="preserve">CPP07 </w:t>
            </w:r>
            <w:r w:rsidRPr="00E06843">
              <w:rPr>
                <w:lang w:eastAsia="en-AU"/>
              </w:rPr>
              <w:t>Property Services Training Package</w:t>
            </w:r>
          </w:p>
        </w:tc>
        <w:tc>
          <w:tcPr>
            <w:tcW w:w="2835" w:type="dxa"/>
          </w:tcPr>
          <w:p w14:paraId="2CAB66F6" w14:textId="53E4593C" w:rsidR="009F4A63" w:rsidRPr="00CA089E" w:rsidRDefault="009F4A63" w:rsidP="009F4A63">
            <w:pPr>
              <w:pStyle w:val="NoSpacing"/>
              <w:rPr>
                <w:lang w:eastAsia="en-AU"/>
              </w:rPr>
            </w:pPr>
            <w:r>
              <w:rPr>
                <w:lang w:eastAsia="en-AU"/>
              </w:rPr>
              <w:t>Comments</w:t>
            </w:r>
          </w:p>
        </w:tc>
        <w:tc>
          <w:tcPr>
            <w:tcW w:w="1701" w:type="dxa"/>
          </w:tcPr>
          <w:p w14:paraId="33EFF7C3" w14:textId="6F58B19E" w:rsidR="009F4A63" w:rsidRPr="00CA089E" w:rsidRDefault="009F4A63" w:rsidP="009F4A63">
            <w:pPr>
              <w:pStyle w:val="NoSpacing"/>
              <w:rPr>
                <w:lang w:eastAsia="en-AU"/>
              </w:rPr>
            </w:pPr>
            <w:r>
              <w:rPr>
                <w:lang w:eastAsia="en-AU"/>
              </w:rPr>
              <w:t>Anticipated equivalency statement</w:t>
            </w:r>
          </w:p>
        </w:tc>
      </w:tr>
      <w:tr w:rsidR="00817711" w:rsidRPr="00CA089E" w14:paraId="490142D1" w14:textId="77777777" w:rsidTr="00EC7380">
        <w:tc>
          <w:tcPr>
            <w:tcW w:w="2263" w:type="dxa"/>
          </w:tcPr>
          <w:p w14:paraId="6FB776B6" w14:textId="77B5C464" w:rsidR="00817711" w:rsidRPr="00CA089E" w:rsidRDefault="00817711" w:rsidP="00EC7380">
            <w:pPr>
              <w:spacing w:after="0"/>
              <w:rPr>
                <w:shd w:val="clear" w:color="auto" w:fill="FFFFFF"/>
              </w:rPr>
            </w:pPr>
            <w:r>
              <w:rPr>
                <w:rFonts w:cs="Calibri"/>
                <w:color w:val="000000" w:themeColor="text1"/>
                <w:lang w:eastAsia="en-AU"/>
              </w:rPr>
              <w:t>CPP4</w:t>
            </w:r>
            <w:r w:rsidR="00A619A2">
              <w:rPr>
                <w:rFonts w:cs="Calibri"/>
                <w:color w:val="000000" w:themeColor="text1"/>
                <w:lang w:eastAsia="en-AU"/>
              </w:rPr>
              <w:t>1</w:t>
            </w:r>
            <w:r w:rsidR="00106D16">
              <w:rPr>
                <w:rFonts w:cs="Calibri"/>
                <w:color w:val="000000" w:themeColor="text1"/>
                <w:lang w:eastAsia="en-AU"/>
              </w:rPr>
              <w:t>5</w:t>
            </w:r>
            <w:r>
              <w:rPr>
                <w:rFonts w:cs="Calibri"/>
                <w:color w:val="000000" w:themeColor="text1"/>
                <w:lang w:eastAsia="en-AU"/>
              </w:rPr>
              <w:t>19</w:t>
            </w:r>
            <w:r>
              <w:rPr>
                <w:rFonts w:cs="Calibri"/>
                <w:color w:val="000000" w:themeColor="text1"/>
                <w:lang w:eastAsia="en-AU"/>
              </w:rPr>
              <w:br/>
              <w:t>Certificate IV in Security Risk</w:t>
            </w:r>
            <w:r w:rsidR="00376E95">
              <w:rPr>
                <w:rFonts w:cs="Calibri"/>
                <w:color w:val="000000" w:themeColor="text1"/>
                <w:lang w:eastAsia="en-AU"/>
              </w:rPr>
              <w:t xml:space="preserve"> Analysis</w:t>
            </w:r>
          </w:p>
        </w:tc>
        <w:tc>
          <w:tcPr>
            <w:tcW w:w="2240" w:type="dxa"/>
          </w:tcPr>
          <w:p w14:paraId="0890CC4A" w14:textId="296A6FDE" w:rsidR="00817711" w:rsidRPr="00CA089E" w:rsidRDefault="00364FD0" w:rsidP="00EC7380">
            <w:pPr>
              <w:pStyle w:val="NoSpacing"/>
              <w:spacing w:before="120"/>
              <w:rPr>
                <w:lang w:eastAsia="en-AU"/>
              </w:rPr>
            </w:pPr>
            <w:r>
              <w:rPr>
                <w:rFonts w:cs="Calibri"/>
                <w:color w:val="000000" w:themeColor="text1"/>
              </w:rPr>
              <w:t>N/A</w:t>
            </w:r>
          </w:p>
        </w:tc>
        <w:tc>
          <w:tcPr>
            <w:tcW w:w="2835" w:type="dxa"/>
          </w:tcPr>
          <w:p w14:paraId="0F278DDE" w14:textId="0F7DEE46" w:rsidR="00817711" w:rsidRPr="00CA089E" w:rsidRDefault="00364FD0" w:rsidP="00EC7380">
            <w:pPr>
              <w:pStyle w:val="NoSpacing"/>
              <w:spacing w:before="120"/>
              <w:rPr>
                <w:lang w:eastAsia="en-AU"/>
              </w:rPr>
            </w:pPr>
            <w:r>
              <w:rPr>
                <w:rFonts w:cs="Calibri"/>
                <w:color w:val="000000" w:themeColor="text1"/>
              </w:rPr>
              <w:t>New qualification to meet industry requirements for qualified security risk advisers</w:t>
            </w:r>
            <w:r w:rsidR="00196644">
              <w:rPr>
                <w:rFonts w:cs="Calibri"/>
                <w:color w:val="000000" w:themeColor="text1"/>
              </w:rPr>
              <w:t xml:space="preserve"> </w:t>
            </w:r>
            <w:r w:rsidR="00196644" w:rsidRPr="00196644">
              <w:rPr>
                <w:rFonts w:cs="Calibri"/>
                <w:color w:val="000000" w:themeColor="text1"/>
              </w:rPr>
              <w:t xml:space="preserve">who </w:t>
            </w:r>
            <w:r w:rsidR="00196644">
              <w:rPr>
                <w:rFonts w:cs="Calibri"/>
                <w:color w:val="000000" w:themeColor="text1"/>
              </w:rPr>
              <w:t xml:space="preserve">can </w:t>
            </w:r>
            <w:r w:rsidR="00196644" w:rsidRPr="00196644">
              <w:rPr>
                <w:rFonts w:cs="Calibri"/>
                <w:color w:val="000000" w:themeColor="text1"/>
              </w:rPr>
              <w:t>apply technical security and operations expertise in a risk management environment</w:t>
            </w:r>
            <w:r w:rsidR="00196644">
              <w:rPr>
                <w:rFonts w:cs="Calibri"/>
                <w:color w:val="000000" w:themeColor="text1"/>
              </w:rPr>
              <w:t>.</w:t>
            </w:r>
          </w:p>
        </w:tc>
        <w:tc>
          <w:tcPr>
            <w:tcW w:w="1701" w:type="dxa"/>
          </w:tcPr>
          <w:p w14:paraId="6FDE94D9" w14:textId="7C5EEE86" w:rsidR="00817711" w:rsidRPr="00CA089E" w:rsidRDefault="00364FD0" w:rsidP="00EC7380">
            <w:pPr>
              <w:pStyle w:val="NoSpacing"/>
              <w:spacing w:before="120"/>
              <w:rPr>
                <w:lang w:eastAsia="en-AU"/>
              </w:rPr>
            </w:pPr>
            <w:r>
              <w:rPr>
                <w:lang w:eastAsia="en-AU"/>
              </w:rPr>
              <w:t>N/A</w:t>
            </w:r>
          </w:p>
        </w:tc>
      </w:tr>
    </w:tbl>
    <w:p w14:paraId="2B780EA0" w14:textId="77777777" w:rsidR="00513859" w:rsidRDefault="00513859" w:rsidP="00513859">
      <w:pPr>
        <w:pStyle w:val="Heading1"/>
      </w:pPr>
      <w:r>
        <w:t>Links</w:t>
      </w:r>
    </w:p>
    <w:p w14:paraId="1D6A885D" w14:textId="47FC3305" w:rsidR="00A21A0B" w:rsidRPr="00100640" w:rsidRDefault="00513859" w:rsidP="00EA57A1">
      <w:r>
        <w:t>An Implementation Guide to this Training Package is available at:</w:t>
      </w:r>
      <w:r w:rsidR="00A21A0B">
        <w:t xml:space="preserve"> </w:t>
      </w:r>
      <w:hyperlink r:id="rId7" w:history="1">
        <w:r w:rsidR="00A21A0B" w:rsidRPr="00594C61">
          <w:rPr>
            <w:rStyle w:val="Hyperlink"/>
          </w:rPr>
          <w:t>https://vetnet.education.gov.au/Pages/TrainingDocs.aspx?q=6f3f9672-30e8-4835-b348-205dfcf13d9b</w:t>
        </w:r>
      </w:hyperlink>
      <w:r w:rsidR="00A21A0B">
        <w:t xml:space="preserve"> </w:t>
      </w:r>
    </w:p>
    <w:sectPr w:rsidR="00A21A0B" w:rsidRPr="00100640" w:rsidSect="0010064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9B9B" w14:textId="77777777" w:rsidR="00DB0140" w:rsidRDefault="00DB0140" w:rsidP="00F81562">
      <w:r>
        <w:separator/>
      </w:r>
    </w:p>
  </w:endnote>
  <w:endnote w:type="continuationSeparator" w:id="0">
    <w:p w14:paraId="5B5CD068" w14:textId="77777777" w:rsidR="00DB0140" w:rsidRDefault="00DB0140"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6A4C" w14:textId="77777777" w:rsidR="00366A7B" w:rsidRDefault="00366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67F2D5AD"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79763E">
              <w:rPr>
                <w:noProof/>
              </w:rPr>
              <w:t>1</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79763E">
              <w:rPr>
                <w:noProof/>
              </w:rPr>
              <w:t>3</w:t>
            </w:r>
            <w:r w:rsidR="00085FF5">
              <w:rPr>
                <w:noProof/>
              </w:rPr>
              <w:fldChar w:fldCharType="end"/>
            </w:r>
          </w:p>
        </w:sdtContent>
      </w:sdt>
    </w:sdtContent>
  </w:sdt>
  <w:p w14:paraId="7825E57C" w14:textId="17E22D95" w:rsidR="00630656" w:rsidRDefault="00630656" w:rsidP="00630656">
    <w:pPr>
      <w:pStyle w:val="Footer"/>
    </w:pPr>
    <w:r>
      <w:t xml:space="preserve">Version </w:t>
    </w:r>
    <w:r>
      <w:fldChar w:fldCharType="begin"/>
    </w:r>
    <w:r>
      <w:instrText xml:space="preserve"> DATE  \@ "dd/MM/yy"  \* MERGEFORMAT </w:instrText>
    </w:r>
    <w:r>
      <w:fldChar w:fldCharType="separate"/>
    </w:r>
    <w:r w:rsidR="00806F3D">
      <w:rPr>
        <w:noProof/>
      </w:rPr>
      <w:t>14/05/19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6DEF" w14:textId="77777777" w:rsidR="00366A7B" w:rsidRDefault="0036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E198" w14:textId="77777777" w:rsidR="00DB0140" w:rsidRDefault="00DB0140" w:rsidP="00F81562">
      <w:r>
        <w:separator/>
      </w:r>
    </w:p>
  </w:footnote>
  <w:footnote w:type="continuationSeparator" w:id="0">
    <w:p w14:paraId="14EF9362" w14:textId="77777777" w:rsidR="00DB0140" w:rsidRDefault="00DB0140"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8438" w14:textId="6D3D873C" w:rsidR="00366A7B" w:rsidRDefault="00DB0140">
    <w:pPr>
      <w:pStyle w:val="Header"/>
    </w:pPr>
    <w:r>
      <w:rPr>
        <w:noProof/>
      </w:rPr>
      <w:pict w14:anchorId="6C79F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055"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5B2195D5" w:rsidR="00A664BF" w:rsidRDefault="00DB0140" w:rsidP="00F81562">
    <w:pPr>
      <w:pStyle w:val="Header"/>
    </w:pPr>
    <w:r>
      <w:rPr>
        <w:noProof/>
      </w:rPr>
      <w:pict w14:anchorId="327DF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056"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20999A3" w14:textId="77777777" w:rsidR="00992786" w:rsidRPr="008722DF" w:rsidRDefault="00992786"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DB20" w14:textId="2F5E2493" w:rsidR="00366A7B" w:rsidRDefault="00DB0140">
    <w:pPr>
      <w:pStyle w:val="Header"/>
    </w:pPr>
    <w:r>
      <w:rPr>
        <w:noProof/>
      </w:rPr>
      <w:pict w14:anchorId="49ADF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054"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4"/>
  </w:num>
  <w:num w:numId="6">
    <w:abstractNumId w:val="28"/>
  </w:num>
  <w:num w:numId="7">
    <w:abstractNumId w:val="8"/>
  </w:num>
  <w:num w:numId="8">
    <w:abstractNumId w:val="7"/>
  </w:num>
  <w:num w:numId="9">
    <w:abstractNumId w:val="2"/>
  </w:num>
  <w:num w:numId="10">
    <w:abstractNumId w:val="22"/>
  </w:num>
  <w:num w:numId="11">
    <w:abstractNumId w:val="26"/>
  </w:num>
  <w:num w:numId="12">
    <w:abstractNumId w:val="30"/>
  </w:num>
  <w:num w:numId="13">
    <w:abstractNumId w:val="0"/>
  </w:num>
  <w:num w:numId="14">
    <w:abstractNumId w:val="15"/>
  </w:num>
  <w:num w:numId="15">
    <w:abstractNumId w:val="1"/>
  </w:num>
  <w:num w:numId="16">
    <w:abstractNumId w:val="24"/>
  </w:num>
  <w:num w:numId="17">
    <w:abstractNumId w:val="18"/>
  </w:num>
  <w:num w:numId="18">
    <w:abstractNumId w:val="6"/>
  </w:num>
  <w:num w:numId="19">
    <w:abstractNumId w:val="29"/>
  </w:num>
  <w:num w:numId="20">
    <w:abstractNumId w:val="3"/>
  </w:num>
  <w:num w:numId="21">
    <w:abstractNumId w:val="21"/>
  </w:num>
  <w:num w:numId="22">
    <w:abstractNumId w:val="31"/>
  </w:num>
  <w:num w:numId="23">
    <w:abstractNumId w:val="27"/>
  </w:num>
  <w:num w:numId="24">
    <w:abstractNumId w:val="25"/>
  </w:num>
  <w:num w:numId="25">
    <w:abstractNumId w:val="16"/>
  </w:num>
  <w:num w:numId="26">
    <w:abstractNumId w:val="5"/>
  </w:num>
  <w:num w:numId="27">
    <w:abstractNumId w:val="11"/>
  </w:num>
  <w:num w:numId="28">
    <w:abstractNumId w:val="20"/>
  </w:num>
  <w:num w:numId="29">
    <w:abstractNumId w:val="17"/>
  </w:num>
  <w:num w:numId="30">
    <w:abstractNumId w:val="9"/>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0136B"/>
    <w:rsid w:val="00021219"/>
    <w:rsid w:val="000244EE"/>
    <w:rsid w:val="00027CBD"/>
    <w:rsid w:val="00032426"/>
    <w:rsid w:val="0003647B"/>
    <w:rsid w:val="00041586"/>
    <w:rsid w:val="00056B4F"/>
    <w:rsid w:val="00056E88"/>
    <w:rsid w:val="0005732A"/>
    <w:rsid w:val="00057919"/>
    <w:rsid w:val="00061643"/>
    <w:rsid w:val="0006317D"/>
    <w:rsid w:val="00067B7F"/>
    <w:rsid w:val="000744DB"/>
    <w:rsid w:val="000767BE"/>
    <w:rsid w:val="000825FE"/>
    <w:rsid w:val="00082EC2"/>
    <w:rsid w:val="00085FF5"/>
    <w:rsid w:val="000861E6"/>
    <w:rsid w:val="00091BC3"/>
    <w:rsid w:val="00092E3A"/>
    <w:rsid w:val="00092F06"/>
    <w:rsid w:val="000978E1"/>
    <w:rsid w:val="000A58EC"/>
    <w:rsid w:val="000A7BEE"/>
    <w:rsid w:val="000B0F5B"/>
    <w:rsid w:val="000B3E7F"/>
    <w:rsid w:val="000B4060"/>
    <w:rsid w:val="000B6630"/>
    <w:rsid w:val="000B742B"/>
    <w:rsid w:val="000C57AA"/>
    <w:rsid w:val="000D2AF1"/>
    <w:rsid w:val="000D5E94"/>
    <w:rsid w:val="000E46EC"/>
    <w:rsid w:val="000E5C92"/>
    <w:rsid w:val="000E6CE5"/>
    <w:rsid w:val="000F5C9C"/>
    <w:rsid w:val="001005BA"/>
    <w:rsid w:val="00100640"/>
    <w:rsid w:val="00106137"/>
    <w:rsid w:val="00106D16"/>
    <w:rsid w:val="00115C7F"/>
    <w:rsid w:val="00117220"/>
    <w:rsid w:val="00121871"/>
    <w:rsid w:val="001430F8"/>
    <w:rsid w:val="001438F3"/>
    <w:rsid w:val="00144536"/>
    <w:rsid w:val="001536AE"/>
    <w:rsid w:val="00155341"/>
    <w:rsid w:val="00157375"/>
    <w:rsid w:val="00164FE9"/>
    <w:rsid w:val="0016775F"/>
    <w:rsid w:val="00177529"/>
    <w:rsid w:val="0019645B"/>
    <w:rsid w:val="00196644"/>
    <w:rsid w:val="001A0901"/>
    <w:rsid w:val="001A323A"/>
    <w:rsid w:val="001A32EC"/>
    <w:rsid w:val="001A725F"/>
    <w:rsid w:val="001B15E6"/>
    <w:rsid w:val="001B1DAA"/>
    <w:rsid w:val="001B255C"/>
    <w:rsid w:val="001B44CC"/>
    <w:rsid w:val="001B5497"/>
    <w:rsid w:val="001B5B91"/>
    <w:rsid w:val="001C34F6"/>
    <w:rsid w:val="001D5ADE"/>
    <w:rsid w:val="001D637B"/>
    <w:rsid w:val="001D6E68"/>
    <w:rsid w:val="001E0990"/>
    <w:rsid w:val="001E2495"/>
    <w:rsid w:val="001E5771"/>
    <w:rsid w:val="001F138A"/>
    <w:rsid w:val="00202251"/>
    <w:rsid w:val="00210936"/>
    <w:rsid w:val="00211053"/>
    <w:rsid w:val="0021647A"/>
    <w:rsid w:val="00223996"/>
    <w:rsid w:val="00225C00"/>
    <w:rsid w:val="002310C8"/>
    <w:rsid w:val="00232518"/>
    <w:rsid w:val="00236F13"/>
    <w:rsid w:val="00240C89"/>
    <w:rsid w:val="002470DE"/>
    <w:rsid w:val="00247A1B"/>
    <w:rsid w:val="00250761"/>
    <w:rsid w:val="00250DC1"/>
    <w:rsid w:val="00257B51"/>
    <w:rsid w:val="0026086E"/>
    <w:rsid w:val="002748CC"/>
    <w:rsid w:val="002800B7"/>
    <w:rsid w:val="002822C7"/>
    <w:rsid w:val="00286F53"/>
    <w:rsid w:val="0029448E"/>
    <w:rsid w:val="002A0738"/>
    <w:rsid w:val="002A1CC9"/>
    <w:rsid w:val="002A2AE9"/>
    <w:rsid w:val="002B105A"/>
    <w:rsid w:val="002B1501"/>
    <w:rsid w:val="002B1DBB"/>
    <w:rsid w:val="002B3D70"/>
    <w:rsid w:val="002B4C43"/>
    <w:rsid w:val="002B72D2"/>
    <w:rsid w:val="002D00AF"/>
    <w:rsid w:val="002E124A"/>
    <w:rsid w:val="002F21CC"/>
    <w:rsid w:val="002F29F0"/>
    <w:rsid w:val="00305E6D"/>
    <w:rsid w:val="00312014"/>
    <w:rsid w:val="00316FBD"/>
    <w:rsid w:val="00320FEF"/>
    <w:rsid w:val="00335856"/>
    <w:rsid w:val="00336A50"/>
    <w:rsid w:val="003441C9"/>
    <w:rsid w:val="00344D2F"/>
    <w:rsid w:val="00363748"/>
    <w:rsid w:val="00364FD0"/>
    <w:rsid w:val="00366A7B"/>
    <w:rsid w:val="00373D2C"/>
    <w:rsid w:val="00376E95"/>
    <w:rsid w:val="003802EF"/>
    <w:rsid w:val="00380F07"/>
    <w:rsid w:val="00381327"/>
    <w:rsid w:val="0038643B"/>
    <w:rsid w:val="00386D2F"/>
    <w:rsid w:val="0039055B"/>
    <w:rsid w:val="003A6CDB"/>
    <w:rsid w:val="003A735D"/>
    <w:rsid w:val="003B49D6"/>
    <w:rsid w:val="003B65D1"/>
    <w:rsid w:val="003B71FF"/>
    <w:rsid w:val="003C1324"/>
    <w:rsid w:val="003C1684"/>
    <w:rsid w:val="003D03A5"/>
    <w:rsid w:val="003E0A36"/>
    <w:rsid w:val="003E7316"/>
    <w:rsid w:val="003F1A37"/>
    <w:rsid w:val="003F3AE7"/>
    <w:rsid w:val="003F44E5"/>
    <w:rsid w:val="003F5C97"/>
    <w:rsid w:val="0040002F"/>
    <w:rsid w:val="00415BB3"/>
    <w:rsid w:val="00417753"/>
    <w:rsid w:val="004201B5"/>
    <w:rsid w:val="004248B7"/>
    <w:rsid w:val="00424C0A"/>
    <w:rsid w:val="00434281"/>
    <w:rsid w:val="00436149"/>
    <w:rsid w:val="00444AC0"/>
    <w:rsid w:val="0045119B"/>
    <w:rsid w:val="00455989"/>
    <w:rsid w:val="0047259D"/>
    <w:rsid w:val="00482B74"/>
    <w:rsid w:val="004B5B67"/>
    <w:rsid w:val="004B6BEA"/>
    <w:rsid w:val="004D388B"/>
    <w:rsid w:val="004D7B7A"/>
    <w:rsid w:val="004E0E21"/>
    <w:rsid w:val="004F0413"/>
    <w:rsid w:val="004F294F"/>
    <w:rsid w:val="00504D95"/>
    <w:rsid w:val="00513304"/>
    <w:rsid w:val="00513859"/>
    <w:rsid w:val="00514391"/>
    <w:rsid w:val="005165A5"/>
    <w:rsid w:val="00517D52"/>
    <w:rsid w:val="00520D74"/>
    <w:rsid w:val="00525D0D"/>
    <w:rsid w:val="00527443"/>
    <w:rsid w:val="00536FFF"/>
    <w:rsid w:val="00544983"/>
    <w:rsid w:val="005466FC"/>
    <w:rsid w:val="00546B2A"/>
    <w:rsid w:val="005523A3"/>
    <w:rsid w:val="00556D8C"/>
    <w:rsid w:val="00562923"/>
    <w:rsid w:val="00564253"/>
    <w:rsid w:val="00564DEC"/>
    <w:rsid w:val="00572325"/>
    <w:rsid w:val="00572D52"/>
    <w:rsid w:val="0057353B"/>
    <w:rsid w:val="005770D9"/>
    <w:rsid w:val="00581A70"/>
    <w:rsid w:val="00586EBA"/>
    <w:rsid w:val="00591199"/>
    <w:rsid w:val="005A0A7C"/>
    <w:rsid w:val="005A3041"/>
    <w:rsid w:val="005A755E"/>
    <w:rsid w:val="005B421D"/>
    <w:rsid w:val="005B532A"/>
    <w:rsid w:val="005D19F7"/>
    <w:rsid w:val="005D42D2"/>
    <w:rsid w:val="005E1C19"/>
    <w:rsid w:val="005E3095"/>
    <w:rsid w:val="005E30CA"/>
    <w:rsid w:val="005E511C"/>
    <w:rsid w:val="005E65CD"/>
    <w:rsid w:val="005F4248"/>
    <w:rsid w:val="006142E1"/>
    <w:rsid w:val="00614C9E"/>
    <w:rsid w:val="006222C2"/>
    <w:rsid w:val="00623475"/>
    <w:rsid w:val="0062542C"/>
    <w:rsid w:val="00627A02"/>
    <w:rsid w:val="00630656"/>
    <w:rsid w:val="0064114B"/>
    <w:rsid w:val="00642B37"/>
    <w:rsid w:val="0064330C"/>
    <w:rsid w:val="00646BAC"/>
    <w:rsid w:val="006622FD"/>
    <w:rsid w:val="00667F80"/>
    <w:rsid w:val="00672818"/>
    <w:rsid w:val="00676059"/>
    <w:rsid w:val="00676A84"/>
    <w:rsid w:val="00683141"/>
    <w:rsid w:val="00684AE0"/>
    <w:rsid w:val="00692FB3"/>
    <w:rsid w:val="00696DAD"/>
    <w:rsid w:val="006A7FFA"/>
    <w:rsid w:val="006B27EF"/>
    <w:rsid w:val="006B2C82"/>
    <w:rsid w:val="006C0460"/>
    <w:rsid w:val="006D2C72"/>
    <w:rsid w:val="006D63E1"/>
    <w:rsid w:val="006E0DA2"/>
    <w:rsid w:val="006E260B"/>
    <w:rsid w:val="006F085C"/>
    <w:rsid w:val="006F2F29"/>
    <w:rsid w:val="006F5BEF"/>
    <w:rsid w:val="006F67D4"/>
    <w:rsid w:val="00700D7A"/>
    <w:rsid w:val="00701655"/>
    <w:rsid w:val="00702056"/>
    <w:rsid w:val="007020D3"/>
    <w:rsid w:val="007120F4"/>
    <w:rsid w:val="0071469F"/>
    <w:rsid w:val="00716B19"/>
    <w:rsid w:val="0072395B"/>
    <w:rsid w:val="00734556"/>
    <w:rsid w:val="00740602"/>
    <w:rsid w:val="00752213"/>
    <w:rsid w:val="00762D2F"/>
    <w:rsid w:val="00763395"/>
    <w:rsid w:val="0076758A"/>
    <w:rsid w:val="007710E4"/>
    <w:rsid w:val="00772125"/>
    <w:rsid w:val="00772B5D"/>
    <w:rsid w:val="00773EA0"/>
    <w:rsid w:val="00774144"/>
    <w:rsid w:val="007806C4"/>
    <w:rsid w:val="00783E18"/>
    <w:rsid w:val="0078627A"/>
    <w:rsid w:val="00791C9C"/>
    <w:rsid w:val="00794E5D"/>
    <w:rsid w:val="00795AF5"/>
    <w:rsid w:val="0079763E"/>
    <w:rsid w:val="007A763C"/>
    <w:rsid w:val="007A79CB"/>
    <w:rsid w:val="007B07F4"/>
    <w:rsid w:val="007B0B7C"/>
    <w:rsid w:val="007B2B30"/>
    <w:rsid w:val="007B78B4"/>
    <w:rsid w:val="007C685E"/>
    <w:rsid w:val="007E28B6"/>
    <w:rsid w:val="007E3D2E"/>
    <w:rsid w:val="007E4573"/>
    <w:rsid w:val="007E6119"/>
    <w:rsid w:val="00806F3D"/>
    <w:rsid w:val="00810372"/>
    <w:rsid w:val="00814E4B"/>
    <w:rsid w:val="0081763B"/>
    <w:rsid w:val="00817711"/>
    <w:rsid w:val="008178C7"/>
    <w:rsid w:val="00822D2B"/>
    <w:rsid w:val="00823422"/>
    <w:rsid w:val="00827668"/>
    <w:rsid w:val="00830F66"/>
    <w:rsid w:val="00832690"/>
    <w:rsid w:val="008327C8"/>
    <w:rsid w:val="00837309"/>
    <w:rsid w:val="00840990"/>
    <w:rsid w:val="00847B5C"/>
    <w:rsid w:val="00852086"/>
    <w:rsid w:val="00860874"/>
    <w:rsid w:val="00866AAA"/>
    <w:rsid w:val="008722DF"/>
    <w:rsid w:val="00882E7C"/>
    <w:rsid w:val="00883651"/>
    <w:rsid w:val="00887179"/>
    <w:rsid w:val="00894C42"/>
    <w:rsid w:val="00894EE0"/>
    <w:rsid w:val="008B1418"/>
    <w:rsid w:val="008B473D"/>
    <w:rsid w:val="008B5232"/>
    <w:rsid w:val="008B629E"/>
    <w:rsid w:val="008C0AEB"/>
    <w:rsid w:val="008C48F9"/>
    <w:rsid w:val="008E367E"/>
    <w:rsid w:val="00903ACB"/>
    <w:rsid w:val="00917832"/>
    <w:rsid w:val="00943CF1"/>
    <w:rsid w:val="00943D8F"/>
    <w:rsid w:val="0094640A"/>
    <w:rsid w:val="009475A2"/>
    <w:rsid w:val="0095104E"/>
    <w:rsid w:val="00953E83"/>
    <w:rsid w:val="009651C6"/>
    <w:rsid w:val="00971604"/>
    <w:rsid w:val="0097175C"/>
    <w:rsid w:val="009744B6"/>
    <w:rsid w:val="009754AC"/>
    <w:rsid w:val="00975679"/>
    <w:rsid w:val="00982183"/>
    <w:rsid w:val="00982861"/>
    <w:rsid w:val="009920C4"/>
    <w:rsid w:val="00992786"/>
    <w:rsid w:val="009A3DCF"/>
    <w:rsid w:val="009B281A"/>
    <w:rsid w:val="009B2E21"/>
    <w:rsid w:val="009B3A4F"/>
    <w:rsid w:val="009B5EE6"/>
    <w:rsid w:val="009B6C44"/>
    <w:rsid w:val="009C73FD"/>
    <w:rsid w:val="009D4336"/>
    <w:rsid w:val="009D77F5"/>
    <w:rsid w:val="009F1EEA"/>
    <w:rsid w:val="009F4A63"/>
    <w:rsid w:val="009F4ACF"/>
    <w:rsid w:val="009F6FF0"/>
    <w:rsid w:val="00A00031"/>
    <w:rsid w:val="00A023A9"/>
    <w:rsid w:val="00A0313D"/>
    <w:rsid w:val="00A0385C"/>
    <w:rsid w:val="00A0691A"/>
    <w:rsid w:val="00A070BB"/>
    <w:rsid w:val="00A073E9"/>
    <w:rsid w:val="00A07F65"/>
    <w:rsid w:val="00A107FF"/>
    <w:rsid w:val="00A136AE"/>
    <w:rsid w:val="00A148EC"/>
    <w:rsid w:val="00A21A0B"/>
    <w:rsid w:val="00A21BCD"/>
    <w:rsid w:val="00A21D19"/>
    <w:rsid w:val="00A40D55"/>
    <w:rsid w:val="00A42215"/>
    <w:rsid w:val="00A5355C"/>
    <w:rsid w:val="00A55D28"/>
    <w:rsid w:val="00A619A2"/>
    <w:rsid w:val="00A63DE4"/>
    <w:rsid w:val="00A654A0"/>
    <w:rsid w:val="00A664BF"/>
    <w:rsid w:val="00A67C67"/>
    <w:rsid w:val="00A70EF1"/>
    <w:rsid w:val="00A716DD"/>
    <w:rsid w:val="00A71E3F"/>
    <w:rsid w:val="00A72521"/>
    <w:rsid w:val="00A73333"/>
    <w:rsid w:val="00A81414"/>
    <w:rsid w:val="00A86E28"/>
    <w:rsid w:val="00A9113F"/>
    <w:rsid w:val="00AA2877"/>
    <w:rsid w:val="00AB2558"/>
    <w:rsid w:val="00AB667E"/>
    <w:rsid w:val="00AB6F77"/>
    <w:rsid w:val="00AC2EFE"/>
    <w:rsid w:val="00AC4346"/>
    <w:rsid w:val="00AD1E08"/>
    <w:rsid w:val="00AD3B47"/>
    <w:rsid w:val="00AE4291"/>
    <w:rsid w:val="00AE5128"/>
    <w:rsid w:val="00AE5798"/>
    <w:rsid w:val="00AE79CB"/>
    <w:rsid w:val="00AF0096"/>
    <w:rsid w:val="00AF6CD0"/>
    <w:rsid w:val="00AF6F95"/>
    <w:rsid w:val="00AF7170"/>
    <w:rsid w:val="00B06F9C"/>
    <w:rsid w:val="00B07860"/>
    <w:rsid w:val="00B10521"/>
    <w:rsid w:val="00B11470"/>
    <w:rsid w:val="00B14555"/>
    <w:rsid w:val="00B17D31"/>
    <w:rsid w:val="00B17F50"/>
    <w:rsid w:val="00B2319A"/>
    <w:rsid w:val="00B264E1"/>
    <w:rsid w:val="00B30C85"/>
    <w:rsid w:val="00B46D9B"/>
    <w:rsid w:val="00B47F1B"/>
    <w:rsid w:val="00B54175"/>
    <w:rsid w:val="00B549D6"/>
    <w:rsid w:val="00B64E76"/>
    <w:rsid w:val="00B663D8"/>
    <w:rsid w:val="00B75738"/>
    <w:rsid w:val="00B7622E"/>
    <w:rsid w:val="00B8019D"/>
    <w:rsid w:val="00B878BA"/>
    <w:rsid w:val="00B911B7"/>
    <w:rsid w:val="00B92208"/>
    <w:rsid w:val="00B934D6"/>
    <w:rsid w:val="00B96939"/>
    <w:rsid w:val="00BA177A"/>
    <w:rsid w:val="00BA4A5A"/>
    <w:rsid w:val="00BB275C"/>
    <w:rsid w:val="00BC3A12"/>
    <w:rsid w:val="00BE0B74"/>
    <w:rsid w:val="00BE1BA0"/>
    <w:rsid w:val="00BF195A"/>
    <w:rsid w:val="00BF5E33"/>
    <w:rsid w:val="00C00D64"/>
    <w:rsid w:val="00C133C5"/>
    <w:rsid w:val="00C24740"/>
    <w:rsid w:val="00C41941"/>
    <w:rsid w:val="00C45283"/>
    <w:rsid w:val="00C62267"/>
    <w:rsid w:val="00C64E44"/>
    <w:rsid w:val="00C70062"/>
    <w:rsid w:val="00C700BB"/>
    <w:rsid w:val="00C81925"/>
    <w:rsid w:val="00C829F4"/>
    <w:rsid w:val="00C83C63"/>
    <w:rsid w:val="00C844F4"/>
    <w:rsid w:val="00C84CBF"/>
    <w:rsid w:val="00C9024B"/>
    <w:rsid w:val="00CA001E"/>
    <w:rsid w:val="00CA089E"/>
    <w:rsid w:val="00CA636F"/>
    <w:rsid w:val="00CB07DA"/>
    <w:rsid w:val="00CB25C8"/>
    <w:rsid w:val="00CC1E29"/>
    <w:rsid w:val="00CC28F0"/>
    <w:rsid w:val="00CE3714"/>
    <w:rsid w:val="00CF3F56"/>
    <w:rsid w:val="00D1223C"/>
    <w:rsid w:val="00D24171"/>
    <w:rsid w:val="00D3081B"/>
    <w:rsid w:val="00D32F68"/>
    <w:rsid w:val="00D40DFE"/>
    <w:rsid w:val="00D41E5A"/>
    <w:rsid w:val="00D506F5"/>
    <w:rsid w:val="00D50ED2"/>
    <w:rsid w:val="00D52BAF"/>
    <w:rsid w:val="00D54E60"/>
    <w:rsid w:val="00D65845"/>
    <w:rsid w:val="00D670E5"/>
    <w:rsid w:val="00D70776"/>
    <w:rsid w:val="00D72BFD"/>
    <w:rsid w:val="00D75863"/>
    <w:rsid w:val="00D82D06"/>
    <w:rsid w:val="00D905DB"/>
    <w:rsid w:val="00DA004C"/>
    <w:rsid w:val="00DB0140"/>
    <w:rsid w:val="00DB4675"/>
    <w:rsid w:val="00DC174B"/>
    <w:rsid w:val="00DC6544"/>
    <w:rsid w:val="00DD263A"/>
    <w:rsid w:val="00DD45ED"/>
    <w:rsid w:val="00DE0959"/>
    <w:rsid w:val="00DF60D0"/>
    <w:rsid w:val="00E012F0"/>
    <w:rsid w:val="00E021F1"/>
    <w:rsid w:val="00E06843"/>
    <w:rsid w:val="00E22E97"/>
    <w:rsid w:val="00E237B4"/>
    <w:rsid w:val="00E24B2C"/>
    <w:rsid w:val="00E25793"/>
    <w:rsid w:val="00E31B2C"/>
    <w:rsid w:val="00E337C7"/>
    <w:rsid w:val="00E35041"/>
    <w:rsid w:val="00E37B5A"/>
    <w:rsid w:val="00E504AE"/>
    <w:rsid w:val="00E50FFA"/>
    <w:rsid w:val="00E5443B"/>
    <w:rsid w:val="00E65C53"/>
    <w:rsid w:val="00E72D38"/>
    <w:rsid w:val="00E8084C"/>
    <w:rsid w:val="00E83FCE"/>
    <w:rsid w:val="00E84046"/>
    <w:rsid w:val="00E848D5"/>
    <w:rsid w:val="00E92839"/>
    <w:rsid w:val="00E9604E"/>
    <w:rsid w:val="00EA57A1"/>
    <w:rsid w:val="00EC06E3"/>
    <w:rsid w:val="00EC1167"/>
    <w:rsid w:val="00EC7380"/>
    <w:rsid w:val="00EE3BAE"/>
    <w:rsid w:val="00EE5D80"/>
    <w:rsid w:val="00F04D81"/>
    <w:rsid w:val="00F0702F"/>
    <w:rsid w:val="00F0793A"/>
    <w:rsid w:val="00F10812"/>
    <w:rsid w:val="00F138C0"/>
    <w:rsid w:val="00F40202"/>
    <w:rsid w:val="00F4713D"/>
    <w:rsid w:val="00F531D2"/>
    <w:rsid w:val="00F555BE"/>
    <w:rsid w:val="00F63C6A"/>
    <w:rsid w:val="00F66C11"/>
    <w:rsid w:val="00F76F97"/>
    <w:rsid w:val="00F81562"/>
    <w:rsid w:val="00F81F56"/>
    <w:rsid w:val="00F857F2"/>
    <w:rsid w:val="00F9136D"/>
    <w:rsid w:val="00F94394"/>
    <w:rsid w:val="00FA1F83"/>
    <w:rsid w:val="00FA26F5"/>
    <w:rsid w:val="00FA45D3"/>
    <w:rsid w:val="00FA5C3A"/>
    <w:rsid w:val="00FB2EC0"/>
    <w:rsid w:val="00FB5497"/>
    <w:rsid w:val="00FB57D6"/>
    <w:rsid w:val="00FC0582"/>
    <w:rsid w:val="00FC50DF"/>
    <w:rsid w:val="00FC5CF1"/>
    <w:rsid w:val="00FC5E8B"/>
    <w:rsid w:val="00FC6524"/>
    <w:rsid w:val="00FE7915"/>
    <w:rsid w:val="00FF0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D1A034"/>
  <w14:defaultImageDpi w14:val="32767"/>
  <w15:docId w15:val="{7E3C7A1A-8D94-DE4D-831A-ADC8CF3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 w:type="table" w:customStyle="1" w:styleId="TableGrid1">
    <w:name w:val="Table Grid1"/>
    <w:basedOn w:val="TableNormal"/>
    <w:next w:val="TableGrid"/>
    <w:uiPriority w:val="39"/>
    <w:locked/>
    <w:rsid w:val="0057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572080420">
      <w:bodyDiv w:val="1"/>
      <w:marLeft w:val="0"/>
      <w:marRight w:val="0"/>
      <w:marTop w:val="0"/>
      <w:marBottom w:val="0"/>
      <w:divBdr>
        <w:top w:val="none" w:sz="0" w:space="0" w:color="auto"/>
        <w:left w:val="none" w:sz="0" w:space="0" w:color="auto"/>
        <w:bottom w:val="none" w:sz="0" w:space="0" w:color="auto"/>
        <w:right w:val="none" w:sz="0" w:space="0" w:color="auto"/>
      </w:divBdr>
    </w:div>
    <w:div w:id="936407510">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2006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tnet.education.gov.au/Pages/TrainingDocs.aspx?q=6f3f9672-30e8-4835-b348-205dfcf13d9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Erskine</dc:creator>
  <cp:lastModifiedBy>Michelle Mulhall</cp:lastModifiedBy>
  <cp:revision>16</cp:revision>
  <cp:lastPrinted>2019-02-20T21:25:00Z</cp:lastPrinted>
  <dcterms:created xsi:type="dcterms:W3CDTF">2019-03-06T22:24:00Z</dcterms:created>
  <dcterms:modified xsi:type="dcterms:W3CDTF">2019-05-14T01:07:00Z</dcterms:modified>
</cp:coreProperties>
</file>