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E17A" w14:textId="230D694E" w:rsidR="00092F06" w:rsidRPr="0005732A" w:rsidRDefault="00092F06" w:rsidP="0005732A">
      <w:pPr>
        <w:pStyle w:val="Title"/>
      </w:pPr>
      <w:r>
        <w:t xml:space="preserve">Qualification </w:t>
      </w:r>
      <w:r w:rsidR="00791C9C" w:rsidRPr="0038643B">
        <w:t>CP</w:t>
      </w:r>
      <w:r w:rsidR="00C65A1D">
        <w:t>C3</w:t>
      </w:r>
      <w:r w:rsidR="00AD0D1E">
        <w:t>2919</w:t>
      </w:r>
    </w:p>
    <w:p w14:paraId="5192CE99" w14:textId="3356337D" w:rsidR="00092F06" w:rsidRDefault="00092F06" w:rsidP="00F81562">
      <w:pPr>
        <w:pStyle w:val="Title"/>
      </w:pPr>
      <w:r w:rsidRPr="00092F06">
        <w:t xml:space="preserve">Certificate III in </w:t>
      </w:r>
      <w:r w:rsidR="00C65A1D">
        <w:t>Construction Crane Operations</w:t>
      </w:r>
    </w:p>
    <w:p w14:paraId="080CB627" w14:textId="77777777" w:rsidR="00992786" w:rsidRDefault="00092F06" w:rsidP="00F81562">
      <w:pPr>
        <w:pStyle w:val="Heading1"/>
      </w:pPr>
      <w:r>
        <w:rPr>
          <w:shd w:val="clear" w:color="auto" w:fill="FFFFFF"/>
        </w:rPr>
        <w:t xml:space="preserve">Qualification </w:t>
      </w:r>
      <w:r w:rsidR="007E28B6">
        <w:rPr>
          <w:shd w:val="clear" w:color="auto" w:fill="FFFFFF"/>
        </w:rPr>
        <w:t>d</w:t>
      </w:r>
      <w:r>
        <w:rPr>
          <w:shd w:val="clear" w:color="auto" w:fill="FFFFFF"/>
        </w:rPr>
        <w:t>escription</w:t>
      </w:r>
      <w:bookmarkStart w:id="0" w:name="_Hlk512512031"/>
    </w:p>
    <w:p w14:paraId="203567A0" w14:textId="73206103" w:rsidR="005A6F2A" w:rsidRPr="00F604DA" w:rsidRDefault="00C65A1D" w:rsidP="002B1A87">
      <w:r w:rsidRPr="00F604DA">
        <w:t xml:space="preserve">This qualification provides a trade outcome </w:t>
      </w:r>
      <w:r w:rsidR="001A5965">
        <w:t xml:space="preserve">for </w:t>
      </w:r>
      <w:r w:rsidR="005A6F2A" w:rsidRPr="00F604DA">
        <w:t>construction</w:t>
      </w:r>
      <w:r w:rsidRPr="00F604DA">
        <w:t xml:space="preserve"> crane operations in the residential and commercial construction industry. Due to the </w:t>
      </w:r>
      <w:proofErr w:type="gramStart"/>
      <w:r w:rsidRPr="00F604DA">
        <w:t>high risk</w:t>
      </w:r>
      <w:proofErr w:type="gramEnd"/>
      <w:r w:rsidRPr="00F604DA">
        <w:t xml:space="preserve"> nature of the job role, the qualification provides a strong focus on safety.</w:t>
      </w:r>
    </w:p>
    <w:p w14:paraId="48B5F8E9" w14:textId="77777777" w:rsidR="00DC7E2B" w:rsidRPr="00DC7E2B" w:rsidRDefault="00DC7E2B" w:rsidP="00DC7E2B">
      <w:pPr>
        <w:rPr>
          <w:rFonts w:ascii="Times New Roman" w:hAnsi="Times New Roman"/>
          <w:sz w:val="24"/>
          <w:szCs w:val="24"/>
          <w:lang w:val="en-AU"/>
        </w:rPr>
      </w:pPr>
      <w:r w:rsidRPr="00DC7E2B">
        <w:rPr>
          <w:shd w:val="clear" w:color="auto" w:fill="FFFFFF"/>
          <w:lang w:val="en-AU"/>
        </w:rPr>
        <w:t>This is a licensed occupation. Users should check requirements with their relevant licensing authority.</w:t>
      </w:r>
    </w:p>
    <w:p w14:paraId="20305CC6" w14:textId="0EF4A8E7" w:rsidR="00C65A1D" w:rsidRPr="00F604DA" w:rsidRDefault="00C65A1D" w:rsidP="002B1A87">
      <w:r w:rsidRPr="00F604DA">
        <w:t xml:space="preserve">Occupational titles </w:t>
      </w:r>
      <w:r w:rsidR="007C5D44">
        <w:t xml:space="preserve">for someone with this qualification include </w:t>
      </w:r>
      <w:r w:rsidRPr="00F604DA">
        <w:t>licensed crane operator.</w:t>
      </w:r>
    </w:p>
    <w:p w14:paraId="7A63D332" w14:textId="7A6BF54F" w:rsidR="00C65A1D" w:rsidRPr="00F604DA" w:rsidRDefault="00C65A1D" w:rsidP="002B1A87">
      <w:r w:rsidRPr="00F604DA">
        <w:t>The qualification has core unit</w:t>
      </w:r>
      <w:r w:rsidR="001A5965">
        <w:t>s</w:t>
      </w:r>
      <w:r w:rsidRPr="00F604DA">
        <w:t xml:space="preserve"> of competency that cover common skills, </w:t>
      </w:r>
      <w:r w:rsidR="001A5965">
        <w:t xml:space="preserve">a choice of units for specific crane </w:t>
      </w:r>
      <w:r w:rsidR="00ED7604">
        <w:t>licences, and elective units which include additional licensing options.</w:t>
      </w:r>
    </w:p>
    <w:p w14:paraId="218888C3" w14:textId="77777777" w:rsidR="00C65A1D" w:rsidRPr="00F604DA" w:rsidRDefault="00C65A1D" w:rsidP="002B1A87">
      <w:r w:rsidRPr="00F604DA">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13761955" w14:textId="77777777" w:rsidR="00296E12" w:rsidRDefault="00296E12" w:rsidP="002B1A87">
      <w:r w:rsidRPr="00296E12">
        <w:t>Completion of the general construction induction training program specified by the model Code of Practice for Construction Work is required for any person who is to carry out construction work. Achievement of CPCCWHS1001 Prepare to work safely in the construction industry meets this requirement.</w:t>
      </w:r>
    </w:p>
    <w:p w14:paraId="5E233E99" w14:textId="78C75E35" w:rsidR="00CC48DE" w:rsidRPr="0058174C" w:rsidRDefault="00CC48DE" w:rsidP="002B1A87">
      <w:pPr>
        <w:pStyle w:val="Heading1"/>
      </w:pPr>
      <w:r w:rsidRPr="0058174C">
        <w:t>Entry Requirements</w:t>
      </w:r>
    </w:p>
    <w:p w14:paraId="11AAA521" w14:textId="77777777" w:rsidR="00296E12" w:rsidRDefault="00296E12" w:rsidP="0058174C">
      <w:pPr>
        <w:pStyle w:val="Heading1"/>
        <w:rPr>
          <w:rFonts w:asciiTheme="minorHAnsi" w:eastAsiaTheme="minorEastAsia" w:hAnsiTheme="minorHAnsi" w:cs="Arial"/>
          <w:color w:val="auto"/>
          <w:sz w:val="24"/>
          <w:szCs w:val="24"/>
        </w:rPr>
      </w:pPr>
      <w:r w:rsidRPr="00296E12">
        <w:rPr>
          <w:rFonts w:asciiTheme="minorHAnsi" w:eastAsiaTheme="minorEastAsia" w:hAnsiTheme="minorHAnsi" w:cs="Arial"/>
          <w:color w:val="auto"/>
          <w:sz w:val="24"/>
          <w:szCs w:val="24"/>
        </w:rPr>
        <w:t>CPCCWHS1001 Prepare to work safely in the construction industry</w:t>
      </w:r>
    </w:p>
    <w:p w14:paraId="53DF411D" w14:textId="6A9FDB3D" w:rsidR="004D7B7A" w:rsidRPr="0058174C" w:rsidRDefault="004D7B7A" w:rsidP="0058174C">
      <w:pPr>
        <w:pStyle w:val="Heading1"/>
      </w:pPr>
      <w:r w:rsidRPr="0058174C">
        <w:t>P</w:t>
      </w:r>
      <w:r w:rsidR="00B10521" w:rsidRPr="0058174C">
        <w:t xml:space="preserve">ackaging </w:t>
      </w:r>
      <w:r w:rsidR="007E28B6" w:rsidRPr="0058174C">
        <w:t>r</w:t>
      </w:r>
      <w:r w:rsidR="00B10521" w:rsidRPr="0058174C">
        <w:t>ules</w:t>
      </w:r>
      <w:r w:rsidRPr="0058174C">
        <w:t xml:space="preserve"> </w:t>
      </w:r>
    </w:p>
    <w:p w14:paraId="39FAA4D1" w14:textId="77777777" w:rsidR="007D40A6" w:rsidRDefault="00CC48DE" w:rsidP="003F5B3D">
      <w:pPr>
        <w:shd w:val="clear" w:color="auto" w:fill="FFFFFF"/>
        <w:rPr>
          <w:rFonts w:cs="Arial"/>
          <w:sz w:val="24"/>
          <w:szCs w:val="24"/>
        </w:rPr>
      </w:pPr>
      <w:bookmarkStart w:id="1" w:name="_Hlk515360770"/>
      <w:r w:rsidRPr="00F604DA">
        <w:rPr>
          <w:rFonts w:cs="Arial"/>
          <w:sz w:val="24"/>
          <w:szCs w:val="24"/>
        </w:rPr>
        <w:t>To achieve this qualification</w:t>
      </w:r>
      <w:r w:rsidR="00665369">
        <w:rPr>
          <w:rFonts w:cs="Arial"/>
          <w:sz w:val="24"/>
          <w:szCs w:val="24"/>
        </w:rPr>
        <w:t xml:space="preserve"> </w:t>
      </w:r>
      <w:r w:rsidRPr="00F604DA">
        <w:rPr>
          <w:rFonts w:cs="Arial"/>
          <w:sz w:val="24"/>
          <w:szCs w:val="24"/>
        </w:rPr>
        <w:t>competency</w:t>
      </w:r>
      <w:r w:rsidR="007D40A6">
        <w:rPr>
          <w:rFonts w:cs="Arial"/>
          <w:sz w:val="24"/>
          <w:szCs w:val="24"/>
        </w:rPr>
        <w:t xml:space="preserve"> must be demonstrated</w:t>
      </w:r>
      <w:r w:rsidRPr="00F604DA">
        <w:rPr>
          <w:rFonts w:cs="Arial"/>
          <w:sz w:val="24"/>
          <w:szCs w:val="24"/>
        </w:rPr>
        <w:t xml:space="preserve"> in</w:t>
      </w:r>
      <w:r w:rsidR="007D40A6">
        <w:rPr>
          <w:rFonts w:cs="Arial"/>
          <w:sz w:val="24"/>
          <w:szCs w:val="24"/>
        </w:rPr>
        <w:t>:</w:t>
      </w:r>
    </w:p>
    <w:p w14:paraId="009A18C1" w14:textId="7DD90E72" w:rsidR="007D40A6" w:rsidRDefault="00CC48DE" w:rsidP="007D40A6">
      <w:pPr>
        <w:pStyle w:val="ListParagraph"/>
        <w:numPr>
          <w:ilvl w:val="0"/>
          <w:numId w:val="33"/>
        </w:numPr>
        <w:shd w:val="clear" w:color="auto" w:fill="FFFFFF"/>
        <w:rPr>
          <w:sz w:val="24"/>
          <w:szCs w:val="24"/>
        </w:rPr>
      </w:pPr>
      <w:r w:rsidRPr="007D40A6">
        <w:rPr>
          <w:sz w:val="24"/>
          <w:szCs w:val="24"/>
        </w:rPr>
        <w:t xml:space="preserve">23 </w:t>
      </w:r>
      <w:r w:rsidR="003F5B3D" w:rsidRPr="007D40A6">
        <w:rPr>
          <w:sz w:val="24"/>
          <w:szCs w:val="24"/>
        </w:rPr>
        <w:t xml:space="preserve">units of </w:t>
      </w:r>
      <w:r w:rsidRPr="007D40A6">
        <w:rPr>
          <w:sz w:val="24"/>
          <w:szCs w:val="24"/>
        </w:rPr>
        <w:t>competency</w:t>
      </w:r>
    </w:p>
    <w:p w14:paraId="0B0C2207" w14:textId="609D80DF" w:rsidR="007D40A6" w:rsidRDefault="007D40A6" w:rsidP="007D40A6">
      <w:pPr>
        <w:pStyle w:val="ListParagraph"/>
        <w:numPr>
          <w:ilvl w:val="1"/>
          <w:numId w:val="33"/>
        </w:numPr>
        <w:shd w:val="clear" w:color="auto" w:fill="FFFFFF"/>
        <w:rPr>
          <w:sz w:val="24"/>
          <w:szCs w:val="24"/>
        </w:rPr>
      </w:pPr>
      <w:r>
        <w:rPr>
          <w:sz w:val="24"/>
          <w:szCs w:val="24"/>
        </w:rPr>
        <w:t>16 core units</w:t>
      </w:r>
    </w:p>
    <w:p w14:paraId="1565DF27" w14:textId="1F3B1365" w:rsidR="007D40A6" w:rsidRDefault="007D40A6" w:rsidP="007D40A6">
      <w:pPr>
        <w:pStyle w:val="ListParagraph"/>
        <w:numPr>
          <w:ilvl w:val="1"/>
          <w:numId w:val="33"/>
        </w:numPr>
        <w:shd w:val="clear" w:color="auto" w:fill="FFFFFF"/>
        <w:rPr>
          <w:sz w:val="24"/>
          <w:szCs w:val="24"/>
        </w:rPr>
      </w:pPr>
      <w:r>
        <w:rPr>
          <w:sz w:val="24"/>
          <w:szCs w:val="24"/>
        </w:rPr>
        <w:t>7 elective units</w:t>
      </w:r>
    </w:p>
    <w:p w14:paraId="2C6B7DF2" w14:textId="77777777" w:rsidR="00EE2091" w:rsidRDefault="007D40A6" w:rsidP="007D40A6">
      <w:pPr>
        <w:shd w:val="clear" w:color="auto" w:fill="FFFFFF"/>
        <w:rPr>
          <w:rFonts w:cs="Arial"/>
          <w:sz w:val="24"/>
          <w:szCs w:val="24"/>
        </w:rPr>
      </w:pPr>
      <w:r w:rsidRPr="007D40A6">
        <w:rPr>
          <w:rFonts w:cs="Arial"/>
          <w:sz w:val="24"/>
          <w:szCs w:val="24"/>
        </w:rPr>
        <w:t xml:space="preserve">The elective units </w:t>
      </w:r>
      <w:r w:rsidR="00EE2091">
        <w:rPr>
          <w:rFonts w:cs="Arial"/>
          <w:sz w:val="24"/>
          <w:szCs w:val="24"/>
        </w:rPr>
        <w:t>are to be chosen as follows:</w:t>
      </w:r>
    </w:p>
    <w:p w14:paraId="45F17B92" w14:textId="678590D9" w:rsidR="00F604DA" w:rsidRDefault="00A75C76" w:rsidP="007D40A6">
      <w:pPr>
        <w:pStyle w:val="ListParagraph"/>
        <w:numPr>
          <w:ilvl w:val="0"/>
          <w:numId w:val="33"/>
        </w:numPr>
        <w:rPr>
          <w:sz w:val="24"/>
          <w:szCs w:val="24"/>
        </w:rPr>
      </w:pPr>
      <w:r>
        <w:rPr>
          <w:sz w:val="24"/>
          <w:szCs w:val="24"/>
        </w:rPr>
        <w:t>1</w:t>
      </w:r>
      <w:r w:rsidR="00CC7EBC" w:rsidRPr="00F604DA">
        <w:rPr>
          <w:sz w:val="24"/>
          <w:szCs w:val="24"/>
        </w:rPr>
        <w:t xml:space="preserve"> elective</w:t>
      </w:r>
      <w:r w:rsidR="00236CBD">
        <w:rPr>
          <w:sz w:val="24"/>
          <w:szCs w:val="24"/>
        </w:rPr>
        <w:t xml:space="preserve"> unit</w:t>
      </w:r>
      <w:r w:rsidR="00CC7EBC" w:rsidRPr="00F604DA">
        <w:rPr>
          <w:sz w:val="24"/>
          <w:szCs w:val="24"/>
        </w:rPr>
        <w:t xml:space="preserve"> must be chosen from Group A</w:t>
      </w:r>
    </w:p>
    <w:p w14:paraId="4D4B2503" w14:textId="0A12B9C4" w:rsidR="00665369" w:rsidRPr="00F604DA" w:rsidRDefault="00665369" w:rsidP="00665369">
      <w:pPr>
        <w:pStyle w:val="ListParagraph"/>
        <w:numPr>
          <w:ilvl w:val="0"/>
          <w:numId w:val="32"/>
        </w:numPr>
        <w:spacing w:before="0" w:after="160"/>
        <w:rPr>
          <w:sz w:val="24"/>
          <w:szCs w:val="24"/>
        </w:rPr>
      </w:pPr>
      <w:r>
        <w:rPr>
          <w:sz w:val="24"/>
          <w:szCs w:val="24"/>
        </w:rPr>
        <w:t>At least 4</w:t>
      </w:r>
      <w:r>
        <w:rPr>
          <w:sz w:val="24"/>
          <w:szCs w:val="24"/>
        </w:rPr>
        <w:t xml:space="preserve"> units </w:t>
      </w:r>
      <w:r>
        <w:rPr>
          <w:sz w:val="24"/>
          <w:szCs w:val="24"/>
        </w:rPr>
        <w:t>must be chosen</w:t>
      </w:r>
      <w:r w:rsidRPr="00F604DA">
        <w:rPr>
          <w:sz w:val="24"/>
          <w:szCs w:val="24"/>
        </w:rPr>
        <w:t xml:space="preserve"> fr</w:t>
      </w:r>
      <w:r>
        <w:rPr>
          <w:sz w:val="24"/>
          <w:szCs w:val="24"/>
        </w:rPr>
        <w:t>om Group A or B</w:t>
      </w:r>
    </w:p>
    <w:p w14:paraId="7CD72805" w14:textId="3DB9DCC0" w:rsidR="00EE2091" w:rsidRPr="00EE2091" w:rsidRDefault="003F5B3D" w:rsidP="008B7197">
      <w:pPr>
        <w:pStyle w:val="ListParagraph"/>
        <w:numPr>
          <w:ilvl w:val="0"/>
          <w:numId w:val="32"/>
        </w:numPr>
        <w:spacing w:after="160"/>
        <w:rPr>
          <w:rFonts w:cs="Arial"/>
          <w:sz w:val="24"/>
          <w:szCs w:val="24"/>
        </w:rPr>
      </w:pPr>
      <w:r w:rsidRPr="00EE2091">
        <w:rPr>
          <w:sz w:val="24"/>
          <w:szCs w:val="24"/>
        </w:rPr>
        <w:t xml:space="preserve">Up to </w:t>
      </w:r>
      <w:r w:rsidR="00CC7EBC" w:rsidRPr="00EE2091">
        <w:rPr>
          <w:sz w:val="24"/>
          <w:szCs w:val="24"/>
        </w:rPr>
        <w:t xml:space="preserve">2 elective units can </w:t>
      </w:r>
      <w:r w:rsidR="00EE2091">
        <w:rPr>
          <w:sz w:val="24"/>
          <w:szCs w:val="24"/>
        </w:rPr>
        <w:t>be chosen</w:t>
      </w:r>
      <w:r w:rsidR="00CC7EBC" w:rsidRPr="00EE2091">
        <w:rPr>
          <w:sz w:val="24"/>
          <w:szCs w:val="24"/>
        </w:rPr>
        <w:t xml:space="preserve"> from any</w:t>
      </w:r>
      <w:r w:rsidR="00EE2091">
        <w:rPr>
          <w:sz w:val="24"/>
          <w:szCs w:val="24"/>
        </w:rPr>
        <w:t xml:space="preserve"> other</w:t>
      </w:r>
      <w:r w:rsidR="00CC7EBC" w:rsidRPr="00EE2091">
        <w:rPr>
          <w:sz w:val="24"/>
          <w:szCs w:val="24"/>
        </w:rPr>
        <w:t xml:space="preserve"> training package</w:t>
      </w:r>
      <w:bookmarkStart w:id="2" w:name="_Hlk9503521"/>
      <w:r w:rsidR="00EE2091">
        <w:rPr>
          <w:sz w:val="24"/>
          <w:szCs w:val="24"/>
        </w:rPr>
        <w:t xml:space="preserve"> </w:t>
      </w:r>
      <w:r w:rsidR="00EE2091">
        <w:rPr>
          <w:rFonts w:cs="Arial"/>
          <w:sz w:val="24"/>
          <w:szCs w:val="24"/>
        </w:rPr>
        <w:t xml:space="preserve">as long as they contribute to a valid, industry-supported vocational outcome, maintain </w:t>
      </w:r>
      <w:r w:rsidR="00EE2091" w:rsidRPr="007D40A6">
        <w:rPr>
          <w:rFonts w:cs="Arial"/>
          <w:sz w:val="24"/>
          <w:szCs w:val="24"/>
        </w:rPr>
        <w:t xml:space="preserve">the AQF  </w:t>
      </w:r>
      <w:r w:rsidR="00EE2091" w:rsidRPr="007D40A6">
        <w:rPr>
          <w:rFonts w:cs="Arial"/>
          <w:sz w:val="24"/>
          <w:szCs w:val="24"/>
        </w:rPr>
        <w:lastRenderedPageBreak/>
        <w:t>level</w:t>
      </w:r>
      <w:r w:rsidR="00EE2091">
        <w:rPr>
          <w:rFonts w:cs="Arial"/>
          <w:sz w:val="24"/>
          <w:szCs w:val="24"/>
        </w:rPr>
        <w:t xml:space="preserve"> of this qualification</w:t>
      </w:r>
      <w:r w:rsidR="00EE2091" w:rsidRPr="007D40A6">
        <w:rPr>
          <w:rFonts w:cs="Arial"/>
          <w:sz w:val="24"/>
          <w:szCs w:val="24"/>
        </w:rPr>
        <w:t xml:space="preserve">, </w:t>
      </w:r>
      <w:r w:rsidR="00EE2091">
        <w:rPr>
          <w:rFonts w:cs="Arial"/>
          <w:sz w:val="24"/>
          <w:szCs w:val="24"/>
        </w:rPr>
        <w:t>do not duplicate the outcomes of another unit</w:t>
      </w:r>
      <w:r w:rsidR="00EE2091">
        <w:rPr>
          <w:rFonts w:cs="Arial"/>
          <w:sz w:val="24"/>
          <w:szCs w:val="24"/>
        </w:rPr>
        <w:t xml:space="preserve"> used to achieve this qualification</w:t>
      </w:r>
      <w:r w:rsidR="00EE2091">
        <w:rPr>
          <w:rFonts w:cs="Arial"/>
          <w:sz w:val="24"/>
          <w:szCs w:val="24"/>
        </w:rPr>
        <w:t xml:space="preserve"> </w:t>
      </w:r>
      <w:r w:rsidR="00EE2091" w:rsidRPr="007D40A6">
        <w:rPr>
          <w:rFonts w:cs="Arial"/>
          <w:sz w:val="24"/>
          <w:szCs w:val="24"/>
        </w:rPr>
        <w:t>and are to be chosen as follows</w:t>
      </w:r>
      <w:r w:rsidR="00EE2091">
        <w:rPr>
          <w:rFonts w:cs="Arial"/>
          <w:sz w:val="24"/>
          <w:szCs w:val="24"/>
        </w:rPr>
        <w:t>:</w:t>
      </w:r>
    </w:p>
    <w:bookmarkEnd w:id="1"/>
    <w:bookmarkEnd w:id="2"/>
    <w:p w14:paraId="1C7D2332" w14:textId="280B632F" w:rsidR="00E03E0E" w:rsidRPr="00E03E0E" w:rsidRDefault="00E03E0E" w:rsidP="00EC317E">
      <w:pPr>
        <w:pStyle w:val="Heading1"/>
        <w:rPr>
          <w:rFonts w:ascii="Calibri" w:hAnsi="Calibri" w:cs="Calibri"/>
          <w:color w:val="auto"/>
          <w:sz w:val="22"/>
          <w:szCs w:val="20"/>
        </w:rPr>
      </w:pPr>
      <w:r w:rsidRPr="00E03E0E">
        <w:rPr>
          <w:rFonts w:ascii="Calibri" w:hAnsi="Calibri" w:cs="Calibri"/>
          <w:color w:val="auto"/>
          <w:sz w:val="22"/>
          <w:szCs w:val="20"/>
        </w:rPr>
        <w:t>An asterisk (*) next to the unit code indicates that there are prerequisite requirements that must be met when packaging the qualification. Please refer to the prerequisite requirements table for details</w:t>
      </w:r>
      <w:r>
        <w:rPr>
          <w:rFonts w:ascii="Calibri" w:hAnsi="Calibri" w:cs="Calibri"/>
          <w:color w:val="auto"/>
          <w:sz w:val="22"/>
          <w:szCs w:val="20"/>
        </w:rPr>
        <w:t>.</w:t>
      </w:r>
    </w:p>
    <w:p w14:paraId="2C05B2A8" w14:textId="2C643CCC" w:rsidR="00F66C11" w:rsidRPr="0058174C" w:rsidRDefault="00F66C11" w:rsidP="00EC317E">
      <w:pPr>
        <w:pStyle w:val="Heading1"/>
      </w:pPr>
      <w:proofErr w:type="spellStart"/>
      <w:r w:rsidRPr="0058174C">
        <w:t>Cor</w:t>
      </w:r>
      <w:proofErr w:type="spellEnd"/>
      <w:r w:rsidRPr="0058174C">
        <w:t>e</w:t>
      </w:r>
      <w:r w:rsidR="00ED3C56">
        <w:t xml:space="preserve"> units</w:t>
      </w:r>
    </w:p>
    <w:tbl>
      <w:tblPr>
        <w:tblW w:w="5008" w:type="pct"/>
        <w:tblInd w:w="-8" w:type="dxa"/>
        <w:tblCellMar>
          <w:left w:w="0" w:type="dxa"/>
          <w:right w:w="0" w:type="dxa"/>
        </w:tblCellMar>
        <w:tblLook w:val="04A0" w:firstRow="1" w:lastRow="0" w:firstColumn="1" w:lastColumn="0" w:noHBand="0" w:noVBand="1"/>
      </w:tblPr>
      <w:tblGrid>
        <w:gridCol w:w="1868"/>
        <w:gridCol w:w="7166"/>
      </w:tblGrid>
      <w:tr w:rsidR="00C65A1D" w:rsidRPr="00F604DA" w14:paraId="393CB292" w14:textId="77777777" w:rsidTr="00C65A1D">
        <w:tc>
          <w:tcPr>
            <w:tcW w:w="1034" w:type="pct"/>
            <w:shd w:val="clear" w:color="auto" w:fill="auto"/>
            <w:tcMar>
              <w:top w:w="30" w:type="dxa"/>
              <w:left w:w="30" w:type="dxa"/>
              <w:bottom w:w="30" w:type="dxa"/>
              <w:right w:w="30" w:type="dxa"/>
            </w:tcMar>
          </w:tcPr>
          <w:p w14:paraId="578D305D" w14:textId="034A4E06" w:rsidR="00C65A1D" w:rsidRPr="00CA1D76" w:rsidRDefault="00C65A1D" w:rsidP="00C65A1D">
            <w:pPr>
              <w:spacing w:before="0" w:after="0" w:line="240" w:lineRule="auto"/>
              <w:rPr>
                <w:rFonts w:ascii="Calibri" w:eastAsia="Times New Roman" w:hAnsi="Calibri" w:cs="Times New Roman"/>
                <w:lang w:val="en-AU"/>
              </w:rPr>
            </w:pPr>
            <w:bookmarkStart w:id="3" w:name="_Hlk10021223"/>
            <w:r w:rsidRPr="00CA1D76">
              <w:rPr>
                <w:rFonts w:ascii="Calibri" w:eastAsia="Times New Roman" w:hAnsi="Calibri" w:cs="Times New Roman"/>
                <w:lang w:val="en-AU"/>
              </w:rPr>
              <w:t>BSBCUS301</w:t>
            </w:r>
          </w:p>
        </w:tc>
        <w:tc>
          <w:tcPr>
            <w:tcW w:w="3966" w:type="pct"/>
            <w:shd w:val="clear" w:color="auto" w:fill="auto"/>
            <w:tcMar>
              <w:top w:w="30" w:type="dxa"/>
              <w:left w:w="30" w:type="dxa"/>
              <w:bottom w:w="30" w:type="dxa"/>
              <w:right w:w="30" w:type="dxa"/>
            </w:tcMar>
          </w:tcPr>
          <w:p w14:paraId="5E8541DD"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Deliver and monitor a service to customers</w:t>
            </w:r>
          </w:p>
        </w:tc>
      </w:tr>
      <w:tr w:rsidR="00C65A1D" w:rsidRPr="00F604DA" w14:paraId="426444EA" w14:textId="77777777" w:rsidTr="00C65A1D">
        <w:tc>
          <w:tcPr>
            <w:tcW w:w="1034" w:type="pct"/>
            <w:shd w:val="clear" w:color="auto" w:fill="auto"/>
            <w:tcMar>
              <w:top w:w="30" w:type="dxa"/>
              <w:left w:w="30" w:type="dxa"/>
              <w:bottom w:w="30" w:type="dxa"/>
              <w:right w:w="30" w:type="dxa"/>
            </w:tcMar>
          </w:tcPr>
          <w:p w14:paraId="689B6B78" w14:textId="549FFA12"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CPCCCM1012</w:t>
            </w:r>
          </w:p>
        </w:tc>
        <w:tc>
          <w:tcPr>
            <w:tcW w:w="3966" w:type="pct"/>
            <w:shd w:val="clear" w:color="auto" w:fill="auto"/>
            <w:tcMar>
              <w:top w:w="30" w:type="dxa"/>
              <w:left w:w="30" w:type="dxa"/>
              <w:bottom w:w="30" w:type="dxa"/>
              <w:right w:w="30" w:type="dxa"/>
            </w:tcMar>
          </w:tcPr>
          <w:p w14:paraId="2D76D208"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Work effectively and sustainably in the construction industry</w:t>
            </w:r>
          </w:p>
        </w:tc>
      </w:tr>
      <w:tr w:rsidR="00C65A1D" w:rsidRPr="00F604DA" w14:paraId="68629512" w14:textId="77777777" w:rsidTr="00C65A1D">
        <w:tc>
          <w:tcPr>
            <w:tcW w:w="1034" w:type="pct"/>
            <w:shd w:val="clear" w:color="auto" w:fill="auto"/>
            <w:tcMar>
              <w:top w:w="30" w:type="dxa"/>
              <w:left w:w="30" w:type="dxa"/>
              <w:bottom w:w="30" w:type="dxa"/>
              <w:right w:w="30" w:type="dxa"/>
            </w:tcMar>
          </w:tcPr>
          <w:p w14:paraId="1BB48DD7" w14:textId="18495FBB"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CPCCCM1013</w:t>
            </w:r>
          </w:p>
        </w:tc>
        <w:tc>
          <w:tcPr>
            <w:tcW w:w="3966" w:type="pct"/>
            <w:shd w:val="clear" w:color="auto" w:fill="auto"/>
            <w:tcMar>
              <w:top w:w="30" w:type="dxa"/>
              <w:left w:w="30" w:type="dxa"/>
              <w:bottom w:w="30" w:type="dxa"/>
              <w:right w:w="30" w:type="dxa"/>
            </w:tcMar>
          </w:tcPr>
          <w:p w14:paraId="78B239DC"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Plan and organise work</w:t>
            </w:r>
          </w:p>
        </w:tc>
      </w:tr>
      <w:tr w:rsidR="00C65A1D" w:rsidRPr="00F604DA" w14:paraId="6297DFEB" w14:textId="77777777" w:rsidTr="00C65A1D">
        <w:tc>
          <w:tcPr>
            <w:tcW w:w="1034" w:type="pct"/>
            <w:shd w:val="clear" w:color="auto" w:fill="auto"/>
            <w:tcMar>
              <w:top w:w="30" w:type="dxa"/>
              <w:left w:w="30" w:type="dxa"/>
              <w:bottom w:w="30" w:type="dxa"/>
              <w:right w:w="30" w:type="dxa"/>
            </w:tcMar>
          </w:tcPr>
          <w:p w14:paraId="28FDBFF6" w14:textId="51EA5596"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CPCCCM1014</w:t>
            </w:r>
          </w:p>
        </w:tc>
        <w:tc>
          <w:tcPr>
            <w:tcW w:w="3966" w:type="pct"/>
            <w:shd w:val="clear" w:color="auto" w:fill="auto"/>
            <w:tcMar>
              <w:top w:w="30" w:type="dxa"/>
              <w:left w:w="30" w:type="dxa"/>
              <w:bottom w:w="30" w:type="dxa"/>
              <w:right w:w="30" w:type="dxa"/>
            </w:tcMar>
          </w:tcPr>
          <w:p w14:paraId="29BA13D7"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Conduct workplace communication</w:t>
            </w:r>
          </w:p>
        </w:tc>
      </w:tr>
      <w:tr w:rsidR="00C65A1D" w:rsidRPr="00F604DA" w14:paraId="378784AE" w14:textId="77777777" w:rsidTr="00C65A1D">
        <w:tc>
          <w:tcPr>
            <w:tcW w:w="1034" w:type="pct"/>
            <w:shd w:val="clear" w:color="auto" w:fill="auto"/>
            <w:tcMar>
              <w:top w:w="30" w:type="dxa"/>
              <w:left w:w="30" w:type="dxa"/>
              <w:bottom w:w="30" w:type="dxa"/>
              <w:right w:w="30" w:type="dxa"/>
            </w:tcMar>
          </w:tcPr>
          <w:p w14:paraId="777618C7" w14:textId="381B3270"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CPCCCM2</w:t>
            </w:r>
            <w:r w:rsidR="00267F39">
              <w:rPr>
                <w:rFonts w:ascii="Calibri" w:eastAsia="Times New Roman" w:hAnsi="Calibri" w:cs="Times New Roman"/>
                <w:lang w:val="en-AU"/>
              </w:rPr>
              <w:t>001</w:t>
            </w:r>
          </w:p>
        </w:tc>
        <w:tc>
          <w:tcPr>
            <w:tcW w:w="3966" w:type="pct"/>
            <w:shd w:val="clear" w:color="auto" w:fill="auto"/>
            <w:tcMar>
              <w:top w:w="30" w:type="dxa"/>
              <w:left w:w="30" w:type="dxa"/>
              <w:bottom w:w="30" w:type="dxa"/>
              <w:right w:w="30" w:type="dxa"/>
            </w:tcMar>
          </w:tcPr>
          <w:p w14:paraId="08A18567" w14:textId="066AD23A" w:rsidR="008E1626"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Read and interpret plans and specifications</w:t>
            </w:r>
          </w:p>
        </w:tc>
      </w:tr>
      <w:tr w:rsidR="00C65A1D" w:rsidRPr="00F604DA" w14:paraId="62E2947E" w14:textId="77777777" w:rsidTr="00C65A1D">
        <w:tc>
          <w:tcPr>
            <w:tcW w:w="1034" w:type="pct"/>
            <w:shd w:val="clear" w:color="auto" w:fill="auto"/>
            <w:tcMar>
              <w:top w:w="30" w:type="dxa"/>
              <w:left w:w="30" w:type="dxa"/>
              <w:bottom w:w="30" w:type="dxa"/>
              <w:right w:w="30" w:type="dxa"/>
            </w:tcMar>
          </w:tcPr>
          <w:p w14:paraId="64F9CCE4" w14:textId="76137BA6"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CPCCCM2004</w:t>
            </w:r>
            <w:r w:rsidR="00EF7AB7">
              <w:rPr>
                <w:rFonts w:ascii="Calibri" w:eastAsia="Times New Roman" w:hAnsi="Calibri" w:cs="Times New Roman"/>
                <w:lang w:val="en-AU"/>
              </w:rPr>
              <w:t>*</w:t>
            </w:r>
          </w:p>
        </w:tc>
        <w:tc>
          <w:tcPr>
            <w:tcW w:w="3966" w:type="pct"/>
            <w:shd w:val="clear" w:color="auto" w:fill="auto"/>
            <w:tcMar>
              <w:top w:w="30" w:type="dxa"/>
              <w:left w:w="30" w:type="dxa"/>
              <w:bottom w:w="30" w:type="dxa"/>
              <w:right w:w="30" w:type="dxa"/>
            </w:tcMar>
          </w:tcPr>
          <w:p w14:paraId="5E36442E"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Handle construction materials</w:t>
            </w:r>
          </w:p>
        </w:tc>
      </w:tr>
      <w:tr w:rsidR="00C65A1D" w:rsidRPr="00F604DA" w14:paraId="0A588C36" w14:textId="77777777" w:rsidTr="00C65A1D">
        <w:tc>
          <w:tcPr>
            <w:tcW w:w="1034" w:type="pct"/>
            <w:shd w:val="clear" w:color="auto" w:fill="auto"/>
            <w:tcMar>
              <w:top w:w="30" w:type="dxa"/>
              <w:left w:w="30" w:type="dxa"/>
              <w:bottom w:w="30" w:type="dxa"/>
              <w:right w:w="30" w:type="dxa"/>
            </w:tcMar>
          </w:tcPr>
          <w:p w14:paraId="29678250" w14:textId="6FBBA130"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CPCCCM20</w:t>
            </w:r>
            <w:r w:rsidR="00AD0D1E">
              <w:rPr>
                <w:rFonts w:ascii="Calibri" w:eastAsia="Times New Roman" w:hAnsi="Calibri" w:cs="Times New Roman"/>
                <w:lang w:val="en-AU"/>
              </w:rPr>
              <w:t>12</w:t>
            </w:r>
          </w:p>
        </w:tc>
        <w:tc>
          <w:tcPr>
            <w:tcW w:w="3966" w:type="pct"/>
            <w:shd w:val="clear" w:color="auto" w:fill="auto"/>
            <w:tcMar>
              <w:top w:w="30" w:type="dxa"/>
              <w:left w:w="30" w:type="dxa"/>
              <w:bottom w:w="30" w:type="dxa"/>
              <w:right w:w="30" w:type="dxa"/>
            </w:tcMar>
          </w:tcPr>
          <w:p w14:paraId="02FEF70E"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Work safely at heights</w:t>
            </w:r>
          </w:p>
        </w:tc>
      </w:tr>
      <w:tr w:rsidR="00C65A1D" w:rsidRPr="00F604DA" w14:paraId="7F6DEA4C" w14:textId="77777777" w:rsidTr="00C65A1D">
        <w:tc>
          <w:tcPr>
            <w:tcW w:w="1034" w:type="pct"/>
            <w:shd w:val="clear" w:color="auto" w:fill="auto"/>
            <w:tcMar>
              <w:top w:w="30" w:type="dxa"/>
              <w:left w:w="30" w:type="dxa"/>
              <w:bottom w:w="30" w:type="dxa"/>
              <w:right w:w="30" w:type="dxa"/>
            </w:tcMar>
          </w:tcPr>
          <w:p w14:paraId="0207A8F9" w14:textId="79A6B5C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CPCCCM3001</w:t>
            </w:r>
          </w:p>
        </w:tc>
        <w:tc>
          <w:tcPr>
            <w:tcW w:w="3966" w:type="pct"/>
            <w:shd w:val="clear" w:color="auto" w:fill="auto"/>
            <w:tcMar>
              <w:top w:w="30" w:type="dxa"/>
              <w:left w:w="30" w:type="dxa"/>
              <w:bottom w:w="30" w:type="dxa"/>
              <w:right w:w="30" w:type="dxa"/>
            </w:tcMar>
          </w:tcPr>
          <w:p w14:paraId="7AEA0926" w14:textId="45D4CD41"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 xml:space="preserve">Operate elevated work </w:t>
            </w:r>
            <w:r w:rsidRPr="00296E12">
              <w:rPr>
                <w:rFonts w:ascii="Calibri" w:eastAsia="Times New Roman" w:hAnsi="Calibri" w:cs="Times New Roman"/>
                <w:lang w:val="en-AU"/>
              </w:rPr>
              <w:t>platforms</w:t>
            </w:r>
            <w:r w:rsidR="00894654" w:rsidRPr="00296E12">
              <w:rPr>
                <w:rFonts w:ascii="Calibri" w:eastAsia="Times New Roman" w:hAnsi="Calibri" w:cs="Times New Roman"/>
                <w:lang w:val="en-AU"/>
              </w:rPr>
              <w:t xml:space="preserve"> </w:t>
            </w:r>
            <w:r w:rsidR="00894654" w:rsidRPr="00296E12">
              <w:t>up to 11 metres</w:t>
            </w:r>
          </w:p>
        </w:tc>
      </w:tr>
      <w:tr w:rsidR="00C65A1D" w:rsidRPr="00F604DA" w14:paraId="66050DAD" w14:textId="77777777" w:rsidTr="00C65A1D">
        <w:tc>
          <w:tcPr>
            <w:tcW w:w="1034" w:type="pct"/>
            <w:shd w:val="clear" w:color="auto" w:fill="auto"/>
            <w:tcMar>
              <w:top w:w="30" w:type="dxa"/>
              <w:left w:w="30" w:type="dxa"/>
              <w:bottom w:w="30" w:type="dxa"/>
              <w:right w:w="30" w:type="dxa"/>
            </w:tcMar>
          </w:tcPr>
          <w:p w14:paraId="36C25A6C" w14:textId="451E47FC" w:rsidR="00C65A1D" w:rsidRPr="00CA1D76" w:rsidRDefault="00A16281" w:rsidP="00F604DA">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CPCCCM300</w:t>
            </w:r>
            <w:r w:rsidR="008E1626">
              <w:rPr>
                <w:rFonts w:ascii="Calibri" w:eastAsia="Times New Roman" w:hAnsi="Calibri" w:cs="Times New Roman"/>
                <w:lang w:val="en-AU"/>
              </w:rPr>
              <w:t>3</w:t>
            </w:r>
          </w:p>
        </w:tc>
        <w:tc>
          <w:tcPr>
            <w:tcW w:w="3966" w:type="pct"/>
            <w:shd w:val="clear" w:color="auto" w:fill="auto"/>
            <w:tcMar>
              <w:top w:w="30" w:type="dxa"/>
              <w:left w:w="30" w:type="dxa"/>
              <w:bottom w:w="30" w:type="dxa"/>
              <w:right w:w="30" w:type="dxa"/>
            </w:tcMar>
          </w:tcPr>
          <w:p w14:paraId="5913C1F7" w14:textId="75F848A0" w:rsidR="00C65A1D" w:rsidRPr="00CA1D76" w:rsidRDefault="00C34028"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Work safely around electrical sources, services and assets</w:t>
            </w:r>
          </w:p>
        </w:tc>
      </w:tr>
      <w:tr w:rsidR="00C65A1D" w:rsidRPr="00F604DA" w14:paraId="5F621428" w14:textId="77777777" w:rsidTr="00C65A1D">
        <w:tc>
          <w:tcPr>
            <w:tcW w:w="1034" w:type="pct"/>
            <w:shd w:val="clear" w:color="auto" w:fill="auto"/>
            <w:tcMar>
              <w:top w:w="30" w:type="dxa"/>
              <w:left w:w="30" w:type="dxa"/>
              <w:bottom w:w="30" w:type="dxa"/>
              <w:right w:w="30" w:type="dxa"/>
            </w:tcMar>
          </w:tcPr>
          <w:p w14:paraId="6AEA83BB" w14:textId="7DF05E65" w:rsidR="00C65A1D" w:rsidRPr="00400922" w:rsidRDefault="00B41C1E" w:rsidP="00C65A1D">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CPCCLDG3001</w:t>
            </w:r>
          </w:p>
        </w:tc>
        <w:tc>
          <w:tcPr>
            <w:tcW w:w="3966" w:type="pct"/>
            <w:shd w:val="clear" w:color="auto" w:fill="auto"/>
            <w:tcMar>
              <w:top w:w="30" w:type="dxa"/>
              <w:left w:w="30" w:type="dxa"/>
              <w:bottom w:w="30" w:type="dxa"/>
              <w:right w:w="30" w:type="dxa"/>
            </w:tcMar>
          </w:tcPr>
          <w:p w14:paraId="41CC8DA0" w14:textId="7D7F582A" w:rsidR="00312492" w:rsidRPr="00400922" w:rsidRDefault="00C65A1D" w:rsidP="00C65A1D">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Licence to perform dogging</w:t>
            </w:r>
          </w:p>
        </w:tc>
      </w:tr>
      <w:tr w:rsidR="00C65A1D" w:rsidRPr="00F604DA" w14:paraId="5F0A0B31" w14:textId="77777777" w:rsidTr="00C65A1D">
        <w:tc>
          <w:tcPr>
            <w:tcW w:w="1034" w:type="pct"/>
            <w:shd w:val="clear" w:color="auto" w:fill="FFFFFF"/>
            <w:tcMar>
              <w:top w:w="30" w:type="dxa"/>
              <w:left w:w="30" w:type="dxa"/>
              <w:bottom w:w="30" w:type="dxa"/>
              <w:right w:w="30" w:type="dxa"/>
            </w:tcMar>
          </w:tcPr>
          <w:p w14:paraId="314908C6" w14:textId="2BABDD66"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w:t>
            </w:r>
            <w:r w:rsidR="004F1C74">
              <w:rPr>
                <w:rFonts w:ascii="Calibri" w:eastAsia="Times New Roman" w:hAnsi="Calibri" w:cs="Times New Roman"/>
                <w:lang w:val="en-AU"/>
              </w:rPr>
              <w:t>W</w:t>
            </w:r>
            <w:r w:rsidRPr="00CA1D76">
              <w:rPr>
                <w:rFonts w:ascii="Calibri" w:eastAsia="Times New Roman" w:hAnsi="Calibri" w:cs="Times New Roman"/>
                <w:lang w:val="en-AU"/>
              </w:rPr>
              <w:t>HS2001</w:t>
            </w:r>
          </w:p>
        </w:tc>
        <w:tc>
          <w:tcPr>
            <w:tcW w:w="3966" w:type="pct"/>
            <w:shd w:val="clear" w:color="auto" w:fill="FFFFFF"/>
            <w:tcMar>
              <w:top w:w="30" w:type="dxa"/>
              <w:left w:w="30" w:type="dxa"/>
              <w:bottom w:w="30" w:type="dxa"/>
              <w:right w:w="30" w:type="dxa"/>
            </w:tcMar>
          </w:tcPr>
          <w:p w14:paraId="59E270B1" w14:textId="2EC3F66D"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 xml:space="preserve">Apply </w:t>
            </w:r>
            <w:r w:rsidR="004F1C74">
              <w:rPr>
                <w:rFonts w:ascii="Calibri" w:eastAsia="Times New Roman" w:hAnsi="Calibri" w:cs="Times New Roman"/>
                <w:lang w:val="en-AU"/>
              </w:rPr>
              <w:t>W</w:t>
            </w:r>
            <w:r w:rsidRPr="00CA1D76">
              <w:rPr>
                <w:rFonts w:ascii="Calibri" w:eastAsia="Times New Roman" w:hAnsi="Calibri" w:cs="Times New Roman"/>
                <w:lang w:val="en-AU"/>
              </w:rPr>
              <w:t>HS requirements, policies and procedures in the construction industry</w:t>
            </w:r>
          </w:p>
        </w:tc>
      </w:tr>
      <w:tr w:rsidR="00C65A1D" w:rsidRPr="00F604DA" w14:paraId="31FAFEEC" w14:textId="77777777" w:rsidTr="00C65A1D">
        <w:tc>
          <w:tcPr>
            <w:tcW w:w="1034" w:type="pct"/>
            <w:shd w:val="clear" w:color="auto" w:fill="FFFFFF"/>
            <w:tcMar>
              <w:top w:w="30" w:type="dxa"/>
              <w:left w:w="30" w:type="dxa"/>
              <w:bottom w:w="30" w:type="dxa"/>
              <w:right w:w="30" w:type="dxa"/>
            </w:tcMar>
          </w:tcPr>
          <w:p w14:paraId="1F5C4F4A" w14:textId="7628CED9"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TLIB3015</w:t>
            </w:r>
          </w:p>
        </w:tc>
        <w:tc>
          <w:tcPr>
            <w:tcW w:w="3966" w:type="pct"/>
            <w:shd w:val="clear" w:color="auto" w:fill="FFFFFF"/>
            <w:tcMar>
              <w:top w:w="30" w:type="dxa"/>
              <w:left w:w="30" w:type="dxa"/>
              <w:bottom w:w="30" w:type="dxa"/>
              <w:right w:w="30" w:type="dxa"/>
            </w:tcMar>
          </w:tcPr>
          <w:p w14:paraId="335A805B"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Undertake site inspection</w:t>
            </w:r>
          </w:p>
        </w:tc>
      </w:tr>
      <w:tr w:rsidR="00C65A1D" w:rsidRPr="00F604DA" w14:paraId="78465190" w14:textId="77777777" w:rsidTr="00C65A1D">
        <w:tc>
          <w:tcPr>
            <w:tcW w:w="1034" w:type="pct"/>
            <w:shd w:val="clear" w:color="auto" w:fill="FFFFFF"/>
            <w:tcMar>
              <w:top w:w="30" w:type="dxa"/>
              <w:left w:w="30" w:type="dxa"/>
              <w:bottom w:w="30" w:type="dxa"/>
              <w:right w:w="30" w:type="dxa"/>
            </w:tcMar>
          </w:tcPr>
          <w:p w14:paraId="051271BD" w14:textId="16945245"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TLIF2006</w:t>
            </w:r>
          </w:p>
        </w:tc>
        <w:tc>
          <w:tcPr>
            <w:tcW w:w="3966" w:type="pct"/>
            <w:shd w:val="clear" w:color="auto" w:fill="FFFFFF"/>
            <w:tcMar>
              <w:top w:w="30" w:type="dxa"/>
              <w:left w:w="30" w:type="dxa"/>
              <w:bottom w:w="30" w:type="dxa"/>
              <w:right w:w="30" w:type="dxa"/>
            </w:tcMar>
          </w:tcPr>
          <w:p w14:paraId="2FA21682"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Apply accident-emergency procedures</w:t>
            </w:r>
          </w:p>
        </w:tc>
      </w:tr>
      <w:tr w:rsidR="00C65A1D" w:rsidRPr="00F604DA" w14:paraId="21849E9F" w14:textId="77777777" w:rsidTr="00C65A1D">
        <w:tc>
          <w:tcPr>
            <w:tcW w:w="1034" w:type="pct"/>
            <w:shd w:val="clear" w:color="auto" w:fill="FFFFFF"/>
            <w:tcMar>
              <w:top w:w="30" w:type="dxa"/>
              <w:left w:w="30" w:type="dxa"/>
              <w:bottom w:w="30" w:type="dxa"/>
              <w:right w:w="30" w:type="dxa"/>
            </w:tcMar>
          </w:tcPr>
          <w:p w14:paraId="3CB4076F" w14:textId="5324E939"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TLIF2010</w:t>
            </w:r>
          </w:p>
        </w:tc>
        <w:tc>
          <w:tcPr>
            <w:tcW w:w="3966" w:type="pct"/>
            <w:shd w:val="clear" w:color="auto" w:fill="FFFFFF"/>
            <w:tcMar>
              <w:top w:w="30" w:type="dxa"/>
              <w:left w:w="30" w:type="dxa"/>
              <w:bottom w:w="30" w:type="dxa"/>
              <w:right w:w="30" w:type="dxa"/>
            </w:tcMar>
          </w:tcPr>
          <w:p w14:paraId="618E0C8E"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Apply fatigue management strategies</w:t>
            </w:r>
          </w:p>
        </w:tc>
      </w:tr>
      <w:tr w:rsidR="00D97FF4" w:rsidRPr="00F604DA" w14:paraId="088CABAE" w14:textId="77777777" w:rsidTr="00C65A1D">
        <w:tc>
          <w:tcPr>
            <w:tcW w:w="1034" w:type="pct"/>
            <w:shd w:val="clear" w:color="auto" w:fill="FFFFFF"/>
            <w:tcMar>
              <w:top w:w="30" w:type="dxa"/>
              <w:left w:w="30" w:type="dxa"/>
              <w:bottom w:w="30" w:type="dxa"/>
              <w:right w:w="30" w:type="dxa"/>
            </w:tcMar>
          </w:tcPr>
          <w:p w14:paraId="51042AA3" w14:textId="5FF0D071" w:rsidR="00D97FF4" w:rsidRPr="00CA1D76" w:rsidRDefault="00D97FF4" w:rsidP="00C65A1D">
            <w:pPr>
              <w:spacing w:before="0" w:after="0" w:line="240" w:lineRule="auto"/>
              <w:rPr>
                <w:rFonts w:ascii="Calibri" w:eastAsia="Times New Roman" w:hAnsi="Calibri" w:cs="Times New Roman"/>
                <w:lang w:val="en-AU"/>
              </w:rPr>
            </w:pPr>
            <w:r w:rsidRPr="003B35FF">
              <w:rPr>
                <w:rFonts w:ascii="Calibri" w:eastAsia="Times New Roman" w:hAnsi="Calibri" w:cs="Times New Roman"/>
                <w:lang w:val="en-AU"/>
              </w:rPr>
              <w:t>CPCCCM1015</w:t>
            </w:r>
          </w:p>
        </w:tc>
        <w:tc>
          <w:tcPr>
            <w:tcW w:w="3966" w:type="pct"/>
            <w:shd w:val="clear" w:color="auto" w:fill="FFFFFF"/>
            <w:tcMar>
              <w:top w:w="30" w:type="dxa"/>
              <w:left w:w="30" w:type="dxa"/>
              <w:bottom w:w="30" w:type="dxa"/>
              <w:right w:w="30" w:type="dxa"/>
            </w:tcMar>
          </w:tcPr>
          <w:p w14:paraId="27E49DF6" w14:textId="2FC57DEA" w:rsidR="00D97FF4" w:rsidRPr="00CA1D76" w:rsidRDefault="00D97FF4" w:rsidP="00C65A1D">
            <w:pPr>
              <w:spacing w:before="0" w:after="0" w:line="240" w:lineRule="auto"/>
              <w:rPr>
                <w:rFonts w:ascii="Calibri" w:eastAsia="Times New Roman" w:hAnsi="Calibri" w:cs="Times New Roman"/>
                <w:lang w:val="en-AU"/>
              </w:rPr>
            </w:pPr>
            <w:r w:rsidRPr="00D97FF4">
              <w:rPr>
                <w:rFonts w:ascii="Calibri" w:eastAsia="Times New Roman" w:hAnsi="Calibri" w:cs="Times New Roman"/>
                <w:lang w:val="en-AU"/>
              </w:rPr>
              <w:t>Carry out measurements and calculations</w:t>
            </w:r>
          </w:p>
        </w:tc>
      </w:tr>
      <w:tr w:rsidR="00D97FF4" w:rsidRPr="00296E12" w14:paraId="406335B5" w14:textId="77777777" w:rsidTr="00C65A1D">
        <w:tc>
          <w:tcPr>
            <w:tcW w:w="1034" w:type="pct"/>
            <w:shd w:val="clear" w:color="auto" w:fill="FFFFFF"/>
            <w:tcMar>
              <w:top w:w="30" w:type="dxa"/>
              <w:left w:w="30" w:type="dxa"/>
              <w:bottom w:w="30" w:type="dxa"/>
              <w:right w:w="30" w:type="dxa"/>
            </w:tcMar>
          </w:tcPr>
          <w:p w14:paraId="57178D14" w14:textId="5512DB69" w:rsidR="00D97FF4" w:rsidRPr="00CA1D76" w:rsidRDefault="00D97FF4" w:rsidP="00C65A1D">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TLILIC0008</w:t>
            </w:r>
          </w:p>
        </w:tc>
        <w:tc>
          <w:tcPr>
            <w:tcW w:w="3966" w:type="pct"/>
            <w:shd w:val="clear" w:color="auto" w:fill="FFFFFF"/>
            <w:tcMar>
              <w:top w:w="30" w:type="dxa"/>
              <w:left w:w="30" w:type="dxa"/>
              <w:bottom w:w="30" w:type="dxa"/>
              <w:right w:w="30" w:type="dxa"/>
            </w:tcMar>
          </w:tcPr>
          <w:p w14:paraId="3D8C09DD" w14:textId="414D2C1B" w:rsidR="00D97FF4" w:rsidRPr="00296E12" w:rsidRDefault="00D97FF4" w:rsidP="00C65A1D">
            <w:pPr>
              <w:spacing w:before="0" w:after="0" w:line="240" w:lineRule="auto"/>
              <w:rPr>
                <w:rFonts w:ascii="Calibri" w:eastAsia="Times New Roman" w:hAnsi="Calibri" w:cs="Times New Roman"/>
                <w:lang w:val="en-AU"/>
              </w:rPr>
            </w:pPr>
            <w:r w:rsidRPr="00296E12">
              <w:rPr>
                <w:rFonts w:ascii="Calibri" w:eastAsia="Times New Roman" w:hAnsi="Calibri" w:cs="Times New Roman"/>
                <w:lang w:val="en-AU"/>
              </w:rPr>
              <w:t>Licence to operate a non-slewing mobile crane</w:t>
            </w:r>
            <w:r w:rsidR="004F1C74" w:rsidRPr="00296E12">
              <w:rPr>
                <w:rFonts w:ascii="Calibri" w:eastAsia="Times New Roman" w:hAnsi="Calibri" w:cs="Times New Roman"/>
                <w:lang w:val="en-AU"/>
              </w:rPr>
              <w:t xml:space="preserve"> (greater than 3 tonnes capacity)</w:t>
            </w:r>
          </w:p>
        </w:tc>
      </w:tr>
    </w:tbl>
    <w:bookmarkEnd w:id="0"/>
    <w:p w14:paraId="164D453E" w14:textId="73958487" w:rsidR="00B06F9C" w:rsidRPr="0058174C" w:rsidRDefault="00F76F97" w:rsidP="00EC317E">
      <w:pPr>
        <w:pStyle w:val="Heading1"/>
      </w:pPr>
      <w:r w:rsidRPr="0058174C">
        <w:t>Elective</w:t>
      </w:r>
      <w:r w:rsidR="00ED3C56">
        <w:t xml:space="preserve"> units</w:t>
      </w:r>
    </w:p>
    <w:p w14:paraId="04AFB294" w14:textId="45633C2C" w:rsidR="00DA2E4C" w:rsidRPr="00296E12" w:rsidRDefault="00A82CC4" w:rsidP="00F81562">
      <w:pPr>
        <w:rPr>
          <w:b/>
          <w:sz w:val="24"/>
          <w:szCs w:val="24"/>
        </w:rPr>
      </w:pPr>
      <w:r w:rsidRPr="00296E12">
        <w:rPr>
          <w:b/>
          <w:sz w:val="24"/>
          <w:szCs w:val="24"/>
        </w:rPr>
        <w:t>Group A</w:t>
      </w:r>
    </w:p>
    <w:tbl>
      <w:tblPr>
        <w:tblW w:w="5008" w:type="pct"/>
        <w:tblInd w:w="-8" w:type="dxa"/>
        <w:tblCellMar>
          <w:left w:w="0" w:type="dxa"/>
          <w:right w:w="0" w:type="dxa"/>
        </w:tblCellMar>
        <w:tblLook w:val="04A0" w:firstRow="1" w:lastRow="0" w:firstColumn="1" w:lastColumn="0" w:noHBand="0" w:noVBand="1"/>
      </w:tblPr>
      <w:tblGrid>
        <w:gridCol w:w="1868"/>
        <w:gridCol w:w="7166"/>
      </w:tblGrid>
      <w:tr w:rsidR="00A82CC4" w:rsidRPr="00296E12" w14:paraId="7DECBEDC" w14:textId="77777777" w:rsidTr="00DA2E4C">
        <w:tc>
          <w:tcPr>
            <w:tcW w:w="1034" w:type="pct"/>
            <w:shd w:val="clear" w:color="auto" w:fill="FFFFFF"/>
            <w:tcMar>
              <w:top w:w="30" w:type="dxa"/>
              <w:left w:w="30" w:type="dxa"/>
              <w:bottom w:w="30" w:type="dxa"/>
              <w:right w:w="30" w:type="dxa"/>
            </w:tcMar>
          </w:tcPr>
          <w:p w14:paraId="69FD2A34" w14:textId="3013906D" w:rsidR="00A82CC4" w:rsidRPr="00296E12" w:rsidRDefault="00A82CC4" w:rsidP="00A82CC4">
            <w:pPr>
              <w:spacing w:before="0" w:after="0" w:line="240" w:lineRule="auto"/>
              <w:rPr>
                <w:rFonts w:ascii="Calibri" w:eastAsia="Times New Roman" w:hAnsi="Calibri" w:cs="Times New Roman"/>
                <w:lang w:val="en-AU"/>
              </w:rPr>
            </w:pPr>
            <w:r w:rsidRPr="00296E12">
              <w:rPr>
                <w:rFonts w:ascii="Calibri" w:eastAsia="Times New Roman" w:hAnsi="Calibri" w:cs="Times New Roman"/>
                <w:lang w:val="en-AU"/>
              </w:rPr>
              <w:t>TLILIC</w:t>
            </w:r>
            <w:r w:rsidR="004F1C74" w:rsidRPr="00296E12">
              <w:rPr>
                <w:rFonts w:ascii="Calibri" w:eastAsia="Times New Roman" w:hAnsi="Calibri" w:cs="Times New Roman"/>
                <w:lang w:val="en-AU"/>
              </w:rPr>
              <w:t>0</w:t>
            </w:r>
            <w:r w:rsidRPr="00296E12">
              <w:rPr>
                <w:rFonts w:ascii="Calibri" w:eastAsia="Times New Roman" w:hAnsi="Calibri" w:cs="Times New Roman"/>
                <w:lang w:val="en-AU"/>
              </w:rPr>
              <w:t>0</w:t>
            </w:r>
            <w:r w:rsidR="00296E12" w:rsidRPr="00296E12">
              <w:rPr>
                <w:rFonts w:ascii="Calibri" w:eastAsia="Times New Roman" w:hAnsi="Calibri" w:cs="Times New Roman"/>
                <w:lang w:val="en-AU"/>
              </w:rPr>
              <w:t>10</w:t>
            </w:r>
          </w:p>
        </w:tc>
        <w:tc>
          <w:tcPr>
            <w:tcW w:w="3966" w:type="pct"/>
            <w:shd w:val="clear" w:color="auto" w:fill="FFFFFF"/>
            <w:tcMar>
              <w:top w:w="30" w:type="dxa"/>
              <w:left w:w="30" w:type="dxa"/>
              <w:bottom w:w="30" w:type="dxa"/>
              <w:right w:w="30" w:type="dxa"/>
            </w:tcMar>
          </w:tcPr>
          <w:p w14:paraId="30490FB7" w14:textId="77777777" w:rsidR="00A82CC4" w:rsidRPr="00296E12" w:rsidRDefault="00A82CC4" w:rsidP="00A82CC4">
            <w:pPr>
              <w:spacing w:before="0" w:after="0" w:line="240" w:lineRule="auto"/>
              <w:rPr>
                <w:rFonts w:ascii="Calibri" w:eastAsia="Times New Roman" w:hAnsi="Calibri" w:cs="Times New Roman"/>
                <w:lang w:val="en-AU"/>
              </w:rPr>
            </w:pPr>
            <w:r w:rsidRPr="00296E12">
              <w:rPr>
                <w:rFonts w:ascii="Calibri" w:eastAsia="Times New Roman" w:hAnsi="Calibri" w:cs="Times New Roman"/>
                <w:lang w:val="en-AU"/>
              </w:rPr>
              <w:t>Licence to operate a slewing mobile crane (up to 20 tonnes)</w:t>
            </w:r>
          </w:p>
        </w:tc>
      </w:tr>
      <w:tr w:rsidR="00A82CC4" w:rsidRPr="00400922" w14:paraId="473A1948" w14:textId="77777777" w:rsidTr="00DA2E4C">
        <w:tc>
          <w:tcPr>
            <w:tcW w:w="1034" w:type="pct"/>
            <w:shd w:val="clear" w:color="auto" w:fill="FFFFFF"/>
            <w:tcMar>
              <w:top w:w="30" w:type="dxa"/>
              <w:left w:w="30" w:type="dxa"/>
              <w:bottom w:w="30" w:type="dxa"/>
              <w:right w:w="30" w:type="dxa"/>
            </w:tcMar>
          </w:tcPr>
          <w:p w14:paraId="7E6306E3" w14:textId="307C1B54" w:rsidR="00A82CC4" w:rsidRPr="00296E12" w:rsidRDefault="00A82CC4" w:rsidP="00A82CC4">
            <w:pPr>
              <w:spacing w:before="0" w:after="0" w:line="240" w:lineRule="auto"/>
              <w:rPr>
                <w:rFonts w:ascii="Calibri" w:eastAsia="Times New Roman" w:hAnsi="Calibri" w:cs="Times New Roman"/>
                <w:lang w:val="en-AU"/>
              </w:rPr>
            </w:pPr>
            <w:r w:rsidRPr="00296E12">
              <w:rPr>
                <w:rFonts w:ascii="Calibri" w:eastAsia="Times New Roman" w:hAnsi="Calibri" w:cs="Times New Roman"/>
                <w:lang w:val="en-AU"/>
              </w:rPr>
              <w:t>TLILIC</w:t>
            </w:r>
            <w:r w:rsidR="004F1C74" w:rsidRPr="00296E12">
              <w:rPr>
                <w:rFonts w:ascii="Calibri" w:eastAsia="Times New Roman" w:hAnsi="Calibri" w:cs="Times New Roman"/>
                <w:lang w:val="en-AU"/>
              </w:rPr>
              <w:t>0</w:t>
            </w:r>
            <w:r w:rsidRPr="00296E12">
              <w:rPr>
                <w:rFonts w:ascii="Calibri" w:eastAsia="Times New Roman" w:hAnsi="Calibri" w:cs="Times New Roman"/>
                <w:lang w:val="en-AU"/>
              </w:rPr>
              <w:t>0</w:t>
            </w:r>
            <w:r w:rsidR="004F1C74" w:rsidRPr="00296E12">
              <w:rPr>
                <w:rFonts w:ascii="Calibri" w:eastAsia="Times New Roman" w:hAnsi="Calibri" w:cs="Times New Roman"/>
                <w:lang w:val="en-AU"/>
              </w:rPr>
              <w:t>13</w:t>
            </w:r>
          </w:p>
        </w:tc>
        <w:tc>
          <w:tcPr>
            <w:tcW w:w="3966" w:type="pct"/>
            <w:shd w:val="clear" w:color="auto" w:fill="FFFFFF"/>
            <w:tcMar>
              <w:top w:w="30" w:type="dxa"/>
              <w:left w:w="30" w:type="dxa"/>
              <w:bottom w:w="30" w:type="dxa"/>
              <w:right w:w="30" w:type="dxa"/>
            </w:tcMar>
          </w:tcPr>
          <w:p w14:paraId="380C342B" w14:textId="77777777" w:rsidR="00A82CC4" w:rsidRPr="00400922" w:rsidRDefault="00A82CC4" w:rsidP="00A82CC4">
            <w:pPr>
              <w:spacing w:before="0" w:after="0" w:line="240" w:lineRule="auto"/>
              <w:rPr>
                <w:rFonts w:ascii="Calibri" w:eastAsia="Times New Roman" w:hAnsi="Calibri" w:cs="Times New Roman"/>
                <w:lang w:val="en-AU"/>
              </w:rPr>
            </w:pPr>
            <w:bookmarkStart w:id="4" w:name="_Hlk516825954"/>
            <w:r w:rsidRPr="00296E12">
              <w:rPr>
                <w:rFonts w:ascii="Calibri" w:eastAsia="Times New Roman" w:hAnsi="Calibri" w:cs="Times New Roman"/>
                <w:lang w:val="en-AU"/>
              </w:rPr>
              <w:t>Licence to operate a slewing mobile crane (up to 60 tonnes)</w:t>
            </w:r>
            <w:bookmarkEnd w:id="4"/>
          </w:p>
        </w:tc>
      </w:tr>
      <w:tr w:rsidR="00A82CC4" w:rsidRPr="00400922" w14:paraId="05699CE4" w14:textId="77777777" w:rsidTr="00DA2E4C">
        <w:tc>
          <w:tcPr>
            <w:tcW w:w="1034" w:type="pct"/>
            <w:shd w:val="clear" w:color="auto" w:fill="FFFFFF"/>
            <w:tcMar>
              <w:top w:w="30" w:type="dxa"/>
              <w:left w:w="30" w:type="dxa"/>
              <w:bottom w:w="30" w:type="dxa"/>
              <w:right w:w="30" w:type="dxa"/>
            </w:tcMar>
          </w:tcPr>
          <w:p w14:paraId="1AE8B9D2" w14:textId="3CEA4E85" w:rsidR="00A82CC4" w:rsidRPr="00400922" w:rsidRDefault="00A82CC4" w:rsidP="00A82CC4">
            <w:pPr>
              <w:spacing w:before="0" w:after="0" w:line="240" w:lineRule="auto"/>
              <w:rPr>
                <w:rFonts w:ascii="Calibri" w:eastAsia="Times New Roman" w:hAnsi="Calibri" w:cs="Times New Roman"/>
                <w:lang w:val="en-AU"/>
              </w:rPr>
            </w:pPr>
          </w:p>
        </w:tc>
        <w:tc>
          <w:tcPr>
            <w:tcW w:w="3966" w:type="pct"/>
            <w:shd w:val="clear" w:color="auto" w:fill="FFFFFF"/>
            <w:tcMar>
              <w:top w:w="30" w:type="dxa"/>
              <w:left w:w="30" w:type="dxa"/>
              <w:bottom w:w="30" w:type="dxa"/>
              <w:right w:w="30" w:type="dxa"/>
            </w:tcMar>
          </w:tcPr>
          <w:p w14:paraId="6D2D7EE2" w14:textId="1E3A4809" w:rsidR="00742982" w:rsidRPr="00400922" w:rsidRDefault="00742982" w:rsidP="00D97FF4">
            <w:pPr>
              <w:spacing w:before="0" w:after="0" w:line="240" w:lineRule="auto"/>
              <w:rPr>
                <w:rFonts w:ascii="Calibri" w:eastAsia="Times New Roman" w:hAnsi="Calibri" w:cs="Times New Roman"/>
                <w:lang w:val="en-AU"/>
              </w:rPr>
            </w:pPr>
          </w:p>
        </w:tc>
      </w:tr>
    </w:tbl>
    <w:p w14:paraId="53C73AC0" w14:textId="55050729" w:rsidR="00DA2E4C" w:rsidRPr="003B35FF" w:rsidRDefault="00A82CC4" w:rsidP="00F81562">
      <w:pPr>
        <w:rPr>
          <w:b/>
        </w:rPr>
      </w:pPr>
      <w:r w:rsidRPr="00400922">
        <w:rPr>
          <w:b/>
        </w:rPr>
        <w:t>Group B</w:t>
      </w:r>
    </w:p>
    <w:tbl>
      <w:tblPr>
        <w:tblW w:w="4376" w:type="pct"/>
        <w:tblInd w:w="30" w:type="dxa"/>
        <w:tblCellMar>
          <w:left w:w="0" w:type="dxa"/>
          <w:right w:w="0" w:type="dxa"/>
        </w:tblCellMar>
        <w:tblLook w:val="04A0" w:firstRow="1" w:lastRow="0" w:firstColumn="1" w:lastColumn="0" w:noHBand="0" w:noVBand="1"/>
      </w:tblPr>
      <w:tblGrid>
        <w:gridCol w:w="1912"/>
        <w:gridCol w:w="5982"/>
      </w:tblGrid>
      <w:tr w:rsidR="00267F39" w:rsidRPr="00400922" w14:paraId="63337F22" w14:textId="77777777" w:rsidTr="00267F39">
        <w:tc>
          <w:tcPr>
            <w:tcW w:w="1211" w:type="pct"/>
            <w:shd w:val="clear" w:color="auto" w:fill="FFFFFF"/>
            <w:tcMar>
              <w:top w:w="30" w:type="dxa"/>
              <w:left w:w="30" w:type="dxa"/>
              <w:bottom w:w="30" w:type="dxa"/>
              <w:right w:w="30" w:type="dxa"/>
            </w:tcMar>
          </w:tcPr>
          <w:p w14:paraId="46BCDF78" w14:textId="3F837D55" w:rsidR="00A82CC4" w:rsidRPr="00400922" w:rsidRDefault="00621C59" w:rsidP="00A82CC4">
            <w:pPr>
              <w:spacing w:before="0" w:after="0" w:line="240" w:lineRule="auto"/>
              <w:rPr>
                <w:lang w:val="en-AU"/>
              </w:rPr>
            </w:pPr>
            <w:r w:rsidRPr="00400922">
              <w:rPr>
                <w:lang w:val="en-AU"/>
              </w:rPr>
              <w:t>CPCCLRG3001</w:t>
            </w:r>
            <w:r w:rsidR="004F1C74">
              <w:rPr>
                <w:lang w:val="en-AU"/>
              </w:rPr>
              <w:t>*</w:t>
            </w:r>
          </w:p>
        </w:tc>
        <w:tc>
          <w:tcPr>
            <w:tcW w:w="3789" w:type="pct"/>
            <w:shd w:val="clear" w:color="auto" w:fill="FFFFFF"/>
            <w:tcMar>
              <w:top w:w="30" w:type="dxa"/>
              <w:left w:w="30" w:type="dxa"/>
              <w:bottom w:w="30" w:type="dxa"/>
              <w:right w:w="30" w:type="dxa"/>
            </w:tcMar>
          </w:tcPr>
          <w:p w14:paraId="56D5CD58" w14:textId="77777777" w:rsidR="00A82CC4" w:rsidRPr="00400922" w:rsidRDefault="00A82CC4" w:rsidP="00267F39">
            <w:pPr>
              <w:spacing w:before="0" w:after="0" w:line="240" w:lineRule="auto"/>
              <w:rPr>
                <w:rFonts w:ascii="Calibri" w:eastAsia="Times New Roman" w:hAnsi="Calibri" w:cs="Times New Roman"/>
                <w:szCs w:val="24"/>
                <w:lang w:val="en-AU"/>
              </w:rPr>
            </w:pPr>
            <w:bookmarkStart w:id="5" w:name="_Hlk516826022"/>
            <w:r w:rsidRPr="00400922">
              <w:rPr>
                <w:rFonts w:ascii="Calibri" w:eastAsia="Times New Roman" w:hAnsi="Calibri" w:cs="Times New Roman"/>
                <w:szCs w:val="24"/>
                <w:lang w:val="en-AU"/>
              </w:rPr>
              <w:t>Licence to perform rigging basic level</w:t>
            </w:r>
            <w:bookmarkEnd w:id="5"/>
          </w:p>
        </w:tc>
      </w:tr>
      <w:tr w:rsidR="00267F39" w:rsidRPr="00A82CC4" w14:paraId="676227B5" w14:textId="77777777" w:rsidTr="00267F39">
        <w:tc>
          <w:tcPr>
            <w:tcW w:w="1211" w:type="pct"/>
            <w:shd w:val="clear" w:color="auto" w:fill="FFFFFF"/>
            <w:tcMar>
              <w:top w:w="30" w:type="dxa"/>
              <w:left w:w="30" w:type="dxa"/>
              <w:bottom w:w="30" w:type="dxa"/>
              <w:right w:w="30" w:type="dxa"/>
            </w:tcMar>
          </w:tcPr>
          <w:p w14:paraId="49A13735" w14:textId="722D1F4F" w:rsidR="00A82CC4" w:rsidRPr="00400922" w:rsidRDefault="00621C59" w:rsidP="00A82CC4">
            <w:pPr>
              <w:spacing w:before="0" w:after="0" w:line="240" w:lineRule="auto"/>
              <w:rPr>
                <w:rFonts w:ascii="Calibri" w:eastAsia="Times New Roman" w:hAnsi="Calibri" w:cs="Times New Roman"/>
                <w:szCs w:val="24"/>
                <w:lang w:val="en-AU"/>
              </w:rPr>
            </w:pPr>
            <w:r w:rsidRPr="00400922">
              <w:rPr>
                <w:rFonts w:ascii="Calibri" w:eastAsia="Times New Roman" w:hAnsi="Calibri" w:cs="Times New Roman"/>
                <w:szCs w:val="24"/>
                <w:lang w:val="en-AU"/>
              </w:rPr>
              <w:t>CPCCLRG3002</w:t>
            </w:r>
            <w:r w:rsidR="004F1C74">
              <w:rPr>
                <w:rFonts w:ascii="Calibri" w:eastAsia="Times New Roman" w:hAnsi="Calibri" w:cs="Times New Roman"/>
                <w:szCs w:val="24"/>
                <w:lang w:val="en-AU"/>
              </w:rPr>
              <w:t>*</w:t>
            </w:r>
          </w:p>
        </w:tc>
        <w:tc>
          <w:tcPr>
            <w:tcW w:w="3789" w:type="pct"/>
            <w:shd w:val="clear" w:color="auto" w:fill="FFFFFF"/>
            <w:tcMar>
              <w:top w:w="30" w:type="dxa"/>
              <w:left w:w="30" w:type="dxa"/>
              <w:bottom w:w="30" w:type="dxa"/>
              <w:right w:w="30" w:type="dxa"/>
            </w:tcMar>
          </w:tcPr>
          <w:p w14:paraId="48CFCFC2" w14:textId="47024A30" w:rsidR="00A82CC4" w:rsidRPr="00400922" w:rsidRDefault="00A82CC4" w:rsidP="00267F39">
            <w:pPr>
              <w:spacing w:before="0" w:after="0" w:line="240" w:lineRule="auto"/>
              <w:rPr>
                <w:rFonts w:ascii="Calibri" w:eastAsia="Times New Roman" w:hAnsi="Calibri" w:cs="Times New Roman"/>
                <w:szCs w:val="24"/>
                <w:lang w:val="en-AU"/>
              </w:rPr>
            </w:pPr>
            <w:bookmarkStart w:id="6" w:name="_Hlk516826057"/>
            <w:r w:rsidRPr="00400922">
              <w:rPr>
                <w:rFonts w:ascii="Calibri" w:eastAsia="Times New Roman" w:hAnsi="Calibri" w:cs="Times New Roman"/>
                <w:szCs w:val="24"/>
                <w:lang w:val="en-AU"/>
              </w:rPr>
              <w:t>Licence to perform rigging intermediate level</w:t>
            </w:r>
            <w:bookmarkEnd w:id="6"/>
          </w:p>
        </w:tc>
      </w:tr>
      <w:tr w:rsidR="00267F39" w:rsidRPr="00A82CC4" w14:paraId="10B536E5" w14:textId="77777777" w:rsidTr="00267F39">
        <w:tc>
          <w:tcPr>
            <w:tcW w:w="1211" w:type="pct"/>
            <w:shd w:val="clear" w:color="auto" w:fill="FFFFFF"/>
            <w:tcMar>
              <w:top w:w="30" w:type="dxa"/>
              <w:left w:w="30" w:type="dxa"/>
              <w:bottom w:w="30" w:type="dxa"/>
              <w:right w:w="30" w:type="dxa"/>
            </w:tcMar>
          </w:tcPr>
          <w:p w14:paraId="3B9A299D" w14:textId="475897E4" w:rsidR="00A82CC4" w:rsidRPr="00A82CC4" w:rsidRDefault="00A82CC4" w:rsidP="00A82CC4">
            <w:pPr>
              <w:spacing w:before="0" w:after="0" w:line="240" w:lineRule="auto"/>
              <w:rPr>
                <w:rFonts w:ascii="Calibri" w:eastAsia="Times New Roman" w:hAnsi="Calibri" w:cs="Times New Roman"/>
                <w:szCs w:val="24"/>
                <w:lang w:val="en-AU"/>
              </w:rPr>
            </w:pPr>
            <w:r w:rsidRPr="00296E12">
              <w:rPr>
                <w:rFonts w:ascii="Calibri" w:eastAsia="Times New Roman" w:hAnsi="Calibri" w:cs="Times New Roman"/>
                <w:szCs w:val="24"/>
                <w:lang w:val="en-AU"/>
              </w:rPr>
              <w:t>TLILIC</w:t>
            </w:r>
            <w:r w:rsidR="004F1C74" w:rsidRPr="00296E12">
              <w:rPr>
                <w:rFonts w:ascii="Calibri" w:eastAsia="Times New Roman" w:hAnsi="Calibri" w:cs="Times New Roman"/>
                <w:szCs w:val="24"/>
                <w:lang w:val="en-AU"/>
              </w:rPr>
              <w:t>0</w:t>
            </w:r>
            <w:r w:rsidRPr="00296E12">
              <w:rPr>
                <w:rFonts w:ascii="Calibri" w:eastAsia="Times New Roman" w:hAnsi="Calibri" w:cs="Times New Roman"/>
                <w:szCs w:val="24"/>
                <w:lang w:val="en-AU"/>
              </w:rPr>
              <w:t>005</w:t>
            </w:r>
          </w:p>
        </w:tc>
        <w:tc>
          <w:tcPr>
            <w:tcW w:w="3789" w:type="pct"/>
            <w:shd w:val="clear" w:color="auto" w:fill="FFFFFF"/>
            <w:tcMar>
              <w:top w:w="30" w:type="dxa"/>
              <w:left w:w="30" w:type="dxa"/>
              <w:bottom w:w="30" w:type="dxa"/>
              <w:right w:w="30" w:type="dxa"/>
            </w:tcMar>
          </w:tcPr>
          <w:p w14:paraId="243B443A" w14:textId="77777777" w:rsidR="00A82CC4" w:rsidRPr="00A82CC4" w:rsidRDefault="00A82CC4" w:rsidP="00267F39">
            <w:pPr>
              <w:spacing w:before="0" w:after="0" w:line="240" w:lineRule="auto"/>
              <w:rPr>
                <w:rFonts w:ascii="Calibri" w:eastAsia="Times New Roman" w:hAnsi="Calibri" w:cs="Times New Roman"/>
                <w:szCs w:val="24"/>
                <w:lang w:val="en-AU"/>
              </w:rPr>
            </w:pPr>
            <w:bookmarkStart w:id="7" w:name="_Hlk516826033"/>
            <w:r w:rsidRPr="00A82CC4">
              <w:rPr>
                <w:rFonts w:ascii="Calibri" w:eastAsia="Times New Roman" w:hAnsi="Calibri" w:cs="Times New Roman"/>
                <w:szCs w:val="24"/>
                <w:lang w:val="en-AU"/>
              </w:rPr>
              <w:t>Licence to operate a boom-type elevated work platform (boom length 11 metres or more)</w:t>
            </w:r>
            <w:bookmarkEnd w:id="7"/>
          </w:p>
        </w:tc>
      </w:tr>
      <w:tr w:rsidR="00267F39" w:rsidRPr="00A82CC4" w14:paraId="2802F875" w14:textId="77777777" w:rsidTr="00267F39">
        <w:tc>
          <w:tcPr>
            <w:tcW w:w="1211" w:type="pct"/>
            <w:shd w:val="clear" w:color="auto" w:fill="FFFFFF"/>
            <w:tcMar>
              <w:top w:w="30" w:type="dxa"/>
              <w:left w:w="30" w:type="dxa"/>
              <w:bottom w:w="30" w:type="dxa"/>
              <w:right w:w="30" w:type="dxa"/>
            </w:tcMar>
          </w:tcPr>
          <w:p w14:paraId="1307B028" w14:textId="5731F305" w:rsidR="00A82CC4" w:rsidRPr="00A82CC4" w:rsidRDefault="00A82CC4" w:rsidP="00A82CC4">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TLIF3084</w:t>
            </w:r>
          </w:p>
        </w:tc>
        <w:tc>
          <w:tcPr>
            <w:tcW w:w="3789" w:type="pct"/>
            <w:shd w:val="clear" w:color="auto" w:fill="FFFFFF"/>
            <w:tcMar>
              <w:top w:w="30" w:type="dxa"/>
              <w:left w:w="30" w:type="dxa"/>
              <w:bottom w:w="30" w:type="dxa"/>
              <w:right w:w="30" w:type="dxa"/>
            </w:tcMar>
          </w:tcPr>
          <w:p w14:paraId="28FDB484" w14:textId="6EBA4401" w:rsidR="00A82CC4" w:rsidRPr="00A82CC4" w:rsidRDefault="00A82CC4" w:rsidP="00267F39">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Follow mobile crane safety procedures</w:t>
            </w:r>
          </w:p>
        </w:tc>
      </w:tr>
      <w:tr w:rsidR="00267F39" w:rsidRPr="00A82CC4" w14:paraId="7A042C78" w14:textId="77777777" w:rsidTr="00267F39">
        <w:tc>
          <w:tcPr>
            <w:tcW w:w="1211" w:type="pct"/>
            <w:shd w:val="clear" w:color="auto" w:fill="FFFFFF"/>
            <w:tcMar>
              <w:top w:w="30" w:type="dxa"/>
              <w:left w:w="30" w:type="dxa"/>
              <w:bottom w:w="30" w:type="dxa"/>
              <w:right w:w="30" w:type="dxa"/>
            </w:tcMar>
          </w:tcPr>
          <w:p w14:paraId="15026571" w14:textId="77777777" w:rsidR="00A82CC4" w:rsidRPr="00A82CC4" w:rsidRDefault="00A82CC4" w:rsidP="00A82CC4">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TLIB3011</w:t>
            </w:r>
          </w:p>
        </w:tc>
        <w:tc>
          <w:tcPr>
            <w:tcW w:w="3789" w:type="pct"/>
            <w:shd w:val="clear" w:color="auto" w:fill="FFFFFF"/>
            <w:tcMar>
              <w:top w:w="30" w:type="dxa"/>
              <w:left w:w="30" w:type="dxa"/>
              <w:bottom w:w="30" w:type="dxa"/>
              <w:right w:w="30" w:type="dxa"/>
            </w:tcMar>
          </w:tcPr>
          <w:p w14:paraId="17FA57BA" w14:textId="61FDCE1B" w:rsidR="00A82CC4" w:rsidRPr="00A82CC4" w:rsidRDefault="00A82CC4" w:rsidP="00267F39">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Set up and rig crane for lift</w:t>
            </w:r>
          </w:p>
        </w:tc>
      </w:tr>
      <w:tr w:rsidR="00267F39" w:rsidRPr="00A82CC4" w14:paraId="3ADFCD73" w14:textId="77777777" w:rsidTr="00267F39">
        <w:tc>
          <w:tcPr>
            <w:tcW w:w="1211" w:type="pct"/>
            <w:shd w:val="clear" w:color="auto" w:fill="FFFFFF"/>
            <w:tcMar>
              <w:top w:w="30" w:type="dxa"/>
              <w:left w:w="30" w:type="dxa"/>
              <w:bottom w:w="30" w:type="dxa"/>
              <w:right w:w="30" w:type="dxa"/>
            </w:tcMar>
          </w:tcPr>
          <w:p w14:paraId="0D2AF6C0" w14:textId="77777777" w:rsidR="00A82CC4" w:rsidRPr="00A82CC4" w:rsidRDefault="00A82CC4" w:rsidP="00A82CC4">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TLIB3013</w:t>
            </w:r>
          </w:p>
        </w:tc>
        <w:tc>
          <w:tcPr>
            <w:tcW w:w="3789" w:type="pct"/>
            <w:shd w:val="clear" w:color="auto" w:fill="FFFFFF"/>
            <w:tcMar>
              <w:top w:w="30" w:type="dxa"/>
              <w:left w:w="30" w:type="dxa"/>
              <w:bottom w:w="30" w:type="dxa"/>
              <w:right w:w="30" w:type="dxa"/>
            </w:tcMar>
          </w:tcPr>
          <w:p w14:paraId="4448E0AB" w14:textId="04B0A38A" w:rsidR="00A82CC4" w:rsidRPr="00A82CC4" w:rsidRDefault="00A82CC4" w:rsidP="00267F39">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Maintain mobile cranes</w:t>
            </w:r>
          </w:p>
        </w:tc>
      </w:tr>
      <w:tr w:rsidR="00267F39" w:rsidRPr="00A82CC4" w14:paraId="65CE5B8A" w14:textId="77777777" w:rsidTr="00267F39">
        <w:tc>
          <w:tcPr>
            <w:tcW w:w="1211" w:type="pct"/>
            <w:shd w:val="clear" w:color="auto" w:fill="FFFFFF"/>
            <w:tcMar>
              <w:top w:w="30" w:type="dxa"/>
              <w:left w:w="30" w:type="dxa"/>
              <w:bottom w:w="30" w:type="dxa"/>
              <w:right w:w="30" w:type="dxa"/>
            </w:tcMar>
          </w:tcPr>
          <w:p w14:paraId="36D979A3" w14:textId="0DCB2FE5" w:rsidR="00A82CC4" w:rsidRPr="00A82CC4" w:rsidRDefault="00A82CC4" w:rsidP="00A82CC4">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TLILIC2016</w:t>
            </w:r>
            <w:r>
              <w:rPr>
                <w:rFonts w:ascii="Calibri" w:eastAsia="Times New Roman" w:hAnsi="Calibri" w:cs="Times New Roman"/>
                <w:szCs w:val="24"/>
                <w:lang w:val="en-AU"/>
              </w:rPr>
              <w:t>*</w:t>
            </w:r>
          </w:p>
        </w:tc>
        <w:tc>
          <w:tcPr>
            <w:tcW w:w="3789" w:type="pct"/>
            <w:shd w:val="clear" w:color="auto" w:fill="FFFFFF"/>
            <w:tcMar>
              <w:top w:w="30" w:type="dxa"/>
              <w:left w:w="30" w:type="dxa"/>
              <w:bottom w:w="30" w:type="dxa"/>
              <w:right w:w="30" w:type="dxa"/>
            </w:tcMar>
          </w:tcPr>
          <w:p w14:paraId="501C3948" w14:textId="3A1E7C9C" w:rsidR="00A82CC4" w:rsidRPr="00A82CC4" w:rsidRDefault="00A82CC4" w:rsidP="00267F39">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Licence to drive heavy rigid vehicle</w:t>
            </w:r>
          </w:p>
        </w:tc>
      </w:tr>
      <w:tr w:rsidR="00267F39" w:rsidRPr="00A82CC4" w14:paraId="470BD779" w14:textId="77777777" w:rsidTr="00267F39">
        <w:tc>
          <w:tcPr>
            <w:tcW w:w="1211" w:type="pct"/>
            <w:shd w:val="clear" w:color="auto" w:fill="FFFFFF"/>
            <w:tcMar>
              <w:top w:w="30" w:type="dxa"/>
              <w:left w:w="30" w:type="dxa"/>
              <w:bottom w:w="30" w:type="dxa"/>
              <w:right w:w="30" w:type="dxa"/>
            </w:tcMar>
          </w:tcPr>
          <w:p w14:paraId="389ABBEA" w14:textId="77777777" w:rsidR="00A82CC4" w:rsidRPr="00A82CC4" w:rsidRDefault="00A82CC4" w:rsidP="00A82CC4">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TLILIC0003</w:t>
            </w:r>
          </w:p>
        </w:tc>
        <w:tc>
          <w:tcPr>
            <w:tcW w:w="3789" w:type="pct"/>
            <w:shd w:val="clear" w:color="auto" w:fill="FFFFFF"/>
            <w:tcMar>
              <w:top w:w="30" w:type="dxa"/>
              <w:left w:w="30" w:type="dxa"/>
              <w:bottom w:w="30" w:type="dxa"/>
              <w:right w:w="30" w:type="dxa"/>
            </w:tcMar>
          </w:tcPr>
          <w:p w14:paraId="2327C060" w14:textId="3BB41F32" w:rsidR="00A82CC4" w:rsidRPr="00A82CC4" w:rsidRDefault="00A82CC4" w:rsidP="00267F39">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Licence to operate a fork-lift truck</w:t>
            </w:r>
          </w:p>
        </w:tc>
      </w:tr>
      <w:tr w:rsidR="00267F39" w:rsidRPr="00A82CC4" w14:paraId="0E856E67" w14:textId="77777777" w:rsidTr="00267F39">
        <w:tc>
          <w:tcPr>
            <w:tcW w:w="1211" w:type="pct"/>
            <w:shd w:val="clear" w:color="auto" w:fill="FFFFFF"/>
            <w:tcMar>
              <w:top w:w="30" w:type="dxa"/>
              <w:left w:w="30" w:type="dxa"/>
              <w:bottom w:w="30" w:type="dxa"/>
              <w:right w:w="30" w:type="dxa"/>
            </w:tcMar>
          </w:tcPr>
          <w:p w14:paraId="2C562A6E" w14:textId="566A6FAD" w:rsidR="00A82CC4" w:rsidRPr="00400922" w:rsidRDefault="00621C59" w:rsidP="00A82CC4">
            <w:pPr>
              <w:spacing w:before="0" w:after="0" w:line="240" w:lineRule="auto"/>
              <w:rPr>
                <w:rFonts w:ascii="Calibri" w:eastAsia="Times New Roman" w:hAnsi="Calibri" w:cs="Times New Roman"/>
                <w:szCs w:val="24"/>
                <w:lang w:val="en-AU"/>
              </w:rPr>
            </w:pPr>
            <w:r w:rsidRPr="00400922">
              <w:rPr>
                <w:rFonts w:ascii="Calibri" w:eastAsia="Times New Roman" w:hAnsi="Calibri" w:cs="Times New Roman"/>
                <w:szCs w:val="24"/>
                <w:lang w:val="en-AU"/>
              </w:rPr>
              <w:lastRenderedPageBreak/>
              <w:t>CPCCLHS3001</w:t>
            </w:r>
          </w:p>
        </w:tc>
        <w:tc>
          <w:tcPr>
            <w:tcW w:w="3789" w:type="pct"/>
            <w:shd w:val="clear" w:color="auto" w:fill="FFFFFF"/>
            <w:tcMar>
              <w:top w:w="30" w:type="dxa"/>
              <w:left w:w="30" w:type="dxa"/>
              <w:bottom w:w="30" w:type="dxa"/>
              <w:right w:w="30" w:type="dxa"/>
            </w:tcMar>
          </w:tcPr>
          <w:p w14:paraId="00A67FE7" w14:textId="48409E1E" w:rsidR="00312492" w:rsidRPr="00400922" w:rsidRDefault="00A82CC4" w:rsidP="00267F39">
            <w:pPr>
              <w:spacing w:before="0" w:after="0" w:line="240" w:lineRule="auto"/>
              <w:rPr>
                <w:rFonts w:ascii="Calibri" w:eastAsia="Times New Roman" w:hAnsi="Calibri" w:cs="Times New Roman"/>
                <w:szCs w:val="24"/>
                <w:lang w:val="en-AU"/>
              </w:rPr>
            </w:pPr>
            <w:r w:rsidRPr="00400922">
              <w:rPr>
                <w:rFonts w:ascii="Calibri" w:eastAsia="Times New Roman" w:hAnsi="Calibri" w:cs="Times New Roman"/>
                <w:szCs w:val="24"/>
                <w:lang w:val="en-AU"/>
              </w:rPr>
              <w:t>Licence to operate a personal and materials hoist</w:t>
            </w:r>
          </w:p>
        </w:tc>
      </w:tr>
      <w:tr w:rsidR="00267F39" w:rsidRPr="00A82CC4" w14:paraId="0159E242" w14:textId="77777777" w:rsidTr="00267F39">
        <w:tc>
          <w:tcPr>
            <w:tcW w:w="1211" w:type="pct"/>
            <w:shd w:val="clear" w:color="auto" w:fill="FFFFFF"/>
            <w:tcMar>
              <w:top w:w="30" w:type="dxa"/>
              <w:left w:w="30" w:type="dxa"/>
              <w:bottom w:w="30" w:type="dxa"/>
              <w:right w:w="30" w:type="dxa"/>
            </w:tcMar>
          </w:tcPr>
          <w:p w14:paraId="2269E7B8" w14:textId="705DB618" w:rsidR="00D97FF4" w:rsidRPr="00400922" w:rsidRDefault="00D97FF4" w:rsidP="00D97FF4">
            <w:pPr>
              <w:spacing w:before="0" w:after="0" w:line="240" w:lineRule="auto"/>
              <w:rPr>
                <w:rFonts w:ascii="Calibri" w:eastAsia="Times New Roman" w:hAnsi="Calibri" w:cs="Times New Roman"/>
                <w:szCs w:val="24"/>
                <w:lang w:val="en-AU"/>
              </w:rPr>
            </w:pPr>
            <w:r w:rsidRPr="00400922">
              <w:rPr>
                <w:rFonts w:ascii="Calibri" w:eastAsia="Times New Roman" w:hAnsi="Calibri" w:cs="Times New Roman"/>
                <w:lang w:val="en-AU"/>
              </w:rPr>
              <w:t>CPCCDO3012</w:t>
            </w:r>
            <w:r w:rsidR="00601D34">
              <w:rPr>
                <w:rFonts w:ascii="Calibri" w:eastAsia="Times New Roman" w:hAnsi="Calibri" w:cs="Times New Roman"/>
                <w:lang w:val="en-AU"/>
              </w:rPr>
              <w:t>*</w:t>
            </w:r>
          </w:p>
        </w:tc>
        <w:tc>
          <w:tcPr>
            <w:tcW w:w="3789" w:type="pct"/>
            <w:shd w:val="clear" w:color="auto" w:fill="FFFFFF"/>
            <w:tcMar>
              <w:top w:w="30" w:type="dxa"/>
              <w:left w:w="30" w:type="dxa"/>
              <w:bottom w:w="30" w:type="dxa"/>
              <w:right w:w="30" w:type="dxa"/>
            </w:tcMar>
          </w:tcPr>
          <w:p w14:paraId="53EB34EA" w14:textId="2A4C32AB" w:rsidR="00D97FF4" w:rsidRPr="00400922" w:rsidRDefault="00D97FF4" w:rsidP="00267F39">
            <w:pPr>
              <w:spacing w:before="0" w:after="0" w:line="240" w:lineRule="auto"/>
              <w:rPr>
                <w:rFonts w:ascii="Calibri" w:eastAsia="Times New Roman" w:hAnsi="Calibri" w:cs="Times New Roman"/>
                <w:szCs w:val="24"/>
                <w:lang w:val="en-AU"/>
              </w:rPr>
            </w:pPr>
            <w:r w:rsidRPr="00400922">
              <w:rPr>
                <w:rFonts w:ascii="Calibri" w:eastAsia="Times New Roman" w:hAnsi="Calibri" w:cs="Times New Roman"/>
                <w:lang w:val="en-AU"/>
              </w:rPr>
              <w:t>Perform crane scheduling</w:t>
            </w:r>
          </w:p>
        </w:tc>
      </w:tr>
      <w:tr w:rsidR="00267F39" w:rsidRPr="00A82CC4" w14:paraId="7FEE6EEE" w14:textId="77777777" w:rsidTr="00267F39">
        <w:tc>
          <w:tcPr>
            <w:tcW w:w="1211" w:type="pct"/>
            <w:shd w:val="clear" w:color="auto" w:fill="FFFFFF"/>
            <w:tcMar>
              <w:top w:w="30" w:type="dxa"/>
              <w:left w:w="30" w:type="dxa"/>
              <w:bottom w:w="30" w:type="dxa"/>
              <w:right w:w="30" w:type="dxa"/>
            </w:tcMar>
          </w:tcPr>
          <w:p w14:paraId="6A0A2FA9" w14:textId="22FB0A85" w:rsidR="00D97FF4" w:rsidRPr="00400922" w:rsidRDefault="00D97FF4" w:rsidP="00D97FF4">
            <w:pPr>
              <w:spacing w:before="0" w:after="0" w:line="240" w:lineRule="auto"/>
              <w:rPr>
                <w:rFonts w:ascii="Calibri" w:eastAsia="Times New Roman" w:hAnsi="Calibri" w:cs="Times New Roman"/>
                <w:lang w:val="en-AU"/>
              </w:rPr>
            </w:pPr>
            <w:r w:rsidRPr="00D97FF4">
              <w:rPr>
                <w:rFonts w:ascii="Calibri" w:eastAsia="Times New Roman" w:hAnsi="Calibri" w:cs="Times New Roman"/>
                <w:lang w:val="en-AU"/>
              </w:rPr>
              <w:t>HLTAID003</w:t>
            </w:r>
          </w:p>
        </w:tc>
        <w:tc>
          <w:tcPr>
            <w:tcW w:w="3789" w:type="pct"/>
            <w:shd w:val="clear" w:color="auto" w:fill="FFFFFF"/>
            <w:tcMar>
              <w:top w:w="30" w:type="dxa"/>
              <w:left w:w="30" w:type="dxa"/>
              <w:bottom w:w="30" w:type="dxa"/>
              <w:right w:w="30" w:type="dxa"/>
            </w:tcMar>
          </w:tcPr>
          <w:p w14:paraId="23D365A0" w14:textId="281AB0BD" w:rsidR="00D97FF4" w:rsidRPr="00400922" w:rsidRDefault="00D97FF4" w:rsidP="00267F39">
            <w:pPr>
              <w:spacing w:before="0" w:after="0" w:line="240" w:lineRule="auto"/>
              <w:rPr>
                <w:rFonts w:ascii="Calibri" w:eastAsia="Times New Roman" w:hAnsi="Calibri" w:cs="Times New Roman"/>
                <w:lang w:val="en-AU"/>
              </w:rPr>
            </w:pPr>
            <w:r w:rsidRPr="00D97FF4">
              <w:rPr>
                <w:rFonts w:ascii="Calibri" w:eastAsia="Times New Roman" w:hAnsi="Calibri" w:cs="Times New Roman"/>
                <w:lang w:val="en-AU"/>
              </w:rPr>
              <w:t>Provide first aid</w:t>
            </w:r>
          </w:p>
        </w:tc>
      </w:tr>
    </w:tbl>
    <w:p w14:paraId="03F65641" w14:textId="77777777" w:rsidR="00E03E0E" w:rsidRDefault="00E03E0E" w:rsidP="00E03E0E">
      <w:pPr>
        <w:pStyle w:val="SIText-Bold"/>
        <w:rPr>
          <w:rFonts w:ascii="Helvetica" w:hAnsi="Helvetica"/>
          <w:szCs w:val="20"/>
        </w:rPr>
      </w:pPr>
      <w:bookmarkStart w:id="8" w:name="_GoBack"/>
      <w:bookmarkEnd w:id="3"/>
      <w:bookmarkEnd w:id="8"/>
    </w:p>
    <w:p w14:paraId="337095A9" w14:textId="77777777" w:rsidR="00DB3339" w:rsidRDefault="00DB3339" w:rsidP="00DB3339">
      <w:pPr>
        <w:pStyle w:val="SIText-Bold"/>
        <w:rPr>
          <w:rFonts w:ascii="Helvetica" w:hAnsi="Helvetica"/>
          <w:szCs w:val="20"/>
        </w:rPr>
      </w:pPr>
      <w:r w:rsidRPr="00DA0A54">
        <w:rPr>
          <w:rFonts w:ascii="Helvetica" w:hAnsi="Helvetica"/>
          <w:szCs w:val="20"/>
          <w:lang w:eastAsia="en-US"/>
        </w:rPr>
        <w:t>Pre-requisite</w:t>
      </w:r>
      <w:r w:rsidRPr="00DA0A54">
        <w:rPr>
          <w:rFonts w:ascii="Helvetica" w:hAnsi="Helvetica"/>
          <w:szCs w:val="20"/>
        </w:rPr>
        <w:t xml:space="preserve"> requirements</w:t>
      </w:r>
    </w:p>
    <w:p w14:paraId="012A4625" w14:textId="77777777" w:rsidR="00DB3339" w:rsidRPr="00DA0A54" w:rsidRDefault="00DB3339" w:rsidP="00DB3339">
      <w:pPr>
        <w:pStyle w:val="SIText-Bold"/>
        <w:rPr>
          <w:rFonts w:ascii="Helvetica" w:hAnsi="Helvetica"/>
          <w:b w:val="0"/>
          <w:szCs w:val="20"/>
        </w:rPr>
      </w:pPr>
    </w:p>
    <w:tbl>
      <w:tblPr>
        <w:tblW w:w="9345" w:type="dxa"/>
        <w:tblLook w:val="04A0" w:firstRow="1" w:lastRow="0" w:firstColumn="1" w:lastColumn="0" w:noHBand="0" w:noVBand="1"/>
      </w:tblPr>
      <w:tblGrid>
        <w:gridCol w:w="4248"/>
        <w:gridCol w:w="5097"/>
      </w:tblGrid>
      <w:tr w:rsidR="00DB3339" w:rsidRPr="00DA0A54" w14:paraId="5061D856" w14:textId="77777777" w:rsidTr="00227D08">
        <w:trPr>
          <w:trHeight w:val="415"/>
          <w:tblHeader/>
        </w:trPr>
        <w:tc>
          <w:tcPr>
            <w:tcW w:w="4248" w:type="dxa"/>
            <w:tcBorders>
              <w:top w:val="single" w:sz="4" w:space="0" w:color="auto"/>
              <w:left w:val="single" w:sz="4" w:space="0" w:color="auto"/>
              <w:bottom w:val="single" w:sz="4" w:space="0" w:color="auto"/>
              <w:right w:val="single" w:sz="4" w:space="0" w:color="auto"/>
            </w:tcBorders>
            <w:hideMark/>
          </w:tcPr>
          <w:p w14:paraId="4DD1B36F" w14:textId="77777777" w:rsidR="00DB3339" w:rsidRPr="009B5167" w:rsidRDefault="00DB3339" w:rsidP="00227D08">
            <w:pPr>
              <w:rPr>
                <w:b/>
              </w:rPr>
            </w:pPr>
            <w:r w:rsidRPr="009B5167">
              <w:rPr>
                <w:b/>
              </w:rPr>
              <w:t>Unit of competency</w:t>
            </w:r>
          </w:p>
        </w:tc>
        <w:tc>
          <w:tcPr>
            <w:tcW w:w="5097" w:type="dxa"/>
            <w:tcBorders>
              <w:top w:val="single" w:sz="4" w:space="0" w:color="auto"/>
              <w:left w:val="single" w:sz="4" w:space="0" w:color="auto"/>
              <w:bottom w:val="single" w:sz="4" w:space="0" w:color="auto"/>
              <w:right w:val="single" w:sz="4" w:space="0" w:color="auto"/>
            </w:tcBorders>
            <w:hideMark/>
          </w:tcPr>
          <w:p w14:paraId="00DD99CC" w14:textId="77777777" w:rsidR="00DB3339" w:rsidRPr="009B5167" w:rsidRDefault="00DB3339" w:rsidP="00227D08">
            <w:pPr>
              <w:rPr>
                <w:b/>
              </w:rPr>
            </w:pPr>
            <w:r w:rsidRPr="009B5167">
              <w:rPr>
                <w:b/>
              </w:rPr>
              <w:t>Pre-requisite requirement</w:t>
            </w:r>
          </w:p>
        </w:tc>
      </w:tr>
      <w:tr w:rsidR="00DB3339" w:rsidRPr="00DA0A54" w14:paraId="2B4416A9" w14:textId="77777777" w:rsidTr="00227D08">
        <w:trPr>
          <w:trHeight w:val="636"/>
        </w:trPr>
        <w:tc>
          <w:tcPr>
            <w:tcW w:w="4248" w:type="dxa"/>
            <w:tcBorders>
              <w:top w:val="single" w:sz="4" w:space="0" w:color="auto"/>
              <w:left w:val="single" w:sz="4" w:space="0" w:color="auto"/>
              <w:bottom w:val="single" w:sz="4" w:space="0" w:color="auto"/>
              <w:right w:val="single" w:sz="4" w:space="0" w:color="auto"/>
            </w:tcBorders>
          </w:tcPr>
          <w:p w14:paraId="54B5420B" w14:textId="7105B66F" w:rsidR="00DB3339" w:rsidRPr="00DA0A54" w:rsidRDefault="00DB3339" w:rsidP="00227D08">
            <w:r w:rsidRPr="00CA1D76">
              <w:rPr>
                <w:rFonts w:ascii="Calibri" w:eastAsia="Times New Roman" w:hAnsi="Calibri" w:cs="Times New Roman"/>
                <w:lang w:val="en-AU"/>
              </w:rPr>
              <w:t>CPCCCM2004</w:t>
            </w:r>
            <w:r>
              <w:rPr>
                <w:rFonts w:ascii="Calibri" w:eastAsia="Times New Roman" w:hAnsi="Calibri" w:cs="Times New Roman"/>
                <w:lang w:val="en-AU"/>
              </w:rPr>
              <w:t>*</w:t>
            </w:r>
            <w:r>
              <w:rPr>
                <w:rFonts w:ascii="Calibri" w:eastAsia="Times New Roman" w:hAnsi="Calibri" w:cs="Times New Roman"/>
                <w:lang w:val="en-AU"/>
              </w:rPr>
              <w:t xml:space="preserve"> </w:t>
            </w:r>
            <w:r w:rsidRPr="00CA1D76">
              <w:rPr>
                <w:rFonts w:ascii="Calibri" w:eastAsia="Times New Roman" w:hAnsi="Calibri" w:cs="Times New Roman"/>
                <w:lang w:val="en-AU"/>
              </w:rPr>
              <w:t>Handle construction materials</w:t>
            </w:r>
          </w:p>
        </w:tc>
        <w:tc>
          <w:tcPr>
            <w:tcW w:w="5097" w:type="dxa"/>
            <w:tcBorders>
              <w:top w:val="single" w:sz="4" w:space="0" w:color="auto"/>
              <w:left w:val="single" w:sz="4" w:space="0" w:color="auto"/>
              <w:bottom w:val="single" w:sz="4" w:space="0" w:color="auto"/>
              <w:right w:val="single" w:sz="4" w:space="0" w:color="auto"/>
            </w:tcBorders>
          </w:tcPr>
          <w:p w14:paraId="48B38D64" w14:textId="6A92902D" w:rsidR="00DB3339" w:rsidRPr="00644C15" w:rsidRDefault="00DB3339" w:rsidP="00DB3339">
            <w:pPr>
              <w:spacing w:after="160"/>
            </w:pPr>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DB3339" w:rsidRPr="00DA0A54" w14:paraId="289B73CB" w14:textId="77777777" w:rsidTr="00227D08">
        <w:trPr>
          <w:trHeight w:val="636"/>
        </w:trPr>
        <w:tc>
          <w:tcPr>
            <w:tcW w:w="4248" w:type="dxa"/>
            <w:tcBorders>
              <w:top w:val="single" w:sz="4" w:space="0" w:color="auto"/>
              <w:left w:val="single" w:sz="4" w:space="0" w:color="auto"/>
              <w:bottom w:val="single" w:sz="4" w:space="0" w:color="auto"/>
              <w:right w:val="single" w:sz="4" w:space="0" w:color="auto"/>
            </w:tcBorders>
          </w:tcPr>
          <w:p w14:paraId="6E26295C" w14:textId="01B598D2" w:rsidR="00DB3339" w:rsidRPr="00DA0A54" w:rsidRDefault="00DB3339" w:rsidP="00227D08">
            <w:r w:rsidRPr="00400922">
              <w:rPr>
                <w:lang w:val="en-AU"/>
              </w:rPr>
              <w:t>CPCCLRG3001</w:t>
            </w:r>
            <w:r>
              <w:rPr>
                <w:lang w:val="en-AU"/>
              </w:rPr>
              <w:t xml:space="preserve">** </w:t>
            </w:r>
            <w:r w:rsidRPr="00400922">
              <w:rPr>
                <w:rFonts w:ascii="Calibri" w:eastAsia="Times New Roman" w:hAnsi="Calibri" w:cs="Times New Roman"/>
                <w:szCs w:val="24"/>
                <w:lang w:val="en-AU"/>
              </w:rPr>
              <w:t>Licence to perform rigging basic level</w:t>
            </w:r>
          </w:p>
        </w:tc>
        <w:tc>
          <w:tcPr>
            <w:tcW w:w="5097" w:type="dxa"/>
            <w:tcBorders>
              <w:top w:val="single" w:sz="4" w:space="0" w:color="auto"/>
              <w:left w:val="single" w:sz="4" w:space="0" w:color="auto"/>
              <w:bottom w:val="single" w:sz="4" w:space="0" w:color="auto"/>
              <w:right w:val="single" w:sz="4" w:space="0" w:color="auto"/>
            </w:tcBorders>
          </w:tcPr>
          <w:p w14:paraId="490D91B4" w14:textId="2AE4FA50" w:rsidR="00DB3339" w:rsidRPr="00C91B99" w:rsidRDefault="00EC317E" w:rsidP="00EC317E">
            <w:r w:rsidRPr="007E6119">
              <w:t>CPCCLDG3001 Licence to perform dogging</w:t>
            </w:r>
          </w:p>
        </w:tc>
      </w:tr>
      <w:tr w:rsidR="00DB3339" w:rsidRPr="00DA0A54" w14:paraId="6E89D32A" w14:textId="77777777" w:rsidTr="00227D08">
        <w:trPr>
          <w:trHeight w:val="215"/>
        </w:trPr>
        <w:tc>
          <w:tcPr>
            <w:tcW w:w="4248" w:type="dxa"/>
            <w:tcBorders>
              <w:top w:val="single" w:sz="4" w:space="0" w:color="auto"/>
              <w:left w:val="single" w:sz="4" w:space="0" w:color="auto"/>
              <w:bottom w:val="single" w:sz="4" w:space="0" w:color="auto"/>
              <w:right w:val="single" w:sz="4" w:space="0" w:color="auto"/>
            </w:tcBorders>
          </w:tcPr>
          <w:p w14:paraId="6EB5FE92" w14:textId="2AE699A4" w:rsidR="00DB3339" w:rsidRPr="00DA0A54" w:rsidRDefault="00DB3339" w:rsidP="00DB3339">
            <w:r w:rsidRPr="00400922">
              <w:rPr>
                <w:rFonts w:ascii="Calibri" w:eastAsia="Times New Roman" w:hAnsi="Calibri" w:cs="Times New Roman"/>
                <w:szCs w:val="24"/>
                <w:lang w:val="en-AU"/>
              </w:rPr>
              <w:t>CPCCLRG3002</w:t>
            </w:r>
            <w:r>
              <w:rPr>
                <w:rFonts w:ascii="Calibri" w:eastAsia="Times New Roman" w:hAnsi="Calibri" w:cs="Times New Roman"/>
                <w:szCs w:val="24"/>
                <w:lang w:val="en-AU"/>
              </w:rPr>
              <w:t xml:space="preserve">*** </w:t>
            </w:r>
            <w:r w:rsidRPr="00400922">
              <w:rPr>
                <w:rFonts w:ascii="Calibri" w:eastAsia="Times New Roman" w:hAnsi="Calibri" w:cs="Times New Roman"/>
                <w:szCs w:val="24"/>
                <w:lang w:val="en-AU"/>
              </w:rPr>
              <w:t>Licence to perform rigging intermediate level</w:t>
            </w:r>
          </w:p>
        </w:tc>
        <w:tc>
          <w:tcPr>
            <w:tcW w:w="5097" w:type="dxa"/>
            <w:tcBorders>
              <w:top w:val="single" w:sz="4" w:space="0" w:color="auto"/>
              <w:left w:val="single" w:sz="4" w:space="0" w:color="auto"/>
              <w:bottom w:val="single" w:sz="4" w:space="0" w:color="auto"/>
              <w:right w:val="single" w:sz="4" w:space="0" w:color="auto"/>
            </w:tcBorders>
          </w:tcPr>
          <w:p w14:paraId="56F42059" w14:textId="72B28A32" w:rsidR="00DB3339" w:rsidRPr="00C91B99" w:rsidRDefault="00EC317E" w:rsidP="00DB3339">
            <w:r w:rsidRPr="00EA482F">
              <w:t>CPCCLRG3001</w:t>
            </w:r>
            <w:r w:rsidRPr="006C608A">
              <w:t xml:space="preserve"> </w:t>
            </w:r>
            <w:r w:rsidRPr="00EA482F">
              <w:t>Licence to perform rigging basic level</w:t>
            </w:r>
          </w:p>
        </w:tc>
      </w:tr>
      <w:tr w:rsidR="00DB3339" w:rsidRPr="00DA0A54" w14:paraId="72C77128" w14:textId="77777777" w:rsidTr="00227D08">
        <w:trPr>
          <w:trHeight w:val="636"/>
        </w:trPr>
        <w:tc>
          <w:tcPr>
            <w:tcW w:w="4248" w:type="dxa"/>
            <w:tcBorders>
              <w:top w:val="single" w:sz="4" w:space="0" w:color="auto"/>
              <w:left w:val="single" w:sz="4" w:space="0" w:color="auto"/>
              <w:bottom w:val="single" w:sz="4" w:space="0" w:color="auto"/>
              <w:right w:val="single" w:sz="4" w:space="0" w:color="auto"/>
            </w:tcBorders>
          </w:tcPr>
          <w:p w14:paraId="3876F47C" w14:textId="4A174DE2" w:rsidR="00DB3339" w:rsidRPr="00DA0A54" w:rsidRDefault="00DB3339" w:rsidP="00DB3339">
            <w:r w:rsidRPr="00A82CC4">
              <w:rPr>
                <w:rFonts w:ascii="Calibri" w:eastAsia="Times New Roman" w:hAnsi="Calibri" w:cs="Times New Roman"/>
                <w:szCs w:val="24"/>
                <w:lang w:val="en-AU"/>
              </w:rPr>
              <w:t>TLILIC2016</w:t>
            </w:r>
            <w:r>
              <w:rPr>
                <w:rFonts w:ascii="Calibri" w:eastAsia="Times New Roman" w:hAnsi="Calibri" w:cs="Times New Roman"/>
                <w:szCs w:val="24"/>
                <w:lang w:val="en-AU"/>
              </w:rPr>
              <w:t xml:space="preserve">**** </w:t>
            </w:r>
            <w:r w:rsidRPr="00A82CC4">
              <w:rPr>
                <w:rFonts w:ascii="Calibri" w:eastAsia="Times New Roman" w:hAnsi="Calibri" w:cs="Times New Roman"/>
                <w:szCs w:val="24"/>
                <w:lang w:val="en-AU"/>
              </w:rPr>
              <w:t>Licence to drive heavy rigid vehicle</w:t>
            </w:r>
          </w:p>
        </w:tc>
        <w:tc>
          <w:tcPr>
            <w:tcW w:w="5097" w:type="dxa"/>
            <w:tcBorders>
              <w:top w:val="single" w:sz="4" w:space="0" w:color="auto"/>
              <w:left w:val="single" w:sz="4" w:space="0" w:color="auto"/>
              <w:bottom w:val="single" w:sz="4" w:space="0" w:color="auto"/>
              <w:right w:val="single" w:sz="4" w:space="0" w:color="auto"/>
            </w:tcBorders>
          </w:tcPr>
          <w:p w14:paraId="51B6F450" w14:textId="365E8088" w:rsidR="00DB3339" w:rsidRPr="00914669" w:rsidRDefault="00EC317E" w:rsidP="00DB3339">
            <w:pPr>
              <w:rPr>
                <w:color w:val="000000" w:themeColor="text1"/>
              </w:rPr>
            </w:pPr>
            <w:r>
              <w:t>C</w:t>
            </w:r>
            <w:r>
              <w:t xml:space="preserve">andidates must have </w:t>
            </w:r>
            <w:r w:rsidRPr="00A82CC4">
              <w:t>h</w:t>
            </w:r>
            <w:r>
              <w:t>e</w:t>
            </w:r>
            <w:r w:rsidRPr="00A82CC4">
              <w:t xml:space="preserve">ld a Class C </w:t>
            </w:r>
            <w:proofErr w:type="gramStart"/>
            <w:r w:rsidRPr="00A82CC4">
              <w:t>drivers</w:t>
            </w:r>
            <w:proofErr w:type="gramEnd"/>
            <w:r w:rsidRPr="00A82CC4">
              <w:t xml:space="preserve"> licence for </w:t>
            </w:r>
            <w:r>
              <w:t>at</w:t>
            </w:r>
            <w:r w:rsidRPr="00A82CC4">
              <w:t xml:space="preserve"> least 2 years</w:t>
            </w:r>
          </w:p>
        </w:tc>
      </w:tr>
    </w:tbl>
    <w:p w14:paraId="1BF35C7D" w14:textId="03C350CA" w:rsidR="00CA1D76" w:rsidRPr="0058174C" w:rsidRDefault="00513859" w:rsidP="0058174C">
      <w:pPr>
        <w:pStyle w:val="Heading1"/>
      </w:pPr>
      <w:r w:rsidRPr="0058174C">
        <w:t>Qualification Mapping Information</w:t>
      </w:r>
    </w:p>
    <w:tbl>
      <w:tblPr>
        <w:tblStyle w:val="TableGrid"/>
        <w:tblW w:w="9039" w:type="dxa"/>
        <w:tblLook w:val="04A0" w:firstRow="1" w:lastRow="0" w:firstColumn="1" w:lastColumn="0" w:noHBand="0" w:noVBand="1"/>
      </w:tblPr>
      <w:tblGrid>
        <w:gridCol w:w="1668"/>
        <w:gridCol w:w="2835"/>
        <w:gridCol w:w="2835"/>
        <w:gridCol w:w="1701"/>
      </w:tblGrid>
      <w:tr w:rsidR="009F4A63" w:rsidRPr="00CA089E" w14:paraId="1800BF4C" w14:textId="77777777" w:rsidTr="00E06843">
        <w:tc>
          <w:tcPr>
            <w:tcW w:w="1668" w:type="dxa"/>
          </w:tcPr>
          <w:p w14:paraId="37B08D4B" w14:textId="55E92B2C" w:rsidR="009F4A63" w:rsidRPr="0036037C" w:rsidRDefault="009F4A63" w:rsidP="009F4A63">
            <w:pPr>
              <w:pStyle w:val="NoSpacing"/>
              <w:rPr>
                <w:b/>
                <w:shd w:val="clear" w:color="auto" w:fill="FFFFFF"/>
              </w:rPr>
            </w:pPr>
            <w:r w:rsidRPr="0036037C">
              <w:rPr>
                <w:b/>
                <w:shd w:val="clear" w:color="auto" w:fill="FFFFFF"/>
              </w:rPr>
              <w:t>Code and title</w:t>
            </w:r>
          </w:p>
        </w:tc>
        <w:tc>
          <w:tcPr>
            <w:tcW w:w="2835" w:type="dxa"/>
          </w:tcPr>
          <w:p w14:paraId="25CA10D9" w14:textId="77777777" w:rsidR="009F4A63" w:rsidRPr="0036037C" w:rsidRDefault="009F4A63" w:rsidP="009F4A63">
            <w:pPr>
              <w:pStyle w:val="NoSpacing"/>
              <w:rPr>
                <w:b/>
                <w:lang w:eastAsia="en-AU"/>
              </w:rPr>
            </w:pPr>
            <w:r w:rsidRPr="0036037C">
              <w:rPr>
                <w:b/>
                <w:lang w:eastAsia="en-AU"/>
              </w:rPr>
              <w:t>CPC08 Construction, Plumbing and Services Training Package</w:t>
            </w:r>
          </w:p>
          <w:p w14:paraId="3025FD47" w14:textId="2BFED1EF" w:rsidR="00E06843" w:rsidRPr="0036037C" w:rsidRDefault="00E06843" w:rsidP="009F4A63">
            <w:pPr>
              <w:pStyle w:val="NoSpacing"/>
              <w:rPr>
                <w:b/>
                <w:lang w:eastAsia="en-AU"/>
              </w:rPr>
            </w:pPr>
          </w:p>
        </w:tc>
        <w:tc>
          <w:tcPr>
            <w:tcW w:w="2835" w:type="dxa"/>
          </w:tcPr>
          <w:p w14:paraId="2CAB66F6" w14:textId="53E4593C" w:rsidR="009F4A63" w:rsidRPr="0036037C" w:rsidRDefault="009F4A63" w:rsidP="009F4A63">
            <w:pPr>
              <w:pStyle w:val="NoSpacing"/>
              <w:rPr>
                <w:b/>
                <w:lang w:eastAsia="en-AU"/>
              </w:rPr>
            </w:pPr>
            <w:r w:rsidRPr="0036037C">
              <w:rPr>
                <w:b/>
                <w:lang w:eastAsia="en-AU"/>
              </w:rPr>
              <w:t>Comments</w:t>
            </w:r>
          </w:p>
        </w:tc>
        <w:tc>
          <w:tcPr>
            <w:tcW w:w="1701" w:type="dxa"/>
          </w:tcPr>
          <w:p w14:paraId="33EFF7C3" w14:textId="6F58B19E" w:rsidR="009F4A63" w:rsidRPr="0036037C" w:rsidRDefault="009F4A63" w:rsidP="009F4A63">
            <w:pPr>
              <w:pStyle w:val="NoSpacing"/>
              <w:rPr>
                <w:b/>
                <w:lang w:eastAsia="en-AU"/>
              </w:rPr>
            </w:pPr>
            <w:r w:rsidRPr="0036037C">
              <w:rPr>
                <w:b/>
                <w:lang w:eastAsia="en-AU"/>
              </w:rPr>
              <w:t>Anticipated equivalency statement</w:t>
            </w:r>
          </w:p>
        </w:tc>
      </w:tr>
      <w:tr w:rsidR="00A82CC4" w:rsidRPr="00CA089E" w14:paraId="490142D1" w14:textId="77777777" w:rsidTr="00A82CC4">
        <w:tc>
          <w:tcPr>
            <w:tcW w:w="1668" w:type="dxa"/>
          </w:tcPr>
          <w:p w14:paraId="73803F05" w14:textId="5319D68E" w:rsidR="00A82CC4" w:rsidRDefault="00A82CC4" w:rsidP="00A82CC4">
            <w:pPr>
              <w:rPr>
                <w:rFonts w:cs="Calibri"/>
                <w:color w:val="000000" w:themeColor="text1"/>
                <w:lang w:eastAsia="en-AU"/>
              </w:rPr>
            </w:pPr>
            <w:r>
              <w:rPr>
                <w:rFonts w:cs="Calibri"/>
                <w:color w:val="000000" w:themeColor="text1"/>
                <w:lang w:eastAsia="en-AU"/>
              </w:rPr>
              <w:t>CPC3</w:t>
            </w:r>
            <w:r w:rsidR="00AD0D1E">
              <w:rPr>
                <w:rFonts w:cs="Calibri"/>
                <w:color w:val="000000" w:themeColor="text1"/>
                <w:lang w:eastAsia="en-AU"/>
              </w:rPr>
              <w:t>29</w:t>
            </w:r>
            <w:r>
              <w:rPr>
                <w:rFonts w:cs="Calibri"/>
                <w:color w:val="000000" w:themeColor="text1"/>
                <w:lang w:eastAsia="en-AU"/>
              </w:rPr>
              <w:t xml:space="preserve">19 </w:t>
            </w:r>
          </w:p>
          <w:p w14:paraId="6FB776B6" w14:textId="19FE9DED" w:rsidR="00A82CC4" w:rsidRPr="00CA089E" w:rsidRDefault="00A82CC4" w:rsidP="00A82CC4">
            <w:pPr>
              <w:spacing w:before="0" w:after="0"/>
              <w:rPr>
                <w:shd w:val="clear" w:color="auto" w:fill="FFFFFF"/>
              </w:rPr>
            </w:pPr>
            <w:r>
              <w:rPr>
                <w:rFonts w:cs="Calibri"/>
                <w:color w:val="000000" w:themeColor="text1"/>
                <w:lang w:eastAsia="en-AU"/>
              </w:rPr>
              <w:t>Certificate III in Construction Crane Operations</w:t>
            </w:r>
          </w:p>
        </w:tc>
        <w:tc>
          <w:tcPr>
            <w:tcW w:w="2835" w:type="dxa"/>
          </w:tcPr>
          <w:p w14:paraId="57FD515B" w14:textId="77777777" w:rsidR="00A82CC4" w:rsidRDefault="00A82CC4" w:rsidP="00A82CC4">
            <w:pPr>
              <w:rPr>
                <w:rFonts w:cs="Calibri"/>
                <w:color w:val="000000" w:themeColor="text1"/>
              </w:rPr>
            </w:pPr>
            <w:r>
              <w:rPr>
                <w:rFonts w:cs="Calibri"/>
                <w:color w:val="000000" w:themeColor="text1"/>
              </w:rPr>
              <w:t>CPC32912</w:t>
            </w:r>
          </w:p>
          <w:p w14:paraId="0890CC4A" w14:textId="2C26FC1B" w:rsidR="00A82CC4" w:rsidRPr="00CA089E" w:rsidRDefault="00A82CC4" w:rsidP="00A82CC4">
            <w:pPr>
              <w:pStyle w:val="NoSpacing"/>
              <w:rPr>
                <w:lang w:eastAsia="en-AU"/>
              </w:rPr>
            </w:pPr>
            <w:r w:rsidRPr="008A4304">
              <w:rPr>
                <w:rFonts w:cs="Calibri"/>
                <w:color w:val="000000" w:themeColor="text1"/>
              </w:rPr>
              <w:t xml:space="preserve">Certificate III in Construction Crane Operations </w:t>
            </w:r>
          </w:p>
        </w:tc>
        <w:tc>
          <w:tcPr>
            <w:tcW w:w="2835" w:type="dxa"/>
            <w:vAlign w:val="center"/>
          </w:tcPr>
          <w:p w14:paraId="044E5A60" w14:textId="70853E12" w:rsidR="00EC317E" w:rsidRDefault="00EC317E" w:rsidP="00EC317E">
            <w:pPr>
              <w:rPr>
                <w:lang w:eastAsia="en-AU"/>
              </w:rPr>
            </w:pPr>
            <w:r>
              <w:rPr>
                <w:lang w:eastAsia="en-AU"/>
              </w:rPr>
              <w:t xml:space="preserve">Supersedes and is equivalent to </w:t>
            </w:r>
            <w:r>
              <w:rPr>
                <w:rFonts w:cs="Calibri"/>
                <w:color w:val="000000" w:themeColor="text1"/>
                <w:lang w:eastAsia="en-AU"/>
              </w:rPr>
              <w:t>CPC32919 Certificate III in Construction Crane Operations</w:t>
            </w:r>
          </w:p>
          <w:p w14:paraId="4CEDD8AF" w14:textId="77777777" w:rsidR="00EC317E" w:rsidRDefault="00EC317E" w:rsidP="00EC317E">
            <w:pPr>
              <w:pStyle w:val="NoSpacing"/>
              <w:rPr>
                <w:lang w:eastAsia="en-AU"/>
              </w:rPr>
            </w:pPr>
          </w:p>
          <w:p w14:paraId="0F278DDE" w14:textId="6BF8B6A3" w:rsidR="00A82CC4" w:rsidRPr="00CA089E" w:rsidRDefault="00EC317E" w:rsidP="00EC317E">
            <w:pPr>
              <w:pStyle w:val="NoSpacing"/>
              <w:rPr>
                <w:lang w:eastAsia="en-AU"/>
              </w:rPr>
            </w:pPr>
            <w:r>
              <w:t>Updated to the Standards for Training Packages 2012.</w:t>
            </w:r>
          </w:p>
        </w:tc>
        <w:tc>
          <w:tcPr>
            <w:tcW w:w="1701" w:type="dxa"/>
            <w:vAlign w:val="center"/>
          </w:tcPr>
          <w:p w14:paraId="6FDE94D9" w14:textId="5B2D8872" w:rsidR="00A82CC4" w:rsidRPr="00CA089E" w:rsidRDefault="00EE2091" w:rsidP="00A82CC4">
            <w:pPr>
              <w:pStyle w:val="NoSpacing"/>
              <w:rPr>
                <w:lang w:eastAsia="en-AU"/>
              </w:rPr>
            </w:pPr>
            <w:r>
              <w:rPr>
                <w:lang w:eastAsia="en-AU"/>
              </w:rPr>
              <w:t>TBD</w:t>
            </w:r>
          </w:p>
        </w:tc>
      </w:tr>
    </w:tbl>
    <w:p w14:paraId="2B780EA0" w14:textId="77777777" w:rsidR="00513859" w:rsidRPr="0058174C" w:rsidRDefault="00513859" w:rsidP="0058174C">
      <w:pPr>
        <w:pStyle w:val="Heading1"/>
      </w:pPr>
      <w:r w:rsidRPr="0058174C">
        <w:t>Links</w:t>
      </w:r>
    </w:p>
    <w:p w14:paraId="21C7963C" w14:textId="3D79BB8E" w:rsidR="00CC1E29" w:rsidRPr="00100640" w:rsidRDefault="00513859" w:rsidP="00EA57A1">
      <w:r>
        <w:t>An Implementation Guide to this Training Package is available at</w:t>
      </w:r>
      <w:r w:rsidR="00236CBD">
        <w:t xml:space="preserve"> </w:t>
      </w:r>
      <w:r w:rsidR="00236CBD" w:rsidRPr="00236CBD">
        <w:t>https://vetnet.education.gov.au/Pages/TrainingDocs.aspx?q=7e15fa6a-68b8-4097-b099-030a5569b1ad.</w:t>
      </w:r>
    </w:p>
    <w:sectPr w:rsidR="00CC1E29" w:rsidRPr="00100640" w:rsidSect="0010064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50BA" w14:textId="77777777" w:rsidR="005B5B2C" w:rsidRDefault="005B5B2C" w:rsidP="00F81562">
      <w:r>
        <w:separator/>
      </w:r>
    </w:p>
  </w:endnote>
  <w:endnote w:type="continuationSeparator" w:id="0">
    <w:p w14:paraId="52B79D48" w14:textId="77777777" w:rsidR="005B5B2C" w:rsidRDefault="005B5B2C"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2FC1" w14:textId="77777777" w:rsidR="00D422BA" w:rsidRDefault="00D4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032E75" w:rsidRDefault="00032E75" w:rsidP="00F81562">
            <w:pPr>
              <w:pStyle w:val="Footer"/>
              <w:rPr>
                <w:sz w:val="24"/>
                <w:szCs w:val="24"/>
              </w:rPr>
            </w:pPr>
            <w:r>
              <w:rPr>
                <w:sz w:val="24"/>
                <w:szCs w:val="24"/>
              </w:rPr>
              <w:tab/>
            </w:r>
          </w:p>
          <w:p w14:paraId="230C2D68" w14:textId="77777777" w:rsidR="00032E75" w:rsidRDefault="00032E75" w:rsidP="00F81562">
            <w:pPr>
              <w:pStyle w:val="Footer"/>
            </w:pPr>
            <w:r>
              <w:t xml:space="preserve">Page </w:t>
            </w:r>
            <w:r>
              <w:rPr>
                <w:sz w:val="24"/>
                <w:szCs w:val="24"/>
              </w:rPr>
              <w:fldChar w:fldCharType="begin"/>
            </w:r>
            <w:r>
              <w:instrText xml:space="preserve"> PAGE </w:instrText>
            </w:r>
            <w:r>
              <w:rPr>
                <w:sz w:val="24"/>
                <w:szCs w:val="24"/>
              </w:rPr>
              <w:fldChar w:fldCharType="separate"/>
            </w:r>
            <w:r w:rsidR="005743A1">
              <w:rPr>
                <w:noProof/>
              </w:rPr>
              <w:t>1</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sidR="005743A1">
              <w:rPr>
                <w:noProof/>
              </w:rPr>
              <w:t>1</w:t>
            </w:r>
            <w:r>
              <w:rPr>
                <w:noProof/>
              </w:rPr>
              <w:fldChar w:fldCharType="end"/>
            </w:r>
          </w:p>
        </w:sdtContent>
      </w:sdt>
    </w:sdtContent>
  </w:sdt>
  <w:p w14:paraId="2536B18B" w14:textId="77777777" w:rsidR="00032E75" w:rsidRDefault="00032E75" w:rsidP="00F81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B924" w14:textId="77777777" w:rsidR="00D422BA" w:rsidRDefault="00D4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5A71" w14:textId="77777777" w:rsidR="005B5B2C" w:rsidRDefault="005B5B2C" w:rsidP="00F81562">
      <w:r>
        <w:separator/>
      </w:r>
    </w:p>
  </w:footnote>
  <w:footnote w:type="continuationSeparator" w:id="0">
    <w:p w14:paraId="4D779C52" w14:textId="77777777" w:rsidR="005B5B2C" w:rsidRDefault="005B5B2C" w:rsidP="00F8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E414" w14:textId="77777777" w:rsidR="00D422BA" w:rsidRDefault="00D42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14:paraId="70B4C57F" w14:textId="747C1660" w:rsidR="00032E75" w:rsidRDefault="005B5B2C" w:rsidP="00F81562">
        <w:pPr>
          <w:pStyle w:val="Header"/>
        </w:pPr>
        <w:r>
          <w:rPr>
            <w:noProof/>
          </w:rPr>
          <w:pict w14:anchorId="53E49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76.9pt;height:158.95pt;rotation:315;z-index:-251658752;mso-wrap-edited:f;mso-width-percent:0;mso-height-percent:0;mso-position-horizontal:center;mso-position-horizontal-relative:margin;mso-position-vertical:center;mso-position-vertical-relative:margin;mso-width-percent:0;mso-height-percent:0"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o:allowincell="f" fillcolor="black" stroked="f">
              <v:fill opacity="19660f"/>
              <v:textpath style="font-family:&quot;Calibri&quot;;font-size:1pt" string="DRAFT"/>
              <w10:wrap anchorx="margin" anchory="margin"/>
            </v:shape>
          </w:pict>
        </w:r>
      </w:p>
    </w:sdtContent>
  </w:sdt>
  <w:p w14:paraId="620999A3" w14:textId="77777777" w:rsidR="00032E75" w:rsidRPr="008722DF" w:rsidRDefault="00032E75" w:rsidP="00F81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FFAC" w14:textId="77777777" w:rsidR="00D422BA" w:rsidRDefault="00D42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62FB1"/>
    <w:multiLevelType w:val="multilevel"/>
    <w:tmpl w:val="B7E0A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01935"/>
    <w:multiLevelType w:val="hybridMultilevel"/>
    <w:tmpl w:val="9B56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34951"/>
    <w:multiLevelType w:val="hybridMultilevel"/>
    <w:tmpl w:val="E744D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F71538"/>
    <w:multiLevelType w:val="hybridMultilevel"/>
    <w:tmpl w:val="6608D3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535979"/>
    <w:multiLevelType w:val="multilevel"/>
    <w:tmpl w:val="7B0C1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18"/>
  </w:num>
  <w:num w:numId="5">
    <w:abstractNumId w:val="4"/>
  </w:num>
  <w:num w:numId="6">
    <w:abstractNumId w:val="31"/>
  </w:num>
  <w:num w:numId="7">
    <w:abstractNumId w:val="9"/>
  </w:num>
  <w:num w:numId="8">
    <w:abstractNumId w:val="8"/>
  </w:num>
  <w:num w:numId="9">
    <w:abstractNumId w:val="2"/>
  </w:num>
  <w:num w:numId="10">
    <w:abstractNumId w:val="26"/>
  </w:num>
  <w:num w:numId="11">
    <w:abstractNumId w:val="29"/>
  </w:num>
  <w:num w:numId="12">
    <w:abstractNumId w:val="33"/>
  </w:num>
  <w:num w:numId="13">
    <w:abstractNumId w:val="0"/>
  </w:num>
  <w:num w:numId="14">
    <w:abstractNumId w:val="19"/>
  </w:num>
  <w:num w:numId="15">
    <w:abstractNumId w:val="1"/>
  </w:num>
  <w:num w:numId="16">
    <w:abstractNumId w:val="27"/>
  </w:num>
  <w:num w:numId="17">
    <w:abstractNumId w:val="22"/>
  </w:num>
  <w:num w:numId="18">
    <w:abstractNumId w:val="7"/>
  </w:num>
  <w:num w:numId="19">
    <w:abstractNumId w:val="32"/>
  </w:num>
  <w:num w:numId="20">
    <w:abstractNumId w:val="3"/>
  </w:num>
  <w:num w:numId="21">
    <w:abstractNumId w:val="25"/>
  </w:num>
  <w:num w:numId="22">
    <w:abstractNumId w:val="34"/>
  </w:num>
  <w:num w:numId="23">
    <w:abstractNumId w:val="30"/>
  </w:num>
  <w:num w:numId="24">
    <w:abstractNumId w:val="28"/>
  </w:num>
  <w:num w:numId="25">
    <w:abstractNumId w:val="20"/>
  </w:num>
  <w:num w:numId="26">
    <w:abstractNumId w:val="5"/>
  </w:num>
  <w:num w:numId="27">
    <w:abstractNumId w:val="14"/>
  </w:num>
  <w:num w:numId="28">
    <w:abstractNumId w:val="24"/>
  </w:num>
  <w:num w:numId="29">
    <w:abstractNumId w:val="21"/>
  </w:num>
  <w:num w:numId="30">
    <w:abstractNumId w:val="10"/>
  </w:num>
  <w:num w:numId="31">
    <w:abstractNumId w:val="17"/>
  </w:num>
  <w:num w:numId="32">
    <w:abstractNumId w:val="12"/>
  </w:num>
  <w:num w:numId="33">
    <w:abstractNumId w:val="13"/>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97"/>
    <w:rsid w:val="000172FA"/>
    <w:rsid w:val="00021219"/>
    <w:rsid w:val="000244EE"/>
    <w:rsid w:val="00027CBD"/>
    <w:rsid w:val="00032E75"/>
    <w:rsid w:val="0003647B"/>
    <w:rsid w:val="00041586"/>
    <w:rsid w:val="00056E88"/>
    <w:rsid w:val="0005732A"/>
    <w:rsid w:val="00057919"/>
    <w:rsid w:val="00061643"/>
    <w:rsid w:val="000744DB"/>
    <w:rsid w:val="000767BE"/>
    <w:rsid w:val="000825FE"/>
    <w:rsid w:val="00085FF5"/>
    <w:rsid w:val="00091BC3"/>
    <w:rsid w:val="00092E3A"/>
    <w:rsid w:val="00092F06"/>
    <w:rsid w:val="000A58EC"/>
    <w:rsid w:val="000A7BEE"/>
    <w:rsid w:val="000B0F5B"/>
    <w:rsid w:val="000B310C"/>
    <w:rsid w:val="000B3E7F"/>
    <w:rsid w:val="000B6630"/>
    <w:rsid w:val="000C57AA"/>
    <w:rsid w:val="000D2AF1"/>
    <w:rsid w:val="000D5E94"/>
    <w:rsid w:val="000E46EC"/>
    <w:rsid w:val="000E5C92"/>
    <w:rsid w:val="001005BA"/>
    <w:rsid w:val="00100640"/>
    <w:rsid w:val="00103E20"/>
    <w:rsid w:val="00121871"/>
    <w:rsid w:val="001430F8"/>
    <w:rsid w:val="001438F3"/>
    <w:rsid w:val="00144536"/>
    <w:rsid w:val="00164FE9"/>
    <w:rsid w:val="00177529"/>
    <w:rsid w:val="001A5965"/>
    <w:rsid w:val="001A725F"/>
    <w:rsid w:val="001B1DAA"/>
    <w:rsid w:val="001B5497"/>
    <w:rsid w:val="001B5B91"/>
    <w:rsid w:val="001C34F6"/>
    <w:rsid w:val="001D637B"/>
    <w:rsid w:val="001E0990"/>
    <w:rsid w:val="001E5771"/>
    <w:rsid w:val="00202251"/>
    <w:rsid w:val="00210936"/>
    <w:rsid w:val="00211053"/>
    <w:rsid w:val="0021647A"/>
    <w:rsid w:val="00223996"/>
    <w:rsid w:val="00232518"/>
    <w:rsid w:val="00236CBD"/>
    <w:rsid w:val="00236F13"/>
    <w:rsid w:val="00240C89"/>
    <w:rsid w:val="00247A1B"/>
    <w:rsid w:val="00251C9F"/>
    <w:rsid w:val="00267F39"/>
    <w:rsid w:val="002748CC"/>
    <w:rsid w:val="002800B7"/>
    <w:rsid w:val="002822C7"/>
    <w:rsid w:val="00286F53"/>
    <w:rsid w:val="00296E12"/>
    <w:rsid w:val="002A0738"/>
    <w:rsid w:val="002A1CC9"/>
    <w:rsid w:val="002A2AE9"/>
    <w:rsid w:val="002B105A"/>
    <w:rsid w:val="002B1A87"/>
    <w:rsid w:val="002B3D70"/>
    <w:rsid w:val="002B4C43"/>
    <w:rsid w:val="002B72D2"/>
    <w:rsid w:val="002C595D"/>
    <w:rsid w:val="002D00AF"/>
    <w:rsid w:val="002D7F9E"/>
    <w:rsid w:val="002F29F0"/>
    <w:rsid w:val="00305E6D"/>
    <w:rsid w:val="00312014"/>
    <w:rsid w:val="00312492"/>
    <w:rsid w:val="00316FBD"/>
    <w:rsid w:val="00322FBC"/>
    <w:rsid w:val="003441C9"/>
    <w:rsid w:val="00344D2F"/>
    <w:rsid w:val="0036037C"/>
    <w:rsid w:val="00363748"/>
    <w:rsid w:val="003802EF"/>
    <w:rsid w:val="00380F07"/>
    <w:rsid w:val="0038643B"/>
    <w:rsid w:val="00386D2F"/>
    <w:rsid w:val="0039055B"/>
    <w:rsid w:val="003A6CDB"/>
    <w:rsid w:val="003A735D"/>
    <w:rsid w:val="003B35FF"/>
    <w:rsid w:val="003B49D6"/>
    <w:rsid w:val="003C1324"/>
    <w:rsid w:val="003E0A36"/>
    <w:rsid w:val="003E6907"/>
    <w:rsid w:val="003E7316"/>
    <w:rsid w:val="003F5B3D"/>
    <w:rsid w:val="003F5C97"/>
    <w:rsid w:val="003F6F3F"/>
    <w:rsid w:val="00400922"/>
    <w:rsid w:val="00417753"/>
    <w:rsid w:val="00424C0A"/>
    <w:rsid w:val="00434281"/>
    <w:rsid w:val="00436149"/>
    <w:rsid w:val="0044651F"/>
    <w:rsid w:val="004B5B67"/>
    <w:rsid w:val="004B6BEA"/>
    <w:rsid w:val="004D388B"/>
    <w:rsid w:val="004D7B7A"/>
    <w:rsid w:val="004F1C74"/>
    <w:rsid w:val="004F294F"/>
    <w:rsid w:val="00504D95"/>
    <w:rsid w:val="00513304"/>
    <w:rsid w:val="00513859"/>
    <w:rsid w:val="00514391"/>
    <w:rsid w:val="00517D52"/>
    <w:rsid w:val="00524E1A"/>
    <w:rsid w:val="00525D0D"/>
    <w:rsid w:val="00527443"/>
    <w:rsid w:val="00536FFF"/>
    <w:rsid w:val="00544983"/>
    <w:rsid w:val="005466FC"/>
    <w:rsid w:val="005523A3"/>
    <w:rsid w:val="00561973"/>
    <w:rsid w:val="00562923"/>
    <w:rsid w:val="00564253"/>
    <w:rsid w:val="00564DEC"/>
    <w:rsid w:val="0057353B"/>
    <w:rsid w:val="005743A1"/>
    <w:rsid w:val="00580B13"/>
    <w:rsid w:val="0058174C"/>
    <w:rsid w:val="00581A70"/>
    <w:rsid w:val="00582112"/>
    <w:rsid w:val="00586EBA"/>
    <w:rsid w:val="00591199"/>
    <w:rsid w:val="005A0A7C"/>
    <w:rsid w:val="005A3041"/>
    <w:rsid w:val="005A6F2A"/>
    <w:rsid w:val="005B421D"/>
    <w:rsid w:val="005B5B2C"/>
    <w:rsid w:val="005D19F7"/>
    <w:rsid w:val="005D674F"/>
    <w:rsid w:val="005E1C19"/>
    <w:rsid w:val="005E3095"/>
    <w:rsid w:val="005E30CA"/>
    <w:rsid w:val="005E511C"/>
    <w:rsid w:val="005E65CD"/>
    <w:rsid w:val="005F4248"/>
    <w:rsid w:val="00601D34"/>
    <w:rsid w:val="006142E1"/>
    <w:rsid w:val="00621C59"/>
    <w:rsid w:val="006222C2"/>
    <w:rsid w:val="00623475"/>
    <w:rsid w:val="00627A02"/>
    <w:rsid w:val="00642B37"/>
    <w:rsid w:val="00665369"/>
    <w:rsid w:val="00667F80"/>
    <w:rsid w:val="00672818"/>
    <w:rsid w:val="00676059"/>
    <w:rsid w:val="00676A84"/>
    <w:rsid w:val="00696DAD"/>
    <w:rsid w:val="006A7FFA"/>
    <w:rsid w:val="006C0460"/>
    <w:rsid w:val="006C2F7C"/>
    <w:rsid w:val="006D2ABD"/>
    <w:rsid w:val="006D2C72"/>
    <w:rsid w:val="006D63E1"/>
    <w:rsid w:val="006E260B"/>
    <w:rsid w:val="006F085C"/>
    <w:rsid w:val="00700D7A"/>
    <w:rsid w:val="00701655"/>
    <w:rsid w:val="007020D3"/>
    <w:rsid w:val="00713EB2"/>
    <w:rsid w:val="0072395B"/>
    <w:rsid w:val="00742982"/>
    <w:rsid w:val="00752213"/>
    <w:rsid w:val="007710E4"/>
    <w:rsid w:val="00772B5D"/>
    <w:rsid w:val="00773EA0"/>
    <w:rsid w:val="00774144"/>
    <w:rsid w:val="007806C4"/>
    <w:rsid w:val="00791C9C"/>
    <w:rsid w:val="00794E5D"/>
    <w:rsid w:val="007A79CB"/>
    <w:rsid w:val="007B0B7C"/>
    <w:rsid w:val="007C5D44"/>
    <w:rsid w:val="007D40A6"/>
    <w:rsid w:val="007E28B6"/>
    <w:rsid w:val="007E3D2E"/>
    <w:rsid w:val="007E6119"/>
    <w:rsid w:val="008043EE"/>
    <w:rsid w:val="00810372"/>
    <w:rsid w:val="00814E4B"/>
    <w:rsid w:val="0081763B"/>
    <w:rsid w:val="008178C7"/>
    <w:rsid w:val="008327C8"/>
    <w:rsid w:val="00837309"/>
    <w:rsid w:val="00847B5C"/>
    <w:rsid w:val="00852086"/>
    <w:rsid w:val="00852C08"/>
    <w:rsid w:val="00860874"/>
    <w:rsid w:val="00866AAA"/>
    <w:rsid w:val="008722DF"/>
    <w:rsid w:val="00882E7C"/>
    <w:rsid w:val="00887179"/>
    <w:rsid w:val="00894654"/>
    <w:rsid w:val="008B473D"/>
    <w:rsid w:val="008C48F9"/>
    <w:rsid w:val="008E1626"/>
    <w:rsid w:val="008E367E"/>
    <w:rsid w:val="00917832"/>
    <w:rsid w:val="0095104E"/>
    <w:rsid w:val="00953E83"/>
    <w:rsid w:val="00971604"/>
    <w:rsid w:val="0097175C"/>
    <w:rsid w:val="009754AC"/>
    <w:rsid w:val="00975679"/>
    <w:rsid w:val="00982183"/>
    <w:rsid w:val="00982861"/>
    <w:rsid w:val="00992786"/>
    <w:rsid w:val="009A3DCF"/>
    <w:rsid w:val="009B3A4F"/>
    <w:rsid w:val="009B5EE6"/>
    <w:rsid w:val="009B6C44"/>
    <w:rsid w:val="009F1EEA"/>
    <w:rsid w:val="009F4A63"/>
    <w:rsid w:val="009F4ACF"/>
    <w:rsid w:val="009F6FF0"/>
    <w:rsid w:val="00A00031"/>
    <w:rsid w:val="00A0691A"/>
    <w:rsid w:val="00A070BB"/>
    <w:rsid w:val="00A073E9"/>
    <w:rsid w:val="00A07F65"/>
    <w:rsid w:val="00A107FF"/>
    <w:rsid w:val="00A136AE"/>
    <w:rsid w:val="00A148EC"/>
    <w:rsid w:val="00A16281"/>
    <w:rsid w:val="00A40843"/>
    <w:rsid w:val="00A40D55"/>
    <w:rsid w:val="00A42215"/>
    <w:rsid w:val="00A5355C"/>
    <w:rsid w:val="00A56CF0"/>
    <w:rsid w:val="00A56EB7"/>
    <w:rsid w:val="00A63DE4"/>
    <w:rsid w:val="00A654A0"/>
    <w:rsid w:val="00A664BF"/>
    <w:rsid w:val="00A67C67"/>
    <w:rsid w:val="00A716DD"/>
    <w:rsid w:val="00A71E3F"/>
    <w:rsid w:val="00A72521"/>
    <w:rsid w:val="00A75C76"/>
    <w:rsid w:val="00A82CC4"/>
    <w:rsid w:val="00A86E28"/>
    <w:rsid w:val="00A9113F"/>
    <w:rsid w:val="00AB667E"/>
    <w:rsid w:val="00AB6F77"/>
    <w:rsid w:val="00AC2EFE"/>
    <w:rsid w:val="00AC4346"/>
    <w:rsid w:val="00AD0D1E"/>
    <w:rsid w:val="00AD3B47"/>
    <w:rsid w:val="00AE4291"/>
    <w:rsid w:val="00AE5128"/>
    <w:rsid w:val="00AE79CB"/>
    <w:rsid w:val="00AF0096"/>
    <w:rsid w:val="00AF6CD0"/>
    <w:rsid w:val="00B06F9C"/>
    <w:rsid w:val="00B07860"/>
    <w:rsid w:val="00B10521"/>
    <w:rsid w:val="00B1260A"/>
    <w:rsid w:val="00B14555"/>
    <w:rsid w:val="00B17F50"/>
    <w:rsid w:val="00B30C85"/>
    <w:rsid w:val="00B41C1E"/>
    <w:rsid w:val="00B55A44"/>
    <w:rsid w:val="00B663D8"/>
    <w:rsid w:val="00B75738"/>
    <w:rsid w:val="00B7622E"/>
    <w:rsid w:val="00B911B7"/>
    <w:rsid w:val="00B934D6"/>
    <w:rsid w:val="00B96939"/>
    <w:rsid w:val="00BA4A5A"/>
    <w:rsid w:val="00BC3A12"/>
    <w:rsid w:val="00BE0B74"/>
    <w:rsid w:val="00BE1BA0"/>
    <w:rsid w:val="00BF195A"/>
    <w:rsid w:val="00BF5005"/>
    <w:rsid w:val="00C24740"/>
    <w:rsid w:val="00C34028"/>
    <w:rsid w:val="00C45283"/>
    <w:rsid w:val="00C62267"/>
    <w:rsid w:val="00C64E44"/>
    <w:rsid w:val="00C65A1D"/>
    <w:rsid w:val="00C70062"/>
    <w:rsid w:val="00C700BB"/>
    <w:rsid w:val="00C829F4"/>
    <w:rsid w:val="00C83C63"/>
    <w:rsid w:val="00C844F4"/>
    <w:rsid w:val="00C9024B"/>
    <w:rsid w:val="00CA001E"/>
    <w:rsid w:val="00CA089E"/>
    <w:rsid w:val="00CA1D76"/>
    <w:rsid w:val="00CA636F"/>
    <w:rsid w:val="00CB25C8"/>
    <w:rsid w:val="00CC1E29"/>
    <w:rsid w:val="00CC48DE"/>
    <w:rsid w:val="00CC7EBC"/>
    <w:rsid w:val="00CE3714"/>
    <w:rsid w:val="00CF3F56"/>
    <w:rsid w:val="00D1223C"/>
    <w:rsid w:val="00D24171"/>
    <w:rsid w:val="00D3081B"/>
    <w:rsid w:val="00D32F68"/>
    <w:rsid w:val="00D40DFE"/>
    <w:rsid w:val="00D41E5A"/>
    <w:rsid w:val="00D422BA"/>
    <w:rsid w:val="00D54E60"/>
    <w:rsid w:val="00D70776"/>
    <w:rsid w:val="00D72BFD"/>
    <w:rsid w:val="00D82D06"/>
    <w:rsid w:val="00D97FF4"/>
    <w:rsid w:val="00DA004C"/>
    <w:rsid w:val="00DA2E4C"/>
    <w:rsid w:val="00DB3339"/>
    <w:rsid w:val="00DB4675"/>
    <w:rsid w:val="00DC6544"/>
    <w:rsid w:val="00DC7E2B"/>
    <w:rsid w:val="00DD45ED"/>
    <w:rsid w:val="00DE0959"/>
    <w:rsid w:val="00E012F0"/>
    <w:rsid w:val="00E021F1"/>
    <w:rsid w:val="00E03E0E"/>
    <w:rsid w:val="00E06843"/>
    <w:rsid w:val="00E22E97"/>
    <w:rsid w:val="00E237B4"/>
    <w:rsid w:val="00E24B2C"/>
    <w:rsid w:val="00E25793"/>
    <w:rsid w:val="00E337C7"/>
    <w:rsid w:val="00E35041"/>
    <w:rsid w:val="00E37B5A"/>
    <w:rsid w:val="00E504AE"/>
    <w:rsid w:val="00E5443B"/>
    <w:rsid w:val="00E65C53"/>
    <w:rsid w:val="00E8084C"/>
    <w:rsid w:val="00E9604E"/>
    <w:rsid w:val="00EA57A1"/>
    <w:rsid w:val="00EC317E"/>
    <w:rsid w:val="00ED3C56"/>
    <w:rsid w:val="00ED7604"/>
    <w:rsid w:val="00EE2091"/>
    <w:rsid w:val="00EF7AB7"/>
    <w:rsid w:val="00F04D81"/>
    <w:rsid w:val="00F0702F"/>
    <w:rsid w:val="00F0793A"/>
    <w:rsid w:val="00F138C0"/>
    <w:rsid w:val="00F40202"/>
    <w:rsid w:val="00F567BD"/>
    <w:rsid w:val="00F604DA"/>
    <w:rsid w:val="00F66C11"/>
    <w:rsid w:val="00F7188C"/>
    <w:rsid w:val="00F76F97"/>
    <w:rsid w:val="00F81562"/>
    <w:rsid w:val="00F81F56"/>
    <w:rsid w:val="00F84206"/>
    <w:rsid w:val="00FA26F5"/>
    <w:rsid w:val="00FA45D3"/>
    <w:rsid w:val="00FB2EC0"/>
    <w:rsid w:val="00FB5497"/>
    <w:rsid w:val="00FB57D6"/>
    <w:rsid w:val="00FC0582"/>
    <w:rsid w:val="00FC31F1"/>
    <w:rsid w:val="00FC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1A034"/>
  <w14:defaultImageDpi w14:val="32767"/>
  <w15:docId w15:val="{08F9ABA7-D34F-4E64-8DFD-B39DFE03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562"/>
    <w:pPr>
      <w:spacing w:before="120" w:after="120"/>
    </w:pPr>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spacing w:after="0" w:line="240" w:lineRule="auto"/>
      <w:ind w:right="360" w:firstLine="720"/>
      <w:jc w:val="center"/>
    </w:pPr>
    <w:rPr>
      <w:rFonts w:ascii="Calibri Light" w:eastAsia="Yu Mincho" w:hAnsi="Calibri Light" w:cs="Raleway-Medium"/>
      <w:color w:val="808080" w:themeColor="background1" w:themeShade="80"/>
      <w:sz w:val="18"/>
      <w:szCs w:val="36"/>
      <w:lang w:val="en-US"/>
    </w:rPr>
  </w:style>
  <w:style w:type="character" w:customStyle="1" w:styleId="UnresolvedMention1">
    <w:name w:val="Unresolved Mention1"/>
    <w:basedOn w:val="DefaultParagraphFont"/>
    <w:uiPriority w:val="99"/>
    <w:semiHidden/>
    <w:unhideWhenUsed/>
    <w:rsid w:val="00E37B5A"/>
    <w:rPr>
      <w:color w:val="605E5C"/>
      <w:shd w:val="clear" w:color="auto" w:fill="E1DFDD"/>
    </w:rPr>
  </w:style>
  <w:style w:type="character" w:styleId="FollowedHyperlink">
    <w:name w:val="FollowedHyperlink"/>
    <w:basedOn w:val="DefaultParagraphFont"/>
    <w:uiPriority w:val="99"/>
    <w:semiHidden/>
    <w:unhideWhenUsed/>
    <w:rsid w:val="00A82CC4"/>
    <w:rPr>
      <w:color w:val="954F72" w:themeColor="followedHyperlink"/>
      <w:u w:val="single"/>
    </w:rPr>
  </w:style>
  <w:style w:type="paragraph" w:customStyle="1" w:styleId="SIText-Bold">
    <w:name w:val="SI Text - Bold"/>
    <w:link w:val="SIText-BoldChar"/>
    <w:qFormat/>
    <w:rsid w:val="00DB3339"/>
    <w:pPr>
      <w:spacing w:before="80" w:after="80" w:line="240" w:lineRule="auto"/>
    </w:pPr>
    <w:rPr>
      <w:rFonts w:ascii="Arial" w:eastAsia="Times New Roman" w:hAnsi="Arial" w:cs="Times New Roman"/>
      <w:b/>
      <w:sz w:val="20"/>
      <w:lang w:val="en-AU" w:eastAsia="en-AU"/>
    </w:rPr>
  </w:style>
  <w:style w:type="character" w:customStyle="1" w:styleId="SIText-BoldChar">
    <w:name w:val="SI Text - Bold Char"/>
    <w:basedOn w:val="DefaultParagraphFont"/>
    <w:link w:val="SIText-Bold"/>
    <w:rsid w:val="00DB3339"/>
    <w:rPr>
      <w:rFonts w:ascii="Arial" w:eastAsia="Times New Roman" w:hAnsi="Arial" w:cs="Times New Roman"/>
      <w:b/>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1120">
      <w:bodyDiv w:val="1"/>
      <w:marLeft w:val="0"/>
      <w:marRight w:val="0"/>
      <w:marTop w:val="0"/>
      <w:marBottom w:val="0"/>
      <w:divBdr>
        <w:top w:val="none" w:sz="0" w:space="0" w:color="auto"/>
        <w:left w:val="none" w:sz="0" w:space="0" w:color="auto"/>
        <w:bottom w:val="none" w:sz="0" w:space="0" w:color="auto"/>
        <w:right w:val="none" w:sz="0" w:space="0" w:color="auto"/>
      </w:divBdr>
    </w:div>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12805988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367872377">
      <w:bodyDiv w:val="1"/>
      <w:marLeft w:val="0"/>
      <w:marRight w:val="0"/>
      <w:marTop w:val="0"/>
      <w:marBottom w:val="0"/>
      <w:divBdr>
        <w:top w:val="none" w:sz="0" w:space="0" w:color="auto"/>
        <w:left w:val="none" w:sz="0" w:space="0" w:color="auto"/>
        <w:bottom w:val="none" w:sz="0" w:space="0" w:color="auto"/>
        <w:right w:val="none" w:sz="0" w:space="0" w:color="auto"/>
      </w:divBdr>
    </w:div>
    <w:div w:id="734007169">
      <w:bodyDiv w:val="1"/>
      <w:marLeft w:val="0"/>
      <w:marRight w:val="0"/>
      <w:marTop w:val="0"/>
      <w:marBottom w:val="0"/>
      <w:divBdr>
        <w:top w:val="none" w:sz="0" w:space="0" w:color="auto"/>
        <w:left w:val="none" w:sz="0" w:space="0" w:color="auto"/>
        <w:bottom w:val="none" w:sz="0" w:space="0" w:color="auto"/>
        <w:right w:val="none" w:sz="0" w:space="0" w:color="auto"/>
      </w:divBdr>
    </w:div>
    <w:div w:id="1041320839">
      <w:bodyDiv w:val="1"/>
      <w:marLeft w:val="0"/>
      <w:marRight w:val="0"/>
      <w:marTop w:val="0"/>
      <w:marBottom w:val="0"/>
      <w:divBdr>
        <w:top w:val="none" w:sz="0" w:space="0" w:color="auto"/>
        <w:left w:val="none" w:sz="0" w:space="0" w:color="auto"/>
        <w:bottom w:val="none" w:sz="0" w:space="0" w:color="auto"/>
        <w:right w:val="none" w:sz="0" w:space="0" w:color="auto"/>
      </w:divBdr>
    </w:div>
    <w:div w:id="1339189363">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420641401">
      <w:bodyDiv w:val="1"/>
      <w:marLeft w:val="0"/>
      <w:marRight w:val="0"/>
      <w:marTop w:val="0"/>
      <w:marBottom w:val="0"/>
      <w:divBdr>
        <w:top w:val="none" w:sz="0" w:space="0" w:color="auto"/>
        <w:left w:val="none" w:sz="0" w:space="0" w:color="auto"/>
        <w:bottom w:val="none" w:sz="0" w:space="0" w:color="auto"/>
        <w:right w:val="none" w:sz="0" w:space="0" w:color="auto"/>
      </w:divBdr>
    </w:div>
    <w:div w:id="1498883842">
      <w:bodyDiv w:val="1"/>
      <w:marLeft w:val="0"/>
      <w:marRight w:val="0"/>
      <w:marTop w:val="0"/>
      <w:marBottom w:val="0"/>
      <w:divBdr>
        <w:top w:val="none" w:sz="0" w:space="0" w:color="auto"/>
        <w:left w:val="none" w:sz="0" w:space="0" w:color="auto"/>
        <w:bottom w:val="none" w:sz="0" w:space="0" w:color="auto"/>
        <w:right w:val="none" w:sz="0" w:space="0" w:color="auto"/>
      </w:divBdr>
    </w:div>
    <w:div w:id="1649163995">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 w:id="1851798544">
      <w:bodyDiv w:val="1"/>
      <w:marLeft w:val="0"/>
      <w:marRight w:val="0"/>
      <w:marTop w:val="0"/>
      <w:marBottom w:val="0"/>
      <w:divBdr>
        <w:top w:val="none" w:sz="0" w:space="0" w:color="auto"/>
        <w:left w:val="none" w:sz="0" w:space="0" w:color="auto"/>
        <w:bottom w:val="none" w:sz="0" w:space="0" w:color="auto"/>
        <w:right w:val="none" w:sz="0" w:space="0" w:color="auto"/>
      </w:divBdr>
    </w:div>
    <w:div w:id="1902329403">
      <w:bodyDiv w:val="1"/>
      <w:marLeft w:val="0"/>
      <w:marRight w:val="0"/>
      <w:marTop w:val="0"/>
      <w:marBottom w:val="0"/>
      <w:divBdr>
        <w:top w:val="none" w:sz="0" w:space="0" w:color="auto"/>
        <w:left w:val="none" w:sz="0" w:space="0" w:color="auto"/>
        <w:bottom w:val="none" w:sz="0" w:space="0" w:color="auto"/>
        <w:right w:val="none" w:sz="0" w:space="0" w:color="auto"/>
      </w:divBdr>
    </w:div>
    <w:div w:id="19895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44A1-EE79-4050-8876-C8F070B9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Erskine</dc:creator>
  <cp:keywords/>
  <dc:description/>
  <cp:lastModifiedBy>Wendy</cp:lastModifiedBy>
  <cp:revision>9</cp:revision>
  <cp:lastPrinted>2019-05-29T00:22:00Z</cp:lastPrinted>
  <dcterms:created xsi:type="dcterms:W3CDTF">2019-05-20T03:40:00Z</dcterms:created>
  <dcterms:modified xsi:type="dcterms:W3CDTF">2019-05-29T02:22:00Z</dcterms:modified>
</cp:coreProperties>
</file>