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57691" w14:textId="1D046245" w:rsidR="00F4162F" w:rsidRDefault="00E73F14">
      <w:pPr>
        <w:rPr>
          <w:color w:val="A6A6A6" w:themeColor="background1" w:themeShade="A6"/>
          <w:sz w:val="32"/>
        </w:rPr>
      </w:pPr>
      <w:r>
        <w:rPr>
          <w:rFonts w:asciiTheme="majorHAnsi" w:hAnsiTheme="majorHAnsi"/>
          <w:b/>
          <w:noProof/>
          <w:color w:val="A6A6A6" w:themeColor="background1" w:themeShade="A6"/>
          <w:sz w:val="32"/>
          <w:szCs w:val="32"/>
        </w:rPr>
        <w:drawing>
          <wp:inline distT="0" distB="0" distL="0" distR="0" wp14:anchorId="4C3AB4CD" wp14:editId="4F53650F">
            <wp:extent cx="2480553" cy="107662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I Logo with tag.png"/>
                    <pic:cNvPicPr/>
                  </pic:nvPicPr>
                  <pic:blipFill>
                    <a:blip r:embed="rId8"/>
                    <a:stretch>
                      <a:fillRect/>
                    </a:stretch>
                  </pic:blipFill>
                  <pic:spPr>
                    <a:xfrm>
                      <a:off x="0" y="0"/>
                      <a:ext cx="2574334" cy="1117332"/>
                    </a:xfrm>
                    <a:prstGeom prst="rect">
                      <a:avLst/>
                    </a:prstGeom>
                  </pic:spPr>
                </pic:pic>
              </a:graphicData>
            </a:graphic>
          </wp:inline>
        </w:drawing>
      </w:r>
    </w:p>
    <w:p w14:paraId="20616EC0" w14:textId="77777777" w:rsidR="00E73F14" w:rsidRDefault="00E73F14">
      <w:pPr>
        <w:rPr>
          <w:color w:val="A6A6A6" w:themeColor="background1" w:themeShade="A6"/>
          <w:sz w:val="32"/>
        </w:rPr>
      </w:pPr>
    </w:p>
    <w:p w14:paraId="1FACAE52" w14:textId="77777777" w:rsidR="007F7A31" w:rsidRDefault="007F7A31" w:rsidP="00D84328">
      <w:pPr>
        <w:shd w:val="clear" w:color="auto" w:fill="A6A6A6" w:themeFill="background1" w:themeFillShade="A6"/>
        <w:rPr>
          <w:color w:val="FFFFFF" w:themeColor="background1"/>
          <w:sz w:val="36"/>
        </w:rPr>
      </w:pPr>
      <w:proofErr w:type="spellStart"/>
      <w:r>
        <w:rPr>
          <w:color w:val="FFFFFF" w:themeColor="background1"/>
          <w:sz w:val="36"/>
        </w:rPr>
        <w:t>NatHERS</w:t>
      </w:r>
      <w:proofErr w:type="spellEnd"/>
      <w:r>
        <w:rPr>
          <w:color w:val="FFFFFF" w:themeColor="background1"/>
          <w:sz w:val="36"/>
        </w:rPr>
        <w:t xml:space="preserve"> and Home Sustainability </w:t>
      </w:r>
    </w:p>
    <w:p w14:paraId="44981FC4" w14:textId="6897B94D" w:rsidR="00D84328" w:rsidRPr="00D84328" w:rsidRDefault="00D84328" w:rsidP="00D84328">
      <w:pPr>
        <w:shd w:val="clear" w:color="auto" w:fill="A6A6A6" w:themeFill="background1" w:themeFillShade="A6"/>
        <w:rPr>
          <w:color w:val="FFFFFF" w:themeColor="background1"/>
          <w:sz w:val="36"/>
        </w:rPr>
      </w:pPr>
      <w:r w:rsidRPr="00D84328">
        <w:rPr>
          <w:color w:val="FFFFFF" w:themeColor="background1"/>
          <w:sz w:val="36"/>
        </w:rPr>
        <w:t xml:space="preserve">Project </w:t>
      </w:r>
      <w:r w:rsidR="00BE47EE">
        <w:rPr>
          <w:color w:val="FFFFFF" w:themeColor="background1"/>
          <w:sz w:val="36"/>
        </w:rPr>
        <w:t xml:space="preserve">Brief </w:t>
      </w:r>
      <w:r w:rsidR="00312AB0">
        <w:rPr>
          <w:color w:val="FFFFFF" w:themeColor="background1"/>
          <w:sz w:val="36"/>
        </w:rPr>
        <w:t>1</w:t>
      </w:r>
      <w:r w:rsidR="00BE47EE">
        <w:rPr>
          <w:color w:val="FFFFFF" w:themeColor="background1"/>
          <w:sz w:val="36"/>
        </w:rPr>
        <w:t xml:space="preserve"> </w:t>
      </w:r>
      <w:r w:rsidR="00BE47EE">
        <w:rPr>
          <w:color w:val="FFFFFF" w:themeColor="background1"/>
          <w:sz w:val="36"/>
        </w:rPr>
        <w:tab/>
      </w:r>
      <w:r w:rsidR="00BE47EE">
        <w:rPr>
          <w:color w:val="FFFFFF" w:themeColor="background1"/>
          <w:sz w:val="36"/>
        </w:rPr>
        <w:tab/>
      </w:r>
      <w:r w:rsidR="00BE47EE">
        <w:rPr>
          <w:color w:val="FFFFFF" w:themeColor="background1"/>
          <w:sz w:val="36"/>
        </w:rPr>
        <w:tab/>
      </w:r>
      <w:r w:rsidR="00BE47EE">
        <w:rPr>
          <w:color w:val="FFFFFF" w:themeColor="background1"/>
          <w:sz w:val="36"/>
        </w:rPr>
        <w:tab/>
      </w:r>
      <w:r w:rsidR="004875E3">
        <w:rPr>
          <w:color w:val="FFFFFF" w:themeColor="background1"/>
          <w:sz w:val="36"/>
        </w:rPr>
        <w:tab/>
      </w:r>
      <w:r w:rsidR="00362624">
        <w:rPr>
          <w:color w:val="FFFFFF" w:themeColor="background1"/>
          <w:sz w:val="36"/>
        </w:rPr>
        <w:tab/>
      </w:r>
      <w:r w:rsidR="00362624">
        <w:rPr>
          <w:color w:val="FFFFFF" w:themeColor="background1"/>
          <w:sz w:val="36"/>
        </w:rPr>
        <w:tab/>
      </w:r>
      <w:r w:rsidR="00362624">
        <w:rPr>
          <w:color w:val="FFFFFF" w:themeColor="background1"/>
          <w:sz w:val="36"/>
        </w:rPr>
        <w:tab/>
      </w:r>
      <w:r w:rsidR="004875E3">
        <w:rPr>
          <w:color w:val="FFFFFF" w:themeColor="background1"/>
          <w:sz w:val="36"/>
        </w:rPr>
        <w:t>3 May</w:t>
      </w:r>
      <w:r w:rsidR="00BE47EE">
        <w:rPr>
          <w:color w:val="FFFFFF" w:themeColor="background1"/>
          <w:sz w:val="36"/>
        </w:rPr>
        <w:t xml:space="preserve"> 2019</w:t>
      </w:r>
    </w:p>
    <w:p w14:paraId="26204E8A" w14:textId="693863D4" w:rsidR="00D84328" w:rsidRDefault="00D84328">
      <w:pPr>
        <w:rPr>
          <w:color w:val="A6A6A6" w:themeColor="background1" w:themeShade="A6"/>
          <w:sz w:val="32"/>
        </w:rPr>
      </w:pPr>
    </w:p>
    <w:p w14:paraId="4BD4E902" w14:textId="1985B7EE" w:rsidR="00D84328" w:rsidRPr="0037611C" w:rsidRDefault="00D84328" w:rsidP="0037611C">
      <w:pPr>
        <w:pStyle w:val="Heading1"/>
      </w:pPr>
      <w:r w:rsidRPr="0037611C">
        <w:t xml:space="preserve">Project Scope </w:t>
      </w:r>
    </w:p>
    <w:p w14:paraId="6E8A1DF0" w14:textId="07E3B390" w:rsidR="00D84328" w:rsidRPr="00D84328" w:rsidRDefault="00D84328" w:rsidP="00D84328">
      <w:pPr>
        <w:rPr>
          <w:lang w:val="en-AU"/>
        </w:rPr>
      </w:pPr>
      <w:r w:rsidRPr="00D84328">
        <w:rPr>
          <w:lang w:val="en-AU"/>
        </w:rPr>
        <w:t xml:space="preserve">On behalf of the </w:t>
      </w:r>
      <w:r w:rsidR="007F7A31">
        <w:rPr>
          <w:lang w:val="en-AU"/>
        </w:rPr>
        <w:t xml:space="preserve">Property </w:t>
      </w:r>
      <w:r w:rsidRPr="00D84328">
        <w:rPr>
          <w:lang w:val="en-AU"/>
        </w:rPr>
        <w:t xml:space="preserve">Services IRC, </w:t>
      </w:r>
      <w:r>
        <w:rPr>
          <w:lang w:val="en-AU"/>
        </w:rPr>
        <w:t>Artibus Innovation is reviewing and</w:t>
      </w:r>
      <w:r w:rsidRPr="00D84328">
        <w:rPr>
          <w:lang w:val="en-AU"/>
        </w:rPr>
        <w:t xml:space="preserve"> updating th</w:t>
      </w:r>
      <w:r w:rsidR="00312AB0">
        <w:rPr>
          <w:lang w:val="en-AU"/>
        </w:rPr>
        <w:t>e</w:t>
      </w:r>
      <w:r w:rsidR="007F7A31">
        <w:rPr>
          <w:lang w:val="en-AU"/>
        </w:rPr>
        <w:t>:</w:t>
      </w:r>
    </w:p>
    <w:p w14:paraId="17ED2B56" w14:textId="0A3CE5F4" w:rsidR="007F7A31" w:rsidRPr="007F7A31" w:rsidRDefault="007F7A31" w:rsidP="007F7A31">
      <w:pPr>
        <w:pStyle w:val="ListParagraph"/>
        <w:numPr>
          <w:ilvl w:val="0"/>
          <w:numId w:val="12"/>
        </w:numPr>
        <w:rPr>
          <w:color w:val="000000"/>
          <w:lang w:eastAsia="en-AU"/>
        </w:rPr>
      </w:pPr>
      <w:r w:rsidRPr="007F7A31">
        <w:rPr>
          <w:color w:val="000000"/>
          <w:lang w:eastAsia="en-AU"/>
        </w:rPr>
        <w:t>CPP41110 Certificate IV in Home Sustainability Assessment</w:t>
      </w:r>
      <w:r>
        <w:rPr>
          <w:color w:val="000000"/>
          <w:lang w:eastAsia="en-AU"/>
        </w:rPr>
        <w:t xml:space="preserve">, and the </w:t>
      </w:r>
      <w:r w:rsidRPr="007F7A31">
        <w:rPr>
          <w:color w:val="000000"/>
          <w:lang w:eastAsia="en-AU"/>
        </w:rPr>
        <w:t xml:space="preserve"> </w:t>
      </w:r>
    </w:p>
    <w:p w14:paraId="20CFCD94" w14:textId="0F0D46D4" w:rsidR="00955B81" w:rsidRPr="00955B81" w:rsidRDefault="007F7A31" w:rsidP="00955B81">
      <w:pPr>
        <w:pStyle w:val="ListParagraph"/>
        <w:numPr>
          <w:ilvl w:val="0"/>
          <w:numId w:val="12"/>
        </w:numPr>
        <w:rPr>
          <w:color w:val="000000" w:themeColor="text1"/>
        </w:rPr>
      </w:pPr>
      <w:r w:rsidRPr="007F7A31">
        <w:rPr>
          <w:color w:val="000000"/>
          <w:lang w:eastAsia="en-AU"/>
        </w:rPr>
        <w:t xml:space="preserve">CPP41212 Certificate IV in </w:t>
      </w:r>
      <w:proofErr w:type="spellStart"/>
      <w:r w:rsidRPr="007F7A31">
        <w:rPr>
          <w:color w:val="000000"/>
          <w:lang w:eastAsia="en-AU"/>
        </w:rPr>
        <w:t>NatHERS</w:t>
      </w:r>
      <w:proofErr w:type="spellEnd"/>
      <w:r w:rsidRPr="007F7A31">
        <w:rPr>
          <w:color w:val="000000"/>
          <w:lang w:eastAsia="en-AU"/>
        </w:rPr>
        <w:t xml:space="preserve"> Assessment</w:t>
      </w:r>
      <w:r w:rsidR="00955B81">
        <w:rPr>
          <w:color w:val="000000"/>
          <w:lang w:eastAsia="en-AU"/>
        </w:rPr>
        <w:t>, and</w:t>
      </w:r>
    </w:p>
    <w:p w14:paraId="0B62DD6E" w14:textId="21C0FE47" w:rsidR="00955B81" w:rsidRPr="00955B81" w:rsidRDefault="00955B81" w:rsidP="00955B81">
      <w:pPr>
        <w:pStyle w:val="ListParagraph"/>
        <w:numPr>
          <w:ilvl w:val="0"/>
          <w:numId w:val="12"/>
        </w:numPr>
        <w:rPr>
          <w:color w:val="000000" w:themeColor="text1"/>
        </w:rPr>
      </w:pPr>
      <w:r>
        <w:rPr>
          <w:color w:val="000000"/>
          <w:lang w:eastAsia="en-AU"/>
        </w:rPr>
        <w:t xml:space="preserve">25 sector specific units of competency. </w:t>
      </w:r>
    </w:p>
    <w:p w14:paraId="1CC6E26B" w14:textId="77777777" w:rsidR="007F4D78" w:rsidRDefault="007F4D78" w:rsidP="007F4D78">
      <w:pPr>
        <w:rPr>
          <w:color w:val="000000" w:themeColor="text1"/>
        </w:rPr>
      </w:pPr>
    </w:p>
    <w:p w14:paraId="6F838019" w14:textId="6515B9BA" w:rsidR="007F4D78" w:rsidRPr="007F4D78" w:rsidRDefault="007F4D78" w:rsidP="007F4D78">
      <w:pPr>
        <w:rPr>
          <w:rFonts w:cs="Calibri"/>
          <w:szCs w:val="22"/>
        </w:rPr>
      </w:pPr>
      <w:r w:rsidRPr="007F4D78">
        <w:rPr>
          <w:rFonts w:cs="Calibri"/>
          <w:szCs w:val="22"/>
        </w:rPr>
        <w:t>T</w:t>
      </w:r>
      <w:r w:rsidR="00955B81">
        <w:rPr>
          <w:rFonts w:cs="Calibri"/>
          <w:szCs w:val="22"/>
        </w:rPr>
        <w:t>he</w:t>
      </w:r>
      <w:r w:rsidRPr="007F4D78">
        <w:rPr>
          <w:rFonts w:cs="Calibri"/>
          <w:szCs w:val="22"/>
        </w:rPr>
        <w:t xml:space="preserve"> CPP51012 Diploma of Residential Building Energy Assessment</w:t>
      </w:r>
      <w:r>
        <w:rPr>
          <w:rFonts w:cs="Calibri"/>
          <w:szCs w:val="22"/>
        </w:rPr>
        <w:t xml:space="preserve"> </w:t>
      </w:r>
      <w:r w:rsidR="00955B81">
        <w:rPr>
          <w:rFonts w:cs="Calibri"/>
          <w:szCs w:val="22"/>
        </w:rPr>
        <w:t xml:space="preserve">is proposed </w:t>
      </w:r>
      <w:r w:rsidR="008C4317">
        <w:rPr>
          <w:rFonts w:cs="Calibri"/>
          <w:szCs w:val="22"/>
        </w:rPr>
        <w:t>to be</w:t>
      </w:r>
      <w:r w:rsidR="001A66C8">
        <w:rPr>
          <w:rFonts w:cs="Calibri"/>
          <w:szCs w:val="22"/>
        </w:rPr>
        <w:t xml:space="preserve"> removed as no registered training </w:t>
      </w:r>
      <w:proofErr w:type="spellStart"/>
      <w:r w:rsidR="001A66C8">
        <w:rPr>
          <w:rFonts w:cs="Calibri"/>
          <w:szCs w:val="22"/>
        </w:rPr>
        <w:t>organisation</w:t>
      </w:r>
      <w:proofErr w:type="spellEnd"/>
      <w:r w:rsidR="001A66C8">
        <w:rPr>
          <w:rFonts w:cs="Calibri"/>
          <w:szCs w:val="22"/>
        </w:rPr>
        <w:t xml:space="preserve"> (RTO) has it on scope, nor have there ever been any enrolments. </w:t>
      </w:r>
    </w:p>
    <w:p w14:paraId="6DFE8220" w14:textId="5897D072" w:rsidR="007F7A31" w:rsidRPr="007F7A31" w:rsidRDefault="007F7A31" w:rsidP="007F7A31">
      <w:pPr>
        <w:rPr>
          <w:color w:val="000000" w:themeColor="text1"/>
        </w:rPr>
      </w:pPr>
    </w:p>
    <w:p w14:paraId="1AB5C03D" w14:textId="3434572F" w:rsidR="00D84328" w:rsidRDefault="003928B2" w:rsidP="0037611C">
      <w:pPr>
        <w:pStyle w:val="Heading1"/>
      </w:pPr>
      <w:bookmarkStart w:id="0" w:name="_Toc475695374"/>
      <w:bookmarkStart w:id="1" w:name="_Toc475695482"/>
      <w:bookmarkStart w:id="2" w:name="_Toc475972867"/>
      <w:bookmarkStart w:id="3" w:name="_Toc475972963"/>
      <w:bookmarkStart w:id="4" w:name="_Toc482092938"/>
      <w:bookmarkStart w:id="5" w:name="_Toc485194391"/>
      <w:bookmarkStart w:id="6" w:name="_Toc497142357"/>
      <w:bookmarkStart w:id="7" w:name="_Toc498336450"/>
      <w:bookmarkStart w:id="8" w:name="_Toc522023262"/>
      <w:r w:rsidRPr="004763B0">
        <w:t xml:space="preserve">Project </w:t>
      </w:r>
      <w:r w:rsidR="00D84328" w:rsidRPr="004763B0">
        <w:t>Summary</w:t>
      </w:r>
    </w:p>
    <w:p w14:paraId="3A892EBB" w14:textId="77777777" w:rsidR="004A25CB" w:rsidRDefault="004A25CB" w:rsidP="004A25CB">
      <w:pPr>
        <w:rPr>
          <w:rFonts w:asciiTheme="minorHAnsi" w:hAnsiTheme="minorHAnsi" w:cstheme="minorHAnsi"/>
          <w:szCs w:val="22"/>
        </w:rPr>
      </w:pPr>
      <w:r>
        <w:rPr>
          <w:rFonts w:asciiTheme="minorHAnsi" w:hAnsiTheme="minorHAnsi" w:cstheme="minorHAnsi"/>
          <w:szCs w:val="22"/>
        </w:rPr>
        <w:t>An integrated qualification is proposed, the Certificate IV in Home Energy Efficiency and Sustainability.</w:t>
      </w:r>
    </w:p>
    <w:p w14:paraId="3BD28C08" w14:textId="77777777" w:rsidR="004A25CB" w:rsidRDefault="004A25CB" w:rsidP="004A25CB">
      <w:pPr>
        <w:rPr>
          <w:rFonts w:asciiTheme="minorHAnsi" w:hAnsiTheme="minorHAnsi" w:cstheme="minorHAnsi"/>
          <w:szCs w:val="22"/>
        </w:rPr>
      </w:pPr>
      <w:r>
        <w:rPr>
          <w:rFonts w:asciiTheme="minorHAnsi" w:hAnsiTheme="minorHAnsi" w:cstheme="minorHAnsi"/>
          <w:szCs w:val="22"/>
        </w:rPr>
        <w:t xml:space="preserve">The packaging rules support </w:t>
      </w:r>
      <w:proofErr w:type="spellStart"/>
      <w:r>
        <w:rPr>
          <w:rFonts w:asciiTheme="minorHAnsi" w:hAnsiTheme="minorHAnsi" w:cstheme="minorHAnsi"/>
          <w:szCs w:val="22"/>
        </w:rPr>
        <w:t>specialisations</w:t>
      </w:r>
      <w:proofErr w:type="spellEnd"/>
      <w:r>
        <w:rPr>
          <w:rFonts w:asciiTheme="minorHAnsi" w:hAnsiTheme="minorHAnsi" w:cstheme="minorHAnsi"/>
          <w:szCs w:val="22"/>
        </w:rPr>
        <w:t xml:space="preserve"> in either thermal performance assessment, home sustainability assessment, or both. </w:t>
      </w:r>
    </w:p>
    <w:p w14:paraId="57017C64" w14:textId="2D22C671" w:rsidR="004A25CB" w:rsidRPr="004A25CB" w:rsidRDefault="004A25CB" w:rsidP="004A25CB">
      <w:pPr>
        <w:rPr>
          <w:lang w:val="en-AU"/>
        </w:rPr>
      </w:pPr>
      <w:bookmarkStart w:id="9" w:name="_GoBack"/>
      <w:bookmarkEnd w:id="9"/>
    </w:p>
    <w:bookmarkEnd w:id="0"/>
    <w:bookmarkEnd w:id="1"/>
    <w:bookmarkEnd w:id="2"/>
    <w:bookmarkEnd w:id="3"/>
    <w:bookmarkEnd w:id="4"/>
    <w:bookmarkEnd w:id="5"/>
    <w:bookmarkEnd w:id="6"/>
    <w:bookmarkEnd w:id="7"/>
    <w:bookmarkEnd w:id="8"/>
    <w:p w14:paraId="397958B9" w14:textId="77777777" w:rsidR="008C4317" w:rsidRPr="008C4317" w:rsidRDefault="008C4317" w:rsidP="008C4317">
      <w:pPr>
        <w:shd w:val="clear" w:color="auto" w:fill="FFFFFF"/>
        <w:rPr>
          <w:rFonts w:asciiTheme="minorHAnsi" w:hAnsiTheme="minorHAnsi" w:cstheme="minorHAnsi"/>
          <w:color w:val="191919"/>
          <w:szCs w:val="22"/>
          <w:lang w:val="en-AU" w:eastAsia="en-AU"/>
        </w:rPr>
      </w:pPr>
      <w:r w:rsidRPr="008C4317">
        <w:rPr>
          <w:rFonts w:asciiTheme="minorHAnsi" w:hAnsiTheme="minorHAnsi" w:cstheme="minorHAnsi"/>
          <w:color w:val="191919"/>
          <w:szCs w:val="22"/>
          <w:lang w:val="en-AU" w:eastAsia="en-AU"/>
        </w:rPr>
        <w:t xml:space="preserve">The processes supporting the review of the CPP41212 Certificate IV in </w:t>
      </w:r>
      <w:proofErr w:type="spellStart"/>
      <w:r w:rsidRPr="008C4317">
        <w:rPr>
          <w:rFonts w:asciiTheme="minorHAnsi" w:hAnsiTheme="minorHAnsi" w:cstheme="minorHAnsi"/>
          <w:color w:val="191919"/>
          <w:szCs w:val="22"/>
          <w:lang w:val="en-AU" w:eastAsia="en-AU"/>
        </w:rPr>
        <w:t>NatHERS</w:t>
      </w:r>
      <w:proofErr w:type="spellEnd"/>
      <w:r w:rsidRPr="008C4317">
        <w:rPr>
          <w:rFonts w:asciiTheme="minorHAnsi" w:hAnsiTheme="minorHAnsi" w:cstheme="minorHAnsi"/>
          <w:color w:val="191919"/>
          <w:szCs w:val="22"/>
          <w:lang w:val="en-AU" w:eastAsia="en-AU"/>
        </w:rPr>
        <w:t xml:space="preserve"> Assessment and the CPP41110 Certificate IV in Home Sustainability Assessment involved:</w:t>
      </w:r>
    </w:p>
    <w:p w14:paraId="7F4D9250" w14:textId="77777777" w:rsidR="008C4317" w:rsidRPr="00444D57" w:rsidRDefault="008C4317" w:rsidP="00444D57">
      <w:pPr>
        <w:pStyle w:val="ListParagraph"/>
        <w:numPr>
          <w:ilvl w:val="0"/>
          <w:numId w:val="16"/>
        </w:numPr>
        <w:shd w:val="clear" w:color="auto" w:fill="FFFFFF"/>
        <w:rPr>
          <w:rFonts w:asciiTheme="minorHAnsi" w:hAnsiTheme="minorHAnsi" w:cstheme="minorHAnsi"/>
          <w:color w:val="191919"/>
          <w:szCs w:val="22"/>
          <w:lang w:val="en-AU" w:eastAsia="en-AU"/>
        </w:rPr>
      </w:pPr>
      <w:r w:rsidRPr="00444D57">
        <w:rPr>
          <w:rFonts w:asciiTheme="minorHAnsi" w:hAnsiTheme="minorHAnsi" w:cstheme="minorHAnsi"/>
          <w:color w:val="191919"/>
          <w:szCs w:val="22"/>
          <w:lang w:val="en-AU" w:eastAsia="en-AU"/>
        </w:rPr>
        <w:t>an initial desktop audit of the units and qualifications</w:t>
      </w:r>
    </w:p>
    <w:p w14:paraId="152EBDA4" w14:textId="2FCF8F55" w:rsidR="008C4317" w:rsidRPr="00444D57" w:rsidRDefault="008C4317" w:rsidP="00444D57">
      <w:pPr>
        <w:pStyle w:val="ListParagraph"/>
        <w:numPr>
          <w:ilvl w:val="0"/>
          <w:numId w:val="16"/>
        </w:numPr>
        <w:shd w:val="clear" w:color="auto" w:fill="FFFFFF"/>
        <w:rPr>
          <w:rFonts w:asciiTheme="minorHAnsi" w:hAnsiTheme="minorHAnsi" w:cstheme="minorHAnsi"/>
          <w:szCs w:val="22"/>
          <w:shd w:val="clear" w:color="auto" w:fill="FFFFFF"/>
        </w:rPr>
      </w:pPr>
      <w:r w:rsidRPr="00444D57">
        <w:rPr>
          <w:rFonts w:asciiTheme="minorHAnsi" w:hAnsiTheme="minorHAnsi" w:cstheme="minorHAnsi"/>
          <w:color w:val="191919"/>
          <w:szCs w:val="22"/>
          <w:lang w:val="en-AU" w:eastAsia="en-AU"/>
        </w:rPr>
        <w:t xml:space="preserve">the formation of a technical advisory group </w:t>
      </w:r>
      <w:r w:rsidR="00444D57" w:rsidRPr="00444D57">
        <w:rPr>
          <w:rFonts w:asciiTheme="minorHAnsi" w:hAnsiTheme="minorHAnsi" w:cstheme="minorHAnsi"/>
          <w:color w:val="191919"/>
          <w:szCs w:val="22"/>
          <w:lang w:val="en-AU" w:eastAsia="en-AU"/>
        </w:rPr>
        <w:t xml:space="preserve">(TAG) comprising </w:t>
      </w:r>
      <w:r w:rsidR="00444D57" w:rsidRPr="00444D57">
        <w:rPr>
          <w:rFonts w:asciiTheme="minorHAnsi" w:hAnsiTheme="minorHAnsi" w:cstheme="minorHAnsi"/>
          <w:szCs w:val="22"/>
          <w:shd w:val="clear" w:color="auto" w:fill="FFFFFF"/>
        </w:rPr>
        <w:t xml:space="preserve">industry practitioners and representation from the national </w:t>
      </w:r>
      <w:proofErr w:type="spellStart"/>
      <w:r w:rsidR="00444D57" w:rsidRPr="00444D57">
        <w:rPr>
          <w:rFonts w:asciiTheme="minorHAnsi" w:hAnsiTheme="minorHAnsi" w:cstheme="minorHAnsi"/>
          <w:szCs w:val="22"/>
          <w:shd w:val="clear" w:color="auto" w:fill="FFFFFF"/>
        </w:rPr>
        <w:t>NatHERS</w:t>
      </w:r>
      <w:proofErr w:type="spellEnd"/>
      <w:r w:rsidR="00444D57" w:rsidRPr="00444D57">
        <w:rPr>
          <w:rFonts w:asciiTheme="minorHAnsi" w:hAnsiTheme="minorHAnsi" w:cstheme="minorHAnsi"/>
          <w:szCs w:val="22"/>
          <w:shd w:val="clear" w:color="auto" w:fill="FFFFFF"/>
        </w:rPr>
        <w:t xml:space="preserve"> Administrator, </w:t>
      </w:r>
      <w:proofErr w:type="spellStart"/>
      <w:r w:rsidR="00444D57" w:rsidRPr="00444D57">
        <w:rPr>
          <w:rFonts w:asciiTheme="minorHAnsi" w:hAnsiTheme="minorHAnsi" w:cstheme="minorHAnsi"/>
          <w:szCs w:val="22"/>
          <w:shd w:val="clear" w:color="auto" w:fill="FFFFFF"/>
        </w:rPr>
        <w:t>NatHERS</w:t>
      </w:r>
      <w:proofErr w:type="spellEnd"/>
      <w:r w:rsidR="00444D57" w:rsidRPr="00444D57">
        <w:rPr>
          <w:rFonts w:asciiTheme="minorHAnsi" w:hAnsiTheme="minorHAnsi" w:cstheme="minorHAnsi"/>
          <w:szCs w:val="22"/>
          <w:shd w:val="clear" w:color="auto" w:fill="FFFFFF"/>
        </w:rPr>
        <w:t xml:space="preserve"> Assessor Accrediting </w:t>
      </w:r>
      <w:proofErr w:type="spellStart"/>
      <w:r w:rsidR="00444D57" w:rsidRPr="00444D57">
        <w:rPr>
          <w:rFonts w:asciiTheme="minorHAnsi" w:hAnsiTheme="minorHAnsi" w:cstheme="minorHAnsi"/>
          <w:szCs w:val="22"/>
          <w:shd w:val="clear" w:color="auto" w:fill="FFFFFF"/>
        </w:rPr>
        <w:t>Organisations</w:t>
      </w:r>
      <w:proofErr w:type="spellEnd"/>
      <w:r w:rsidR="00444D57" w:rsidRPr="00444D57">
        <w:rPr>
          <w:rFonts w:asciiTheme="minorHAnsi" w:hAnsiTheme="minorHAnsi" w:cstheme="minorHAnsi"/>
          <w:szCs w:val="22"/>
          <w:shd w:val="clear" w:color="auto" w:fill="FFFFFF"/>
        </w:rPr>
        <w:t>, and the Victorian Government’s voluntary home efficiency rating scheme, (Victorian Residential Efficiency Scorecard).</w:t>
      </w:r>
    </w:p>
    <w:p w14:paraId="1400CDF5" w14:textId="390B1653" w:rsidR="008C4317" w:rsidRPr="00444D57" w:rsidRDefault="00444D57" w:rsidP="00444D57">
      <w:pPr>
        <w:pStyle w:val="ListParagraph"/>
        <w:numPr>
          <w:ilvl w:val="0"/>
          <w:numId w:val="16"/>
        </w:numPr>
        <w:rPr>
          <w:rFonts w:asciiTheme="minorHAnsi" w:hAnsiTheme="minorHAnsi" w:cstheme="minorHAnsi"/>
          <w:szCs w:val="22"/>
          <w:shd w:val="clear" w:color="auto" w:fill="FFFFFF"/>
        </w:rPr>
      </w:pPr>
      <w:r w:rsidRPr="00444D57">
        <w:rPr>
          <w:rFonts w:asciiTheme="minorHAnsi" w:hAnsiTheme="minorHAnsi" w:cstheme="minorHAnsi"/>
          <w:szCs w:val="22"/>
          <w:shd w:val="clear" w:color="auto" w:fill="FFFFFF"/>
        </w:rPr>
        <w:t>a</w:t>
      </w:r>
      <w:r w:rsidR="008C4317" w:rsidRPr="00444D57">
        <w:rPr>
          <w:rFonts w:asciiTheme="minorHAnsi" w:hAnsiTheme="minorHAnsi" w:cstheme="minorHAnsi"/>
          <w:szCs w:val="22"/>
          <w:shd w:val="clear" w:color="auto" w:fill="FFFFFF"/>
        </w:rPr>
        <w:t xml:space="preserve">n occupational analysis based on interviews with 11 practitioners in thermal performance assessment and home sustainability assessment was undertaken. The findings were used as a basis for developing the new qualification and updating sector specific units to align with current and emerging work practices. </w:t>
      </w:r>
    </w:p>
    <w:p w14:paraId="4B0EFBC2" w14:textId="79643076" w:rsidR="008C4317" w:rsidRDefault="008C4317" w:rsidP="008C4317">
      <w:pPr>
        <w:rPr>
          <w:rFonts w:asciiTheme="minorHAnsi" w:hAnsiTheme="minorHAnsi" w:cstheme="minorHAnsi"/>
          <w:szCs w:val="22"/>
          <w:shd w:val="clear" w:color="auto" w:fill="FFFFFF"/>
        </w:rPr>
      </w:pPr>
    </w:p>
    <w:p w14:paraId="13A4158E" w14:textId="74367F87" w:rsidR="00444D57" w:rsidRDefault="00444D57" w:rsidP="00444D57">
      <w:pPr>
        <w:rPr>
          <w:rFonts w:asciiTheme="minorHAnsi" w:hAnsiTheme="minorHAnsi" w:cstheme="minorHAnsi"/>
          <w:szCs w:val="22"/>
          <w:shd w:val="clear" w:color="auto" w:fill="FFFFFF"/>
        </w:rPr>
      </w:pPr>
      <w:r>
        <w:rPr>
          <w:rFonts w:asciiTheme="minorHAnsi" w:hAnsiTheme="minorHAnsi" w:cstheme="minorHAnsi"/>
          <w:szCs w:val="22"/>
          <w:shd w:val="clear" w:color="auto" w:fill="FFFFFF"/>
        </w:rPr>
        <w:t>The project was also guided by several key principles underpinning current government reforms to training packages:</w:t>
      </w:r>
    </w:p>
    <w:p w14:paraId="0BDE3D68" w14:textId="77777777" w:rsidR="00444D57" w:rsidRPr="00444D57" w:rsidRDefault="00444D57" w:rsidP="00444D57">
      <w:pPr>
        <w:numPr>
          <w:ilvl w:val="0"/>
          <w:numId w:val="15"/>
        </w:numPr>
        <w:shd w:val="clear" w:color="auto" w:fill="FFFFFF"/>
        <w:tabs>
          <w:tab w:val="clear" w:pos="1800"/>
        </w:tabs>
        <w:ind w:left="360" w:firstLine="66"/>
        <w:rPr>
          <w:rFonts w:asciiTheme="minorHAnsi" w:hAnsiTheme="minorHAnsi" w:cstheme="minorHAnsi"/>
          <w:color w:val="191919"/>
          <w:szCs w:val="22"/>
          <w:lang w:val="en-AU" w:eastAsia="en-AU"/>
        </w:rPr>
      </w:pPr>
      <w:r w:rsidRPr="00444D57">
        <w:rPr>
          <w:rFonts w:asciiTheme="minorHAnsi" w:hAnsiTheme="minorHAnsi" w:cstheme="minorHAnsi"/>
          <w:color w:val="191919"/>
          <w:szCs w:val="22"/>
          <w:lang w:val="en-AU" w:eastAsia="en-AU"/>
        </w:rPr>
        <w:t>remove obsolete and superfluous qualifications from the system</w:t>
      </w:r>
    </w:p>
    <w:p w14:paraId="67E67A59" w14:textId="212D70C3" w:rsidR="00444D57" w:rsidRPr="00444D57" w:rsidRDefault="00444D57" w:rsidP="00444D57">
      <w:pPr>
        <w:numPr>
          <w:ilvl w:val="0"/>
          <w:numId w:val="15"/>
        </w:numPr>
        <w:shd w:val="clear" w:color="auto" w:fill="FFFFFF"/>
        <w:tabs>
          <w:tab w:val="clear" w:pos="1800"/>
        </w:tabs>
        <w:spacing w:before="100" w:beforeAutospacing="1" w:after="100" w:afterAutospacing="1"/>
        <w:ind w:left="360" w:firstLine="66"/>
        <w:rPr>
          <w:rFonts w:asciiTheme="minorHAnsi" w:hAnsiTheme="minorHAnsi" w:cstheme="minorHAnsi"/>
          <w:color w:val="191919"/>
          <w:szCs w:val="22"/>
          <w:lang w:val="en-AU" w:eastAsia="en-AU"/>
        </w:rPr>
      </w:pPr>
      <w:r w:rsidRPr="00444D57">
        <w:rPr>
          <w:rFonts w:asciiTheme="minorHAnsi" w:hAnsiTheme="minorHAnsi" w:cstheme="minorHAnsi"/>
          <w:color w:val="191919"/>
          <w:szCs w:val="22"/>
          <w:lang w:val="en-AU" w:eastAsia="en-AU"/>
        </w:rPr>
        <w:t>support individuals to move easily from one related occupation to another</w:t>
      </w:r>
      <w:r w:rsidR="00B816E0">
        <w:rPr>
          <w:rFonts w:asciiTheme="minorHAnsi" w:hAnsiTheme="minorHAnsi" w:cstheme="minorHAnsi"/>
          <w:color w:val="191919"/>
          <w:szCs w:val="22"/>
          <w:lang w:val="en-AU" w:eastAsia="en-AU"/>
        </w:rPr>
        <w:t>, and</w:t>
      </w:r>
    </w:p>
    <w:p w14:paraId="0FF091AF" w14:textId="072DF324" w:rsidR="00444D57" w:rsidRPr="00444D57" w:rsidRDefault="00444D57" w:rsidP="00444D57">
      <w:pPr>
        <w:numPr>
          <w:ilvl w:val="0"/>
          <w:numId w:val="15"/>
        </w:numPr>
        <w:shd w:val="clear" w:color="auto" w:fill="FFFFFF"/>
        <w:tabs>
          <w:tab w:val="clear" w:pos="1800"/>
        </w:tabs>
        <w:spacing w:before="100" w:beforeAutospacing="1" w:after="100" w:afterAutospacing="1"/>
        <w:ind w:left="360" w:firstLine="66"/>
        <w:rPr>
          <w:rFonts w:asciiTheme="minorHAnsi" w:hAnsiTheme="minorHAnsi" w:cstheme="minorHAnsi"/>
          <w:color w:val="191919"/>
          <w:szCs w:val="22"/>
          <w:lang w:val="en-AU" w:eastAsia="en-AU"/>
        </w:rPr>
      </w:pPr>
      <w:r w:rsidRPr="00444D57">
        <w:rPr>
          <w:rFonts w:asciiTheme="minorHAnsi" w:hAnsiTheme="minorHAnsi" w:cstheme="minorHAnsi"/>
          <w:color w:val="191919"/>
          <w:szCs w:val="22"/>
          <w:lang w:val="en-AU" w:eastAsia="en-AU"/>
        </w:rPr>
        <w:t>improve the efficiency of the training system at the unit level</w:t>
      </w:r>
      <w:r w:rsidR="00B816E0">
        <w:rPr>
          <w:rFonts w:asciiTheme="minorHAnsi" w:hAnsiTheme="minorHAnsi" w:cstheme="minorHAnsi"/>
          <w:color w:val="191919"/>
          <w:szCs w:val="22"/>
          <w:lang w:val="en-AU" w:eastAsia="en-AU"/>
        </w:rPr>
        <w:t>.</w:t>
      </w:r>
    </w:p>
    <w:p w14:paraId="11F969A6" w14:textId="2BB8CD97" w:rsidR="008C4317" w:rsidRPr="008C4317" w:rsidRDefault="008C4317" w:rsidP="008C4317">
      <w:pPr>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Nine </w:t>
      </w:r>
      <w:r w:rsidRPr="008C4317">
        <w:rPr>
          <w:rFonts w:asciiTheme="minorHAnsi" w:hAnsiTheme="minorHAnsi" w:cstheme="minorHAnsi"/>
          <w:szCs w:val="22"/>
          <w:shd w:val="clear" w:color="auto" w:fill="FFFFFF"/>
        </w:rPr>
        <w:t>TAG meetings were held between November 2017 and May 2019</w:t>
      </w:r>
      <w:r w:rsidR="00C77573">
        <w:rPr>
          <w:rFonts w:asciiTheme="minorHAnsi" w:hAnsiTheme="minorHAnsi" w:cstheme="minorHAnsi"/>
          <w:szCs w:val="22"/>
          <w:shd w:val="clear" w:color="auto" w:fill="FFFFFF"/>
        </w:rPr>
        <w:t xml:space="preserve"> at which the qualification structure and coverage of the thermal performance assessment units were discussed at length.  </w:t>
      </w:r>
    </w:p>
    <w:p w14:paraId="0AEA8F7B" w14:textId="60B59EB3" w:rsidR="001235BD" w:rsidRDefault="001235BD" w:rsidP="004875E3">
      <w:pPr>
        <w:rPr>
          <w:rFonts w:asciiTheme="minorHAnsi" w:hAnsiTheme="minorHAnsi" w:cstheme="minorHAnsi"/>
          <w:szCs w:val="22"/>
        </w:rPr>
      </w:pPr>
    </w:p>
    <w:p w14:paraId="51E2CE07" w14:textId="3D64DA03" w:rsidR="00444D57" w:rsidRPr="00327EE1" w:rsidRDefault="00444D57" w:rsidP="00444D57">
      <w:pPr>
        <w:pStyle w:val="NormalWeb"/>
        <w:shd w:val="clear" w:color="auto" w:fill="FFFFFF"/>
        <w:spacing w:before="0" w:beforeAutospacing="0" w:after="240" w:afterAutospacing="0"/>
        <w:rPr>
          <w:rFonts w:asciiTheme="minorHAnsi" w:hAnsiTheme="minorHAnsi" w:cstheme="minorHAnsi"/>
          <w:color w:val="444444"/>
          <w:sz w:val="22"/>
          <w:szCs w:val="22"/>
        </w:rPr>
      </w:pPr>
      <w:r w:rsidRPr="00327EE1">
        <w:rPr>
          <w:rFonts w:asciiTheme="minorHAnsi" w:hAnsiTheme="minorHAnsi" w:cstheme="minorHAnsi"/>
          <w:color w:val="444444"/>
          <w:sz w:val="22"/>
          <w:szCs w:val="22"/>
        </w:rPr>
        <w:t>In the consultation</w:t>
      </w:r>
      <w:r>
        <w:rPr>
          <w:rFonts w:asciiTheme="minorHAnsi" w:hAnsiTheme="minorHAnsi" w:cstheme="minorHAnsi"/>
          <w:color w:val="444444"/>
          <w:sz w:val="22"/>
          <w:szCs w:val="22"/>
        </w:rPr>
        <w:t xml:space="preserve"> period</w:t>
      </w:r>
      <w:r w:rsidRPr="00327EE1">
        <w:rPr>
          <w:rFonts w:asciiTheme="minorHAnsi" w:hAnsiTheme="minorHAnsi" w:cstheme="minorHAnsi"/>
          <w:color w:val="444444"/>
          <w:sz w:val="22"/>
          <w:szCs w:val="22"/>
        </w:rPr>
        <w:t xml:space="preserve"> </w:t>
      </w:r>
      <w:r w:rsidRPr="00783665">
        <w:rPr>
          <w:rFonts w:asciiTheme="minorHAnsi" w:hAnsiTheme="minorHAnsi" w:cstheme="minorHAnsi"/>
          <w:color w:val="444444"/>
          <w:sz w:val="22"/>
          <w:szCs w:val="22"/>
        </w:rPr>
        <w:t xml:space="preserve">27 February </w:t>
      </w:r>
      <w:r>
        <w:rPr>
          <w:rFonts w:asciiTheme="minorHAnsi" w:hAnsiTheme="minorHAnsi" w:cstheme="minorHAnsi"/>
          <w:color w:val="444444"/>
          <w:sz w:val="22"/>
          <w:szCs w:val="22"/>
        </w:rPr>
        <w:t xml:space="preserve">- </w:t>
      </w:r>
      <w:r w:rsidRPr="00783665">
        <w:rPr>
          <w:rFonts w:asciiTheme="minorHAnsi" w:hAnsiTheme="minorHAnsi" w:cstheme="minorHAnsi"/>
          <w:color w:val="444444"/>
          <w:sz w:val="22"/>
          <w:szCs w:val="22"/>
        </w:rPr>
        <w:t>20 March</w:t>
      </w:r>
      <w:r>
        <w:rPr>
          <w:rFonts w:ascii="Didact Gothic" w:hAnsi="Didact Gothic"/>
          <w:color w:val="191919"/>
          <w:sz w:val="27"/>
          <w:szCs w:val="27"/>
          <w:shd w:val="clear" w:color="auto" w:fill="FFFFFF"/>
        </w:rPr>
        <w:t xml:space="preserve"> </w:t>
      </w:r>
      <w:r w:rsidRPr="00783665">
        <w:rPr>
          <w:rFonts w:asciiTheme="minorHAnsi" w:hAnsiTheme="minorHAnsi" w:cstheme="minorHAnsi"/>
          <w:color w:val="444444"/>
          <w:sz w:val="22"/>
          <w:szCs w:val="22"/>
        </w:rPr>
        <w:t>2019</w:t>
      </w:r>
      <w:r>
        <w:rPr>
          <w:rFonts w:asciiTheme="minorHAnsi" w:hAnsiTheme="minorHAnsi" w:cstheme="minorHAnsi"/>
          <w:color w:val="444444"/>
          <w:sz w:val="22"/>
          <w:szCs w:val="22"/>
        </w:rPr>
        <w:t>,</w:t>
      </w:r>
      <w:r w:rsidRPr="00783665">
        <w:rPr>
          <w:rFonts w:asciiTheme="minorHAnsi" w:hAnsiTheme="minorHAnsi" w:cstheme="minorHAnsi"/>
          <w:color w:val="444444"/>
          <w:sz w:val="22"/>
          <w:szCs w:val="22"/>
        </w:rPr>
        <w:t xml:space="preserve"> </w:t>
      </w:r>
      <w:r w:rsidR="00B816E0">
        <w:rPr>
          <w:rFonts w:asciiTheme="minorHAnsi" w:hAnsiTheme="minorHAnsi" w:cstheme="minorHAnsi"/>
          <w:color w:val="444444"/>
          <w:sz w:val="22"/>
          <w:szCs w:val="22"/>
        </w:rPr>
        <w:t xml:space="preserve">a webinar to provide information on the project was conducted. There were </w:t>
      </w:r>
      <w:r w:rsidR="00B9416A">
        <w:rPr>
          <w:rFonts w:asciiTheme="minorHAnsi" w:hAnsiTheme="minorHAnsi" w:cstheme="minorHAnsi"/>
          <w:color w:val="444444"/>
          <w:sz w:val="22"/>
          <w:szCs w:val="22"/>
        </w:rPr>
        <w:t>54</w:t>
      </w:r>
      <w:r w:rsidR="00B816E0">
        <w:rPr>
          <w:rFonts w:asciiTheme="minorHAnsi" w:hAnsiTheme="minorHAnsi" w:cstheme="minorHAnsi"/>
          <w:color w:val="444444"/>
          <w:sz w:val="22"/>
          <w:szCs w:val="22"/>
        </w:rPr>
        <w:t xml:space="preserve"> participants. A survey on the 12 draft units and integrated qualification had 115 respondents. The feedback </w:t>
      </w:r>
      <w:r w:rsidRPr="00327EE1">
        <w:rPr>
          <w:rFonts w:asciiTheme="minorHAnsi" w:hAnsiTheme="minorHAnsi" w:cstheme="minorHAnsi"/>
          <w:color w:val="444444"/>
          <w:sz w:val="22"/>
          <w:szCs w:val="22"/>
        </w:rPr>
        <w:t xml:space="preserve">has been analysed and considered with assistance from the Technical </w:t>
      </w:r>
      <w:r w:rsidRPr="00327EE1">
        <w:rPr>
          <w:rFonts w:asciiTheme="minorHAnsi" w:hAnsiTheme="minorHAnsi" w:cstheme="minorHAnsi"/>
          <w:color w:val="444444"/>
          <w:sz w:val="22"/>
          <w:szCs w:val="22"/>
        </w:rPr>
        <w:lastRenderedPageBreak/>
        <w:t xml:space="preserve">Advisory Group (TAG). </w:t>
      </w:r>
      <w:r w:rsidR="00B816E0">
        <w:rPr>
          <w:rFonts w:asciiTheme="minorHAnsi" w:hAnsiTheme="minorHAnsi" w:cstheme="minorHAnsi"/>
          <w:color w:val="444444"/>
          <w:sz w:val="22"/>
          <w:szCs w:val="22"/>
        </w:rPr>
        <w:t>T</w:t>
      </w:r>
      <w:r w:rsidRPr="00327EE1">
        <w:rPr>
          <w:rFonts w:asciiTheme="minorHAnsi" w:hAnsiTheme="minorHAnsi" w:cstheme="minorHAnsi"/>
          <w:color w:val="444444"/>
          <w:sz w:val="22"/>
          <w:szCs w:val="22"/>
        </w:rPr>
        <w:t xml:space="preserve">he qualification </w:t>
      </w:r>
      <w:r w:rsidR="00B816E0">
        <w:rPr>
          <w:rFonts w:asciiTheme="minorHAnsi" w:hAnsiTheme="minorHAnsi" w:cstheme="minorHAnsi"/>
          <w:color w:val="444444"/>
          <w:sz w:val="22"/>
          <w:szCs w:val="22"/>
        </w:rPr>
        <w:t xml:space="preserve">received support particularly </w:t>
      </w:r>
      <w:r w:rsidRPr="00327EE1">
        <w:rPr>
          <w:rFonts w:asciiTheme="minorHAnsi" w:hAnsiTheme="minorHAnsi" w:cstheme="minorHAnsi"/>
          <w:color w:val="444444"/>
          <w:sz w:val="22"/>
          <w:szCs w:val="22"/>
        </w:rPr>
        <w:t xml:space="preserve">for the flexibility it provided. It enables candidates to specialise in thermal performance or home sustainability, or both. It was recognised that many practitioners nowadays do both thermal performance and home sustainability assessments. </w:t>
      </w:r>
    </w:p>
    <w:p w14:paraId="0506C7C6" w14:textId="7BB4464B" w:rsidR="00444D57" w:rsidRDefault="00444D57" w:rsidP="00444D57">
      <w:pPr>
        <w:pStyle w:val="NormalWeb"/>
        <w:shd w:val="clear" w:color="auto" w:fill="FFFFFF"/>
        <w:spacing w:before="0" w:beforeAutospacing="0" w:after="240" w:afterAutospacing="0"/>
        <w:rPr>
          <w:rFonts w:asciiTheme="minorHAnsi" w:hAnsiTheme="minorHAnsi" w:cstheme="minorHAnsi"/>
          <w:color w:val="444444"/>
          <w:sz w:val="22"/>
          <w:szCs w:val="22"/>
        </w:rPr>
      </w:pPr>
      <w:r w:rsidRPr="00327EE1">
        <w:rPr>
          <w:rFonts w:asciiTheme="minorHAnsi" w:hAnsiTheme="minorHAnsi" w:cstheme="minorHAnsi"/>
          <w:color w:val="444444"/>
          <w:sz w:val="22"/>
          <w:szCs w:val="22"/>
        </w:rPr>
        <w:t xml:space="preserve">The objections to the integrated qualification seemed to be from practitioners who assumed that they would need to retrain in the new qualification. This is not the case. Other objections were based on concern that candidates for the thermal performance specialisation would be forced to complete home sustainability units. The packaging rules can be applied so that this does not happen. </w:t>
      </w:r>
    </w:p>
    <w:p w14:paraId="7E360C51" w14:textId="77777777" w:rsidR="00B816E0" w:rsidRDefault="00B816E0" w:rsidP="00B816E0">
      <w:pPr>
        <w:pStyle w:val="NormalWeb"/>
        <w:shd w:val="clear" w:color="auto" w:fill="FFFFFF"/>
        <w:spacing w:before="0" w:beforeAutospacing="0" w:after="240" w:afterAutospacing="0"/>
        <w:rPr>
          <w:rFonts w:asciiTheme="minorHAnsi" w:hAnsiTheme="minorHAnsi" w:cstheme="minorHAnsi"/>
          <w:color w:val="444444"/>
          <w:sz w:val="22"/>
          <w:szCs w:val="22"/>
        </w:rPr>
      </w:pPr>
      <w:r>
        <w:rPr>
          <w:rFonts w:asciiTheme="minorHAnsi" w:hAnsiTheme="minorHAnsi" w:cstheme="minorHAnsi"/>
          <w:color w:val="444444"/>
          <w:sz w:val="22"/>
          <w:szCs w:val="22"/>
        </w:rPr>
        <w:t>T</w:t>
      </w:r>
      <w:r w:rsidRPr="00327EE1">
        <w:rPr>
          <w:rFonts w:asciiTheme="minorHAnsi" w:hAnsiTheme="minorHAnsi" w:cstheme="minorHAnsi"/>
          <w:color w:val="444444"/>
          <w:sz w:val="22"/>
          <w:szCs w:val="22"/>
        </w:rPr>
        <w:t>he</w:t>
      </w:r>
      <w:r>
        <w:rPr>
          <w:rFonts w:asciiTheme="minorHAnsi" w:hAnsiTheme="minorHAnsi" w:cstheme="minorHAnsi"/>
          <w:color w:val="444444"/>
          <w:sz w:val="22"/>
          <w:szCs w:val="22"/>
        </w:rPr>
        <w:t xml:space="preserve">re were no objections to the </w:t>
      </w:r>
      <w:r w:rsidRPr="00327EE1">
        <w:rPr>
          <w:rFonts w:asciiTheme="minorHAnsi" w:hAnsiTheme="minorHAnsi" w:cstheme="minorHAnsi"/>
          <w:color w:val="444444"/>
          <w:sz w:val="22"/>
          <w:szCs w:val="22"/>
        </w:rPr>
        <w:t>propos</w:t>
      </w:r>
      <w:r>
        <w:rPr>
          <w:rFonts w:asciiTheme="minorHAnsi" w:hAnsiTheme="minorHAnsi" w:cstheme="minorHAnsi"/>
          <w:color w:val="444444"/>
          <w:sz w:val="22"/>
          <w:szCs w:val="22"/>
        </w:rPr>
        <w:t xml:space="preserve">al that the Diploma of Residential Building Energy Assessment would lapse as no RTO has had it on scope and there have never been any enrolments. The limited feedback received on the proposed deletion of 13 units was in favour as duplication across units was reduced. </w:t>
      </w:r>
    </w:p>
    <w:p w14:paraId="706FE384" w14:textId="691F3613" w:rsidR="00B816E0" w:rsidRPr="00327EE1" w:rsidRDefault="00B816E0" w:rsidP="00B816E0">
      <w:pPr>
        <w:pStyle w:val="NormalWeb"/>
        <w:shd w:val="clear" w:color="auto" w:fill="FFFFFF"/>
        <w:spacing w:before="0" w:beforeAutospacing="0" w:after="240" w:afterAutospacing="0"/>
        <w:rPr>
          <w:rFonts w:asciiTheme="minorHAnsi" w:hAnsiTheme="minorHAnsi" w:cstheme="minorHAnsi"/>
          <w:color w:val="444444"/>
          <w:sz w:val="22"/>
          <w:szCs w:val="22"/>
        </w:rPr>
      </w:pPr>
      <w:r w:rsidRPr="00327EE1">
        <w:rPr>
          <w:rFonts w:asciiTheme="minorHAnsi" w:hAnsiTheme="minorHAnsi" w:cstheme="minorHAnsi"/>
          <w:color w:val="444444"/>
          <w:sz w:val="22"/>
          <w:szCs w:val="22"/>
        </w:rPr>
        <w:t xml:space="preserve">The </w:t>
      </w:r>
      <w:r>
        <w:rPr>
          <w:rFonts w:asciiTheme="minorHAnsi" w:hAnsiTheme="minorHAnsi" w:cstheme="minorHAnsi"/>
          <w:color w:val="444444"/>
          <w:sz w:val="22"/>
          <w:szCs w:val="22"/>
        </w:rPr>
        <w:t xml:space="preserve">final </w:t>
      </w:r>
      <w:r w:rsidRPr="00327EE1">
        <w:rPr>
          <w:rFonts w:asciiTheme="minorHAnsi" w:hAnsiTheme="minorHAnsi" w:cstheme="minorHAnsi"/>
          <w:color w:val="444444"/>
          <w:sz w:val="22"/>
          <w:szCs w:val="22"/>
        </w:rPr>
        <w:t xml:space="preserve">draft documents </w:t>
      </w:r>
      <w:r>
        <w:rPr>
          <w:rFonts w:asciiTheme="minorHAnsi" w:hAnsiTheme="minorHAnsi" w:cstheme="minorHAnsi"/>
          <w:color w:val="444444"/>
          <w:sz w:val="22"/>
          <w:szCs w:val="22"/>
        </w:rPr>
        <w:t xml:space="preserve">are now </w:t>
      </w:r>
      <w:r w:rsidRPr="00327EE1">
        <w:rPr>
          <w:rFonts w:asciiTheme="minorHAnsi" w:hAnsiTheme="minorHAnsi" w:cstheme="minorHAnsi"/>
          <w:color w:val="444444"/>
          <w:sz w:val="22"/>
          <w:szCs w:val="22"/>
        </w:rPr>
        <w:t xml:space="preserve">available for </w:t>
      </w:r>
      <w:r>
        <w:rPr>
          <w:rFonts w:asciiTheme="minorHAnsi" w:hAnsiTheme="minorHAnsi" w:cstheme="minorHAnsi"/>
          <w:color w:val="444444"/>
          <w:sz w:val="22"/>
          <w:szCs w:val="22"/>
        </w:rPr>
        <w:t xml:space="preserve">comment </w:t>
      </w:r>
      <w:r w:rsidRPr="00327EE1">
        <w:rPr>
          <w:rFonts w:asciiTheme="minorHAnsi" w:hAnsiTheme="minorHAnsi" w:cstheme="minorHAnsi"/>
          <w:color w:val="444444"/>
          <w:sz w:val="22"/>
          <w:szCs w:val="22"/>
        </w:rPr>
        <w:t>and validation</w:t>
      </w:r>
      <w:r>
        <w:rPr>
          <w:rFonts w:asciiTheme="minorHAnsi" w:hAnsiTheme="minorHAnsi" w:cstheme="minorHAnsi"/>
          <w:color w:val="444444"/>
          <w:sz w:val="22"/>
          <w:szCs w:val="22"/>
        </w:rPr>
        <w:t>.</w:t>
      </w:r>
    </w:p>
    <w:p w14:paraId="0F30A876" w14:textId="77777777" w:rsidR="00BE47EE" w:rsidRDefault="00BE47EE" w:rsidP="007C0564">
      <w:pPr>
        <w:rPr>
          <w:b/>
          <w:sz w:val="28"/>
        </w:rPr>
      </w:pPr>
    </w:p>
    <w:p w14:paraId="6ED23F7F" w14:textId="0227432F" w:rsidR="003928B2" w:rsidRPr="005E079F" w:rsidRDefault="00E505E3" w:rsidP="007C0564">
      <w:pPr>
        <w:rPr>
          <w:b/>
          <w:sz w:val="28"/>
        </w:rPr>
      </w:pPr>
      <w:r w:rsidRPr="005E079F">
        <w:rPr>
          <w:b/>
          <w:sz w:val="28"/>
        </w:rPr>
        <w:t>Draft mapping information (</w:t>
      </w:r>
      <w:r w:rsidR="00A7195C">
        <w:rPr>
          <w:b/>
          <w:sz w:val="28"/>
        </w:rPr>
        <w:t xml:space="preserve">as at </w:t>
      </w:r>
      <w:r w:rsidR="004875E3">
        <w:rPr>
          <w:b/>
          <w:sz w:val="28"/>
        </w:rPr>
        <w:t>3</w:t>
      </w:r>
      <w:r w:rsidR="002139A9">
        <w:rPr>
          <w:b/>
          <w:sz w:val="28"/>
        </w:rPr>
        <w:t xml:space="preserve"> </w:t>
      </w:r>
      <w:r w:rsidR="004875E3">
        <w:rPr>
          <w:b/>
          <w:sz w:val="28"/>
        </w:rPr>
        <w:t xml:space="preserve">May </w:t>
      </w:r>
      <w:r w:rsidR="002139A9">
        <w:rPr>
          <w:b/>
          <w:sz w:val="28"/>
        </w:rPr>
        <w:t>2019</w:t>
      </w:r>
      <w:r w:rsidRPr="005E079F">
        <w:rPr>
          <w:b/>
          <w:sz w:val="28"/>
        </w:rPr>
        <w:t>)</w:t>
      </w:r>
    </w:p>
    <w:p w14:paraId="34046822" w14:textId="4C376A45" w:rsidR="00E67BF8" w:rsidRPr="00E67BF8" w:rsidRDefault="00E67BF8" w:rsidP="00E67BF8">
      <w:pPr>
        <w:rPr>
          <w:lang w:val="en-AU"/>
        </w:rPr>
      </w:pPr>
    </w:p>
    <w:p w14:paraId="12DAD011" w14:textId="5393E943" w:rsidR="003928B2" w:rsidRPr="0037611C" w:rsidRDefault="003928B2" w:rsidP="003928B2">
      <w:pPr>
        <w:rPr>
          <w:color w:val="2F5496" w:themeColor="accent1" w:themeShade="BF"/>
          <w:sz w:val="28"/>
        </w:rPr>
      </w:pPr>
      <w:bookmarkStart w:id="10" w:name="_Toc497142359"/>
      <w:bookmarkStart w:id="11" w:name="_Toc498336451"/>
      <w:r w:rsidRPr="0037611C">
        <w:rPr>
          <w:color w:val="2F5496" w:themeColor="accent1" w:themeShade="BF"/>
          <w:sz w:val="28"/>
        </w:rPr>
        <w:t>Qualification mapping</w:t>
      </w:r>
      <w:bookmarkEnd w:id="10"/>
      <w:bookmarkEnd w:id="11"/>
    </w:p>
    <w:p w14:paraId="6C689816" w14:textId="77777777" w:rsidR="00E505E3" w:rsidRPr="00716C59" w:rsidRDefault="00E505E3" w:rsidP="003928B2">
      <w:pPr>
        <w:rPr>
          <w:b/>
          <w:color w:val="3B3838" w:themeColor="background2" w:themeShade="40"/>
          <w:sz w:val="24"/>
        </w:rPr>
      </w:pPr>
    </w:p>
    <w:tbl>
      <w:tblPr>
        <w:tblStyle w:val="TableGridLight1"/>
        <w:tblW w:w="9634" w:type="dxa"/>
        <w:tblLook w:val="04A0" w:firstRow="1" w:lastRow="0" w:firstColumn="1" w:lastColumn="0" w:noHBand="0" w:noVBand="1"/>
      </w:tblPr>
      <w:tblGrid>
        <w:gridCol w:w="2405"/>
        <w:gridCol w:w="2693"/>
        <w:gridCol w:w="3119"/>
        <w:gridCol w:w="1417"/>
      </w:tblGrid>
      <w:tr w:rsidR="003928B2" w14:paraId="14C441C2" w14:textId="77777777" w:rsidTr="00AC05B3">
        <w:tc>
          <w:tcPr>
            <w:tcW w:w="2405" w:type="dxa"/>
            <w:vAlign w:val="center"/>
          </w:tcPr>
          <w:p w14:paraId="6F6CE96D" w14:textId="65151643" w:rsidR="003928B2" w:rsidRPr="006F060B" w:rsidRDefault="006104F5" w:rsidP="00E505E3">
            <w:pPr>
              <w:rPr>
                <w:b/>
              </w:rPr>
            </w:pPr>
            <w:r>
              <w:rPr>
                <w:b/>
              </w:rPr>
              <w:t>CPC Construction, Plumbing and Services</w:t>
            </w:r>
            <w:r w:rsidR="003928B2" w:rsidRPr="006F060B">
              <w:rPr>
                <w:b/>
              </w:rPr>
              <w:t xml:space="preserve"> Training Package</w:t>
            </w:r>
          </w:p>
        </w:tc>
        <w:tc>
          <w:tcPr>
            <w:tcW w:w="2693" w:type="dxa"/>
            <w:vAlign w:val="center"/>
          </w:tcPr>
          <w:p w14:paraId="4043DEDA" w14:textId="4EA9F502" w:rsidR="003928B2" w:rsidRPr="006F060B" w:rsidRDefault="006104F5" w:rsidP="00E505E3">
            <w:pPr>
              <w:rPr>
                <w:b/>
              </w:rPr>
            </w:pPr>
            <w:r>
              <w:rPr>
                <w:b/>
              </w:rPr>
              <w:t>CPC0</w:t>
            </w:r>
            <w:r w:rsidR="007768A7">
              <w:rPr>
                <w:b/>
              </w:rPr>
              <w:t>8</w:t>
            </w:r>
            <w:r>
              <w:rPr>
                <w:b/>
              </w:rPr>
              <w:t xml:space="preserve"> Construction, Plumbing and Services</w:t>
            </w:r>
            <w:r w:rsidRPr="006F060B">
              <w:rPr>
                <w:b/>
              </w:rPr>
              <w:t xml:space="preserve"> Training Package</w:t>
            </w:r>
          </w:p>
        </w:tc>
        <w:tc>
          <w:tcPr>
            <w:tcW w:w="3119" w:type="dxa"/>
            <w:vAlign w:val="center"/>
          </w:tcPr>
          <w:p w14:paraId="06C92C89" w14:textId="77777777" w:rsidR="003928B2" w:rsidRPr="006F060B" w:rsidRDefault="003928B2" w:rsidP="00E505E3">
            <w:pPr>
              <w:rPr>
                <w:b/>
              </w:rPr>
            </w:pPr>
            <w:r w:rsidRPr="006F060B">
              <w:rPr>
                <w:b/>
              </w:rPr>
              <w:t>Comments</w:t>
            </w:r>
          </w:p>
        </w:tc>
        <w:tc>
          <w:tcPr>
            <w:tcW w:w="1417" w:type="dxa"/>
            <w:vAlign w:val="center"/>
          </w:tcPr>
          <w:p w14:paraId="6EBE475A" w14:textId="28E6F7D5" w:rsidR="003928B2" w:rsidRPr="006F060B" w:rsidRDefault="00A7195C" w:rsidP="00E505E3">
            <w:pPr>
              <w:rPr>
                <w:b/>
              </w:rPr>
            </w:pPr>
            <w:r>
              <w:rPr>
                <w:b/>
              </w:rPr>
              <w:t xml:space="preserve">Anticipated </w:t>
            </w:r>
            <w:r w:rsidR="003928B2" w:rsidRPr="006F060B">
              <w:rPr>
                <w:b/>
              </w:rPr>
              <w:t>Equivalent statement</w:t>
            </w:r>
          </w:p>
        </w:tc>
      </w:tr>
      <w:tr w:rsidR="003928B2" w14:paraId="5612D5FA" w14:textId="77777777" w:rsidTr="00AC05B3">
        <w:tc>
          <w:tcPr>
            <w:tcW w:w="2405" w:type="dxa"/>
            <w:vAlign w:val="center"/>
          </w:tcPr>
          <w:p w14:paraId="481B5EE8" w14:textId="2C70B7BA" w:rsidR="003928B2" w:rsidRPr="006104F5" w:rsidRDefault="00A93EB8" w:rsidP="00E505E3">
            <w:pPr>
              <w:rPr>
                <w:rFonts w:eastAsia="Times New Roman"/>
                <w:lang w:eastAsia="en-AU"/>
              </w:rPr>
            </w:pPr>
            <w:r>
              <w:rPr>
                <w:rFonts w:eastAsia="Times New Roman"/>
                <w:lang w:eastAsia="en-AU"/>
              </w:rPr>
              <w:t xml:space="preserve">CPP41119 Certificate IV in Home Energy Efficiency and Sustainability </w:t>
            </w:r>
          </w:p>
        </w:tc>
        <w:tc>
          <w:tcPr>
            <w:tcW w:w="2693" w:type="dxa"/>
            <w:vAlign w:val="center"/>
          </w:tcPr>
          <w:p w14:paraId="094169F3" w14:textId="381C5FFA" w:rsidR="003928B2" w:rsidRDefault="00A93EB8" w:rsidP="00A93EB8">
            <w:pPr>
              <w:spacing w:before="40" w:after="40"/>
              <w:rPr>
                <w:rFonts w:asciiTheme="minorHAnsi" w:hAnsiTheme="minorHAnsi" w:cstheme="minorHAnsi"/>
                <w:szCs w:val="22"/>
                <w:shd w:val="clear" w:color="auto" w:fill="FFFFFF"/>
              </w:rPr>
            </w:pPr>
            <w:r w:rsidRPr="00A93EB8">
              <w:rPr>
                <w:rFonts w:asciiTheme="minorHAnsi" w:hAnsiTheme="minorHAnsi" w:cstheme="minorHAnsi"/>
                <w:szCs w:val="22"/>
                <w:shd w:val="clear" w:color="auto" w:fill="FFFFFF"/>
              </w:rPr>
              <w:t>CPP41110 Certificate IV in Home Sustainability Assessment</w:t>
            </w:r>
          </w:p>
          <w:p w14:paraId="339AC713" w14:textId="77777777" w:rsidR="00A93EB8" w:rsidRPr="00A93EB8" w:rsidRDefault="00A93EB8" w:rsidP="00A93EB8">
            <w:pPr>
              <w:spacing w:before="40" w:after="40"/>
              <w:rPr>
                <w:rFonts w:asciiTheme="minorHAnsi" w:hAnsiTheme="minorHAnsi" w:cstheme="minorHAnsi"/>
                <w:szCs w:val="22"/>
                <w:shd w:val="clear" w:color="auto" w:fill="FFFFFF"/>
              </w:rPr>
            </w:pPr>
          </w:p>
          <w:p w14:paraId="5D14C34B" w14:textId="54028B40" w:rsidR="00A93EB8" w:rsidRPr="00A93EB8" w:rsidRDefault="00A93EB8" w:rsidP="00A93EB8">
            <w:pPr>
              <w:spacing w:before="40" w:after="40"/>
              <w:rPr>
                <w:rFonts w:asciiTheme="minorHAnsi" w:hAnsiTheme="minorHAnsi" w:cstheme="minorHAnsi"/>
                <w:szCs w:val="22"/>
                <w:shd w:val="clear" w:color="auto" w:fill="FFFFFF"/>
              </w:rPr>
            </w:pPr>
            <w:r w:rsidRPr="00A93EB8">
              <w:rPr>
                <w:rFonts w:asciiTheme="minorHAnsi" w:hAnsiTheme="minorHAnsi" w:cstheme="minorHAnsi"/>
                <w:szCs w:val="22"/>
                <w:shd w:val="clear" w:color="auto" w:fill="FFFFFF"/>
              </w:rPr>
              <w:t xml:space="preserve">CPP41212Certificate IV in </w:t>
            </w:r>
            <w:proofErr w:type="spellStart"/>
            <w:r w:rsidRPr="00A93EB8">
              <w:rPr>
                <w:rFonts w:asciiTheme="minorHAnsi" w:hAnsiTheme="minorHAnsi" w:cstheme="minorHAnsi"/>
                <w:szCs w:val="22"/>
                <w:shd w:val="clear" w:color="auto" w:fill="FFFFFF"/>
              </w:rPr>
              <w:t>NatHERS</w:t>
            </w:r>
            <w:proofErr w:type="spellEnd"/>
            <w:r w:rsidRPr="00A93EB8">
              <w:rPr>
                <w:rFonts w:asciiTheme="minorHAnsi" w:hAnsiTheme="minorHAnsi" w:cstheme="minorHAnsi"/>
                <w:szCs w:val="22"/>
                <w:shd w:val="clear" w:color="auto" w:fill="FFFFFF"/>
              </w:rPr>
              <w:t xml:space="preserve"> Assessment</w:t>
            </w:r>
          </w:p>
        </w:tc>
        <w:tc>
          <w:tcPr>
            <w:tcW w:w="3119" w:type="dxa"/>
            <w:vAlign w:val="center"/>
          </w:tcPr>
          <w:p w14:paraId="5CA747E5" w14:textId="77777777" w:rsidR="0057346B" w:rsidRDefault="00A93EB8" w:rsidP="00A93EB8">
            <w:pPr>
              <w:spacing w:before="40" w:after="40"/>
              <w:rPr>
                <w:rFonts w:asciiTheme="minorHAnsi" w:hAnsiTheme="minorHAnsi" w:cstheme="minorHAnsi"/>
                <w:szCs w:val="22"/>
                <w:shd w:val="clear" w:color="auto" w:fill="FFFFFF"/>
              </w:rPr>
            </w:pPr>
            <w:r w:rsidRPr="00A93EB8">
              <w:rPr>
                <w:rFonts w:asciiTheme="minorHAnsi" w:hAnsiTheme="minorHAnsi" w:cstheme="minorHAnsi"/>
                <w:szCs w:val="22"/>
                <w:shd w:val="clear" w:color="auto" w:fill="FFFFFF"/>
              </w:rPr>
              <w:t xml:space="preserve">Supersedes and is equivalent to </w:t>
            </w:r>
          </w:p>
          <w:p w14:paraId="028A03F0" w14:textId="187DF8BB" w:rsidR="00A93EB8" w:rsidRDefault="00A93EB8" w:rsidP="00A93EB8">
            <w:pPr>
              <w:spacing w:before="40" w:after="40"/>
              <w:rPr>
                <w:rFonts w:asciiTheme="minorHAnsi" w:hAnsiTheme="minorHAnsi" w:cstheme="minorHAnsi"/>
                <w:szCs w:val="22"/>
                <w:shd w:val="clear" w:color="auto" w:fill="FFFFFF"/>
              </w:rPr>
            </w:pPr>
            <w:r w:rsidRPr="00A93EB8">
              <w:rPr>
                <w:rFonts w:asciiTheme="minorHAnsi" w:hAnsiTheme="minorHAnsi" w:cstheme="minorHAnsi"/>
                <w:szCs w:val="22"/>
                <w:shd w:val="clear" w:color="auto" w:fill="FFFFFF"/>
              </w:rPr>
              <w:t xml:space="preserve">CPP41110 Certificate IV in Home Sustainability Assessment and </w:t>
            </w:r>
          </w:p>
          <w:p w14:paraId="00950C5C" w14:textId="54F6C4AE" w:rsidR="003928B2" w:rsidRPr="00A93EB8" w:rsidRDefault="00A93EB8" w:rsidP="00A93EB8">
            <w:pPr>
              <w:spacing w:before="40" w:after="40"/>
              <w:rPr>
                <w:rFonts w:asciiTheme="minorHAnsi" w:hAnsiTheme="minorHAnsi" w:cstheme="minorHAnsi"/>
                <w:szCs w:val="22"/>
                <w:shd w:val="clear" w:color="auto" w:fill="FFFFFF"/>
              </w:rPr>
            </w:pPr>
            <w:r w:rsidRPr="00A93EB8">
              <w:rPr>
                <w:rFonts w:asciiTheme="minorHAnsi" w:hAnsiTheme="minorHAnsi" w:cstheme="minorHAnsi"/>
                <w:szCs w:val="22"/>
                <w:shd w:val="clear" w:color="auto" w:fill="FFFFFF"/>
              </w:rPr>
              <w:t xml:space="preserve">CPP41212 Certificate IV in </w:t>
            </w:r>
            <w:proofErr w:type="spellStart"/>
            <w:r w:rsidRPr="00A93EB8">
              <w:rPr>
                <w:rFonts w:asciiTheme="minorHAnsi" w:hAnsiTheme="minorHAnsi" w:cstheme="minorHAnsi"/>
                <w:szCs w:val="22"/>
                <w:shd w:val="clear" w:color="auto" w:fill="FFFFFF"/>
              </w:rPr>
              <w:t>NatHERS</w:t>
            </w:r>
            <w:proofErr w:type="spellEnd"/>
            <w:r w:rsidRPr="00A93EB8">
              <w:rPr>
                <w:rFonts w:asciiTheme="minorHAnsi" w:hAnsiTheme="minorHAnsi" w:cstheme="minorHAnsi"/>
                <w:szCs w:val="22"/>
                <w:shd w:val="clear" w:color="auto" w:fill="FFFFFF"/>
              </w:rPr>
              <w:t xml:space="preserve"> </w:t>
            </w:r>
            <w:r>
              <w:rPr>
                <w:rFonts w:asciiTheme="minorHAnsi" w:hAnsiTheme="minorHAnsi" w:cstheme="minorHAnsi"/>
                <w:szCs w:val="22"/>
                <w:shd w:val="clear" w:color="auto" w:fill="FFFFFF"/>
              </w:rPr>
              <w:t>A</w:t>
            </w:r>
            <w:r w:rsidRPr="00A93EB8">
              <w:rPr>
                <w:rFonts w:asciiTheme="minorHAnsi" w:hAnsiTheme="minorHAnsi" w:cstheme="minorHAnsi"/>
                <w:szCs w:val="22"/>
                <w:shd w:val="clear" w:color="auto" w:fill="FFFFFF"/>
              </w:rPr>
              <w:t>ssessment</w:t>
            </w:r>
          </w:p>
        </w:tc>
        <w:tc>
          <w:tcPr>
            <w:tcW w:w="1417" w:type="dxa"/>
            <w:vAlign w:val="center"/>
          </w:tcPr>
          <w:p w14:paraId="1048A0AA" w14:textId="77777777" w:rsidR="00383965" w:rsidRDefault="00383965" w:rsidP="00383965">
            <w:pPr>
              <w:rPr>
                <w:rFonts w:eastAsia="Times New Roman"/>
                <w:lang w:eastAsia="en-AU"/>
              </w:rPr>
            </w:pPr>
          </w:p>
          <w:p w14:paraId="34C3021F" w14:textId="69021766" w:rsidR="003928B2" w:rsidRDefault="00383965" w:rsidP="00383965">
            <w:pPr>
              <w:rPr>
                <w:rFonts w:eastAsia="Times New Roman"/>
                <w:lang w:eastAsia="en-AU"/>
              </w:rPr>
            </w:pPr>
            <w:r>
              <w:rPr>
                <w:rFonts w:eastAsia="Times New Roman"/>
                <w:lang w:eastAsia="en-AU"/>
              </w:rPr>
              <w:t>Equivalent</w:t>
            </w:r>
          </w:p>
          <w:p w14:paraId="6C835020" w14:textId="77777777" w:rsidR="00383965" w:rsidRDefault="00383965" w:rsidP="00383965">
            <w:pPr>
              <w:rPr>
                <w:rFonts w:eastAsia="Times New Roman"/>
                <w:lang w:eastAsia="en-AU"/>
              </w:rPr>
            </w:pPr>
          </w:p>
          <w:p w14:paraId="6603F2F8" w14:textId="77777777" w:rsidR="00383965" w:rsidRDefault="00383965" w:rsidP="00383965">
            <w:pPr>
              <w:rPr>
                <w:rFonts w:eastAsia="Times New Roman"/>
                <w:lang w:eastAsia="en-AU"/>
              </w:rPr>
            </w:pPr>
          </w:p>
          <w:p w14:paraId="7E67A3C1" w14:textId="77777777" w:rsidR="00383965" w:rsidRDefault="00383965" w:rsidP="00383965">
            <w:pPr>
              <w:rPr>
                <w:rFonts w:eastAsia="Times New Roman"/>
                <w:lang w:eastAsia="en-AU"/>
              </w:rPr>
            </w:pPr>
          </w:p>
          <w:p w14:paraId="7107DF6A" w14:textId="59E89FC3" w:rsidR="00383965" w:rsidRPr="00C762A3" w:rsidRDefault="00383965" w:rsidP="00383965">
            <w:pPr>
              <w:rPr>
                <w:rFonts w:eastAsia="Times New Roman"/>
                <w:lang w:eastAsia="en-AU"/>
              </w:rPr>
            </w:pPr>
            <w:r>
              <w:rPr>
                <w:rFonts w:eastAsia="Times New Roman"/>
                <w:lang w:eastAsia="en-AU"/>
              </w:rPr>
              <w:t>Equivalent</w:t>
            </w:r>
          </w:p>
        </w:tc>
      </w:tr>
      <w:tr w:rsidR="001A66C8" w14:paraId="6B54BCF5" w14:textId="77777777" w:rsidTr="00AC05B3">
        <w:tc>
          <w:tcPr>
            <w:tcW w:w="2405" w:type="dxa"/>
            <w:vAlign w:val="center"/>
          </w:tcPr>
          <w:p w14:paraId="691A4E1C" w14:textId="77777777" w:rsidR="001A66C8" w:rsidRDefault="001A66C8" w:rsidP="00E505E3">
            <w:pPr>
              <w:rPr>
                <w:lang w:eastAsia="en-AU"/>
              </w:rPr>
            </w:pPr>
          </w:p>
        </w:tc>
        <w:tc>
          <w:tcPr>
            <w:tcW w:w="2693" w:type="dxa"/>
            <w:vAlign w:val="center"/>
          </w:tcPr>
          <w:p w14:paraId="3133853A" w14:textId="0124B302" w:rsidR="001A66C8" w:rsidRPr="00A93EB8" w:rsidRDefault="001A66C8" w:rsidP="00A93EB8">
            <w:pPr>
              <w:spacing w:before="40" w:after="40"/>
              <w:rPr>
                <w:rFonts w:asciiTheme="minorHAnsi" w:hAnsiTheme="minorHAnsi" w:cstheme="minorHAnsi"/>
                <w:szCs w:val="22"/>
                <w:shd w:val="clear" w:color="auto" w:fill="FFFFFF"/>
              </w:rPr>
            </w:pPr>
            <w:r w:rsidRPr="007F4D78">
              <w:rPr>
                <w:rFonts w:cs="Calibri"/>
                <w:szCs w:val="22"/>
              </w:rPr>
              <w:t>CPP51012 Diploma of Residential Building Energy Assessment</w:t>
            </w:r>
          </w:p>
        </w:tc>
        <w:tc>
          <w:tcPr>
            <w:tcW w:w="3119" w:type="dxa"/>
            <w:vAlign w:val="center"/>
          </w:tcPr>
          <w:p w14:paraId="208AE1FB" w14:textId="3D341E8D" w:rsidR="001A66C8" w:rsidRPr="00A93EB8" w:rsidRDefault="001A66C8" w:rsidP="00A93EB8">
            <w:pPr>
              <w:spacing w:before="40" w:after="40"/>
              <w:rPr>
                <w:rFonts w:asciiTheme="minorHAnsi" w:hAnsiTheme="minorHAnsi" w:cstheme="minorHAnsi"/>
                <w:szCs w:val="22"/>
                <w:shd w:val="clear" w:color="auto" w:fill="FFFFFF"/>
              </w:rPr>
            </w:pPr>
            <w:r>
              <w:rPr>
                <w:rFonts w:asciiTheme="minorHAnsi" w:hAnsiTheme="minorHAnsi" w:cstheme="minorHAnsi"/>
                <w:szCs w:val="22"/>
                <w:shd w:val="clear" w:color="auto" w:fill="FFFFFF"/>
              </w:rPr>
              <w:t xml:space="preserve">To be removed as there is no demand. No RTO has it on scope and there have never been any enrolments. </w:t>
            </w:r>
          </w:p>
        </w:tc>
        <w:tc>
          <w:tcPr>
            <w:tcW w:w="1417" w:type="dxa"/>
            <w:vAlign w:val="center"/>
          </w:tcPr>
          <w:p w14:paraId="0B0C20D8" w14:textId="4A7217D0" w:rsidR="001A66C8" w:rsidRDefault="001A66C8" w:rsidP="00E505E3">
            <w:pPr>
              <w:jc w:val="center"/>
              <w:rPr>
                <w:lang w:eastAsia="en-AU"/>
              </w:rPr>
            </w:pPr>
            <w:r>
              <w:rPr>
                <w:lang w:eastAsia="en-AU"/>
              </w:rPr>
              <w:t xml:space="preserve">Removed </w:t>
            </w:r>
          </w:p>
        </w:tc>
      </w:tr>
    </w:tbl>
    <w:p w14:paraId="28DA446B" w14:textId="77777777" w:rsidR="00A133CB" w:rsidRDefault="00A133CB" w:rsidP="003928B2">
      <w:pPr>
        <w:rPr>
          <w:color w:val="2F5496" w:themeColor="accent1" w:themeShade="BF"/>
          <w:sz w:val="28"/>
        </w:rPr>
      </w:pPr>
    </w:p>
    <w:p w14:paraId="7B1856A2" w14:textId="58BB69E4" w:rsidR="003928B2" w:rsidRPr="0037611C" w:rsidRDefault="003928B2" w:rsidP="003928B2">
      <w:pPr>
        <w:rPr>
          <w:color w:val="2F5496" w:themeColor="accent1" w:themeShade="BF"/>
          <w:sz w:val="28"/>
        </w:rPr>
      </w:pPr>
      <w:r w:rsidRPr="0037611C">
        <w:rPr>
          <w:color w:val="2F5496" w:themeColor="accent1" w:themeShade="BF"/>
          <w:sz w:val="28"/>
        </w:rPr>
        <w:t>Units of competency mapping</w:t>
      </w:r>
    </w:p>
    <w:p w14:paraId="3D37F6EB" w14:textId="77777777" w:rsidR="006104F5" w:rsidRPr="00716C59" w:rsidRDefault="006104F5" w:rsidP="003928B2">
      <w:pPr>
        <w:rPr>
          <w:b/>
          <w:color w:val="3B3838" w:themeColor="background2" w:themeShade="40"/>
          <w:sz w:val="24"/>
        </w:rPr>
      </w:pPr>
    </w:p>
    <w:tbl>
      <w:tblPr>
        <w:tblStyle w:val="TableGridLight1"/>
        <w:tblW w:w="5000" w:type="pct"/>
        <w:tblLook w:val="04A0" w:firstRow="1" w:lastRow="0" w:firstColumn="1" w:lastColumn="0" w:noHBand="0" w:noVBand="1"/>
      </w:tblPr>
      <w:tblGrid>
        <w:gridCol w:w="2401"/>
        <w:gridCol w:w="2711"/>
        <w:gridCol w:w="3101"/>
        <w:gridCol w:w="1352"/>
      </w:tblGrid>
      <w:tr w:rsidR="006104F5" w:rsidRPr="00E505E3" w14:paraId="0DD2729F" w14:textId="77777777" w:rsidTr="003A0FBB">
        <w:trPr>
          <w:tblHeader/>
        </w:trPr>
        <w:tc>
          <w:tcPr>
            <w:tcW w:w="1255" w:type="pct"/>
          </w:tcPr>
          <w:p w14:paraId="582C910E" w14:textId="77777777" w:rsidR="006104F5" w:rsidRDefault="006104F5" w:rsidP="006104F5">
            <w:pPr>
              <w:rPr>
                <w:b/>
                <w:szCs w:val="22"/>
              </w:rPr>
            </w:pPr>
            <w:r w:rsidRPr="00E505E3">
              <w:rPr>
                <w:b/>
                <w:szCs w:val="22"/>
              </w:rPr>
              <w:t>CPC Construction, Plumbing and Services Training Package</w:t>
            </w:r>
          </w:p>
          <w:p w14:paraId="6FC06D60" w14:textId="493D8538" w:rsidR="0057346B" w:rsidRPr="00E505E3" w:rsidRDefault="0057346B" w:rsidP="006104F5">
            <w:pPr>
              <w:rPr>
                <w:b/>
                <w:color w:val="000000" w:themeColor="text1"/>
                <w:szCs w:val="22"/>
              </w:rPr>
            </w:pPr>
          </w:p>
        </w:tc>
        <w:tc>
          <w:tcPr>
            <w:tcW w:w="1417" w:type="pct"/>
          </w:tcPr>
          <w:p w14:paraId="4430E4B3" w14:textId="3AEA6ABD" w:rsidR="006104F5" w:rsidRPr="00E505E3" w:rsidRDefault="006104F5" w:rsidP="006104F5">
            <w:pPr>
              <w:spacing w:before="40" w:after="40"/>
              <w:rPr>
                <w:b/>
                <w:color w:val="000000" w:themeColor="text1"/>
                <w:szCs w:val="22"/>
              </w:rPr>
            </w:pPr>
            <w:r w:rsidRPr="00E505E3">
              <w:rPr>
                <w:b/>
                <w:szCs w:val="22"/>
              </w:rPr>
              <w:t>CPC08 Construction, Plumbing and Services Training Package</w:t>
            </w:r>
          </w:p>
        </w:tc>
        <w:tc>
          <w:tcPr>
            <w:tcW w:w="1621" w:type="pct"/>
          </w:tcPr>
          <w:p w14:paraId="22C2855D" w14:textId="77777777" w:rsidR="006104F5" w:rsidRPr="00E505E3" w:rsidRDefault="006104F5" w:rsidP="006104F5">
            <w:pPr>
              <w:spacing w:before="40" w:after="40"/>
              <w:rPr>
                <w:b/>
                <w:color w:val="000000" w:themeColor="text1"/>
                <w:szCs w:val="22"/>
              </w:rPr>
            </w:pPr>
            <w:r w:rsidRPr="00E505E3">
              <w:rPr>
                <w:b/>
                <w:color w:val="000000" w:themeColor="text1"/>
                <w:szCs w:val="22"/>
              </w:rPr>
              <w:t>Comments</w:t>
            </w:r>
          </w:p>
        </w:tc>
        <w:tc>
          <w:tcPr>
            <w:tcW w:w="707" w:type="pct"/>
          </w:tcPr>
          <w:p w14:paraId="1B830E90" w14:textId="60BBD88D" w:rsidR="006104F5" w:rsidRPr="00E505E3" w:rsidRDefault="00A7195C" w:rsidP="006104F5">
            <w:pPr>
              <w:spacing w:before="40" w:after="40"/>
              <w:rPr>
                <w:b/>
                <w:color w:val="000000" w:themeColor="text1"/>
                <w:szCs w:val="22"/>
              </w:rPr>
            </w:pPr>
            <w:r>
              <w:rPr>
                <w:b/>
                <w:color w:val="000000" w:themeColor="text1"/>
                <w:szCs w:val="22"/>
              </w:rPr>
              <w:t xml:space="preserve">Anticipated </w:t>
            </w:r>
            <w:r w:rsidR="006104F5" w:rsidRPr="00E505E3">
              <w:rPr>
                <w:b/>
                <w:color w:val="000000" w:themeColor="text1"/>
                <w:szCs w:val="22"/>
              </w:rPr>
              <w:t>Equivalent statement</w:t>
            </w:r>
          </w:p>
        </w:tc>
      </w:tr>
      <w:tr w:rsidR="00A93EB8" w:rsidRPr="00E505E3" w14:paraId="7DE96016" w14:textId="77777777" w:rsidTr="009B0FC5">
        <w:tc>
          <w:tcPr>
            <w:tcW w:w="1255" w:type="pct"/>
            <w:vAlign w:val="center"/>
          </w:tcPr>
          <w:p w14:paraId="5FCA7714" w14:textId="098DE1BC" w:rsidR="00A93EB8" w:rsidRPr="00A133CB" w:rsidRDefault="00872470" w:rsidP="00A93EB8">
            <w:r>
              <w:t xml:space="preserve">CPPCOM4001 Manage own work, professional development and ethical behavior. </w:t>
            </w:r>
          </w:p>
        </w:tc>
        <w:tc>
          <w:tcPr>
            <w:tcW w:w="1417" w:type="pct"/>
            <w:vAlign w:val="center"/>
          </w:tcPr>
          <w:p w14:paraId="7547112E" w14:textId="2198A98A" w:rsidR="00A93EB8" w:rsidRPr="00D22164" w:rsidRDefault="00A93EB8" w:rsidP="00A93EB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 xml:space="preserve">CPPHSA4018A Manage own work, professional development and ethical </w:t>
            </w:r>
            <w:proofErr w:type="spellStart"/>
            <w:r w:rsidRPr="00D22164">
              <w:rPr>
                <w:rFonts w:asciiTheme="minorHAnsi" w:hAnsiTheme="minorHAnsi" w:cstheme="minorHAnsi"/>
                <w:szCs w:val="22"/>
                <w:shd w:val="clear" w:color="auto" w:fill="FFFFFF"/>
              </w:rPr>
              <w:t>behaviour</w:t>
            </w:r>
            <w:proofErr w:type="spellEnd"/>
          </w:p>
        </w:tc>
        <w:tc>
          <w:tcPr>
            <w:tcW w:w="1621" w:type="pct"/>
          </w:tcPr>
          <w:p w14:paraId="35034B57" w14:textId="77777777" w:rsidR="00872470" w:rsidRDefault="00A93EB8" w:rsidP="00A93EB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Supersedes and equivalent to</w:t>
            </w:r>
            <w:r w:rsidR="00872470">
              <w:rPr>
                <w:rFonts w:asciiTheme="minorHAnsi" w:hAnsiTheme="minorHAnsi" w:cstheme="minorHAnsi"/>
                <w:szCs w:val="22"/>
                <w:shd w:val="clear" w:color="auto" w:fill="FFFFFF"/>
              </w:rPr>
              <w:t>:</w:t>
            </w:r>
          </w:p>
          <w:p w14:paraId="19583A53" w14:textId="352A249D" w:rsidR="00872470" w:rsidRDefault="00A93EB8" w:rsidP="00A93EB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 xml:space="preserve">CPPHSA4006A Manage own work, professional development and ethical </w:t>
            </w:r>
            <w:r w:rsidR="001A66C8">
              <w:rPr>
                <w:rFonts w:asciiTheme="minorHAnsi" w:hAnsiTheme="minorHAnsi" w:cstheme="minorHAnsi"/>
                <w:szCs w:val="22"/>
                <w:shd w:val="clear" w:color="auto" w:fill="FFFFFF"/>
              </w:rPr>
              <w:pgNum/>
            </w:r>
            <w:proofErr w:type="spellStart"/>
            <w:r w:rsidR="001A66C8">
              <w:rPr>
                <w:rFonts w:asciiTheme="minorHAnsi" w:hAnsiTheme="minorHAnsi" w:cstheme="minorHAnsi"/>
                <w:szCs w:val="22"/>
                <w:shd w:val="clear" w:color="auto" w:fill="FFFFFF"/>
              </w:rPr>
              <w:t>ehavior</w:t>
            </w:r>
            <w:proofErr w:type="spellEnd"/>
            <w:r w:rsidRPr="00D22164">
              <w:rPr>
                <w:rFonts w:asciiTheme="minorHAnsi" w:hAnsiTheme="minorHAnsi" w:cstheme="minorHAnsi"/>
                <w:szCs w:val="22"/>
                <w:shd w:val="clear" w:color="auto" w:fill="FFFFFF"/>
              </w:rPr>
              <w:t xml:space="preserve"> as a home sustainability assessor, </w:t>
            </w:r>
          </w:p>
          <w:p w14:paraId="7F565EB9" w14:textId="77777777" w:rsidR="00872470" w:rsidRDefault="00A93EB8" w:rsidP="00A93EB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 xml:space="preserve">and </w:t>
            </w:r>
          </w:p>
          <w:p w14:paraId="78ACDBCF" w14:textId="68C24177" w:rsidR="00A93EB8" w:rsidRDefault="00A93EB8" w:rsidP="00A93EB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 xml:space="preserve">CPPHSA4018A Manage own work, professional </w:t>
            </w:r>
            <w:r w:rsidRPr="00D22164">
              <w:rPr>
                <w:rFonts w:asciiTheme="minorHAnsi" w:hAnsiTheme="minorHAnsi" w:cstheme="minorHAnsi"/>
                <w:szCs w:val="22"/>
                <w:shd w:val="clear" w:color="auto" w:fill="FFFFFF"/>
              </w:rPr>
              <w:lastRenderedPageBreak/>
              <w:t xml:space="preserve">development and ethical </w:t>
            </w:r>
            <w:r>
              <w:rPr>
                <w:rFonts w:asciiTheme="minorHAnsi" w:hAnsiTheme="minorHAnsi" w:cstheme="minorHAnsi"/>
                <w:szCs w:val="22"/>
                <w:shd w:val="clear" w:color="auto" w:fill="FFFFFF"/>
              </w:rPr>
              <w:t>behavior.</w:t>
            </w:r>
          </w:p>
          <w:p w14:paraId="426B0686" w14:textId="0FF2B74D" w:rsidR="00A93EB8" w:rsidRPr="00A73A5F" w:rsidRDefault="00A93EB8" w:rsidP="00A93EB8">
            <w:pPr>
              <w:spacing w:before="40" w:after="40"/>
              <w:rPr>
                <w:rFonts w:cs="Calibri"/>
                <w:szCs w:val="22"/>
                <w:shd w:val="clear" w:color="auto" w:fill="FFFFFF"/>
              </w:rPr>
            </w:pPr>
            <w:r w:rsidRPr="00E505E3">
              <w:rPr>
                <w:color w:val="000000"/>
                <w:szCs w:val="22"/>
                <w:lang w:eastAsia="en-AU"/>
              </w:rPr>
              <w:t>Updated to meet the Standards for Training Packages</w:t>
            </w:r>
            <w:r w:rsidR="00872470">
              <w:rPr>
                <w:color w:val="000000"/>
                <w:szCs w:val="22"/>
                <w:lang w:eastAsia="en-AU"/>
              </w:rPr>
              <w:t>.</w:t>
            </w:r>
          </w:p>
        </w:tc>
        <w:tc>
          <w:tcPr>
            <w:tcW w:w="707" w:type="pct"/>
            <w:vAlign w:val="center"/>
          </w:tcPr>
          <w:p w14:paraId="5DC06104" w14:textId="77777777" w:rsidR="00A93EB8" w:rsidRDefault="006E764F" w:rsidP="00A93EB8">
            <w:pPr>
              <w:spacing w:before="40" w:after="40"/>
              <w:jc w:val="center"/>
              <w:rPr>
                <w:color w:val="000000"/>
                <w:szCs w:val="22"/>
                <w:lang w:eastAsia="en-AU"/>
              </w:rPr>
            </w:pPr>
            <w:r>
              <w:rPr>
                <w:color w:val="000000"/>
                <w:szCs w:val="22"/>
                <w:lang w:eastAsia="en-AU"/>
              </w:rPr>
              <w:lastRenderedPageBreak/>
              <w:t>E</w:t>
            </w:r>
          </w:p>
          <w:p w14:paraId="7184F59B" w14:textId="77777777" w:rsidR="006E764F" w:rsidRDefault="006E764F" w:rsidP="00A93EB8">
            <w:pPr>
              <w:spacing w:before="40" w:after="40"/>
              <w:jc w:val="center"/>
              <w:rPr>
                <w:color w:val="000000"/>
                <w:szCs w:val="22"/>
                <w:lang w:eastAsia="en-AU"/>
              </w:rPr>
            </w:pPr>
          </w:p>
          <w:p w14:paraId="1EE6236A" w14:textId="14CF1EE4" w:rsidR="006E764F" w:rsidRPr="00E505E3" w:rsidRDefault="006E764F" w:rsidP="00A93EB8">
            <w:pPr>
              <w:spacing w:before="40" w:after="40"/>
              <w:jc w:val="center"/>
              <w:rPr>
                <w:color w:val="000000"/>
                <w:szCs w:val="22"/>
                <w:lang w:eastAsia="en-AU"/>
              </w:rPr>
            </w:pPr>
            <w:r>
              <w:rPr>
                <w:color w:val="000000"/>
                <w:szCs w:val="22"/>
                <w:lang w:eastAsia="en-AU"/>
              </w:rPr>
              <w:t>E</w:t>
            </w:r>
          </w:p>
        </w:tc>
      </w:tr>
      <w:tr w:rsidR="00A93EB8" w:rsidRPr="00E505E3" w14:paraId="75FB21DC" w14:textId="77777777" w:rsidTr="00B544C2">
        <w:tc>
          <w:tcPr>
            <w:tcW w:w="1255" w:type="pct"/>
            <w:vAlign w:val="center"/>
          </w:tcPr>
          <w:p w14:paraId="0B5424F5" w14:textId="3BC50B94" w:rsidR="00A93EB8" w:rsidRPr="00A133CB" w:rsidRDefault="00872470" w:rsidP="00A93EB8">
            <w:r>
              <w:t>CPPHES4001 Research and assess impact of building elements on thermal performance of residential buildings.</w:t>
            </w:r>
          </w:p>
        </w:tc>
        <w:tc>
          <w:tcPr>
            <w:tcW w:w="1417" w:type="pct"/>
            <w:vAlign w:val="center"/>
          </w:tcPr>
          <w:p w14:paraId="361A7ABC" w14:textId="10E09840" w:rsidR="00A93EB8" w:rsidRPr="00D22164" w:rsidRDefault="00A93EB8" w:rsidP="00A93EB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CPPHSA4015A Assess impact of building elements on thermal performance of residential buildings</w:t>
            </w:r>
          </w:p>
        </w:tc>
        <w:tc>
          <w:tcPr>
            <w:tcW w:w="1621" w:type="pct"/>
          </w:tcPr>
          <w:p w14:paraId="1063AC45" w14:textId="77777777" w:rsidR="00A93EB8" w:rsidRDefault="00A93EB8" w:rsidP="00A93EB8">
            <w:pPr>
              <w:spacing w:before="40" w:after="40"/>
              <w:rPr>
                <w:rFonts w:asciiTheme="minorHAnsi" w:hAnsiTheme="minorHAnsi" w:cstheme="minorHAnsi"/>
                <w:szCs w:val="22"/>
                <w:shd w:val="clear" w:color="auto" w:fill="FFFFFF"/>
              </w:rPr>
            </w:pPr>
            <w:r w:rsidRPr="00430BA5">
              <w:rPr>
                <w:rFonts w:asciiTheme="minorHAnsi" w:hAnsiTheme="minorHAnsi" w:cstheme="minorHAnsi"/>
                <w:szCs w:val="22"/>
                <w:shd w:val="clear" w:color="auto" w:fill="FFFFFF"/>
              </w:rPr>
              <w:t>Supersedes and equivalent to CPPHSA4015A Assess impact of building elements on thermal performance of residential buildings</w:t>
            </w:r>
            <w:r w:rsidR="0057346B">
              <w:rPr>
                <w:rFonts w:asciiTheme="minorHAnsi" w:hAnsiTheme="minorHAnsi" w:cstheme="minorHAnsi"/>
                <w:szCs w:val="22"/>
                <w:shd w:val="clear" w:color="auto" w:fill="FFFFFF"/>
              </w:rPr>
              <w:t>,</w:t>
            </w:r>
          </w:p>
          <w:p w14:paraId="30E34CD3" w14:textId="5AD47CE0" w:rsidR="0057346B" w:rsidRPr="00A73A5F" w:rsidRDefault="0057346B" w:rsidP="00A93EB8">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1B06FBEB" w14:textId="68E0D3BD" w:rsidR="00A93EB8" w:rsidRPr="00E505E3" w:rsidRDefault="006E764F" w:rsidP="00A93EB8">
            <w:pPr>
              <w:spacing w:before="40" w:after="40"/>
              <w:jc w:val="center"/>
              <w:rPr>
                <w:color w:val="000000"/>
                <w:szCs w:val="22"/>
                <w:lang w:eastAsia="en-AU"/>
              </w:rPr>
            </w:pPr>
            <w:r>
              <w:rPr>
                <w:color w:val="000000"/>
                <w:szCs w:val="22"/>
                <w:lang w:eastAsia="en-AU"/>
              </w:rPr>
              <w:t>E</w:t>
            </w:r>
          </w:p>
        </w:tc>
      </w:tr>
      <w:tr w:rsidR="001A66C8" w:rsidRPr="00E505E3" w14:paraId="6E568617" w14:textId="77777777" w:rsidTr="00D06E70">
        <w:tc>
          <w:tcPr>
            <w:tcW w:w="1255" w:type="pct"/>
            <w:vAlign w:val="center"/>
          </w:tcPr>
          <w:p w14:paraId="3E4EFDAB" w14:textId="7910B43C" w:rsidR="001A66C8" w:rsidRPr="00A133CB" w:rsidRDefault="001A66C8" w:rsidP="001A66C8">
            <w:r>
              <w:t>CPPHES4002 Advise clients on thermal performance of residential buildings.</w:t>
            </w:r>
          </w:p>
        </w:tc>
        <w:tc>
          <w:tcPr>
            <w:tcW w:w="1417" w:type="pct"/>
            <w:vAlign w:val="center"/>
          </w:tcPr>
          <w:p w14:paraId="77664FA0" w14:textId="00CD84CC" w:rsidR="001A66C8" w:rsidRPr="00D22164" w:rsidRDefault="001A66C8" w:rsidP="001A66C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CPPHSA4019A Inform clients about thermal performance of residential buildings</w:t>
            </w:r>
          </w:p>
        </w:tc>
        <w:tc>
          <w:tcPr>
            <w:tcW w:w="1621" w:type="pct"/>
          </w:tcPr>
          <w:p w14:paraId="648D0A28" w14:textId="77777777" w:rsidR="001A66C8" w:rsidRDefault="001A66C8" w:rsidP="001A66C8">
            <w:pPr>
              <w:spacing w:before="40" w:after="40"/>
              <w:rPr>
                <w:rFonts w:cs="Calibri"/>
                <w:szCs w:val="22"/>
                <w:shd w:val="clear" w:color="auto" w:fill="FFFFFF"/>
              </w:rPr>
            </w:pPr>
            <w:r w:rsidRPr="00430BA5">
              <w:rPr>
                <w:rFonts w:cs="Calibri"/>
                <w:szCs w:val="22"/>
                <w:shd w:val="clear" w:color="auto" w:fill="FFFFFF"/>
              </w:rPr>
              <w:t>Supersedes and equivalent to CPPHSA4019A Inform clients about thermal performance of residential buildings</w:t>
            </w:r>
            <w:r>
              <w:rPr>
                <w:rFonts w:cs="Calibri"/>
                <w:szCs w:val="22"/>
                <w:shd w:val="clear" w:color="auto" w:fill="FFFFFF"/>
              </w:rPr>
              <w:t>.</w:t>
            </w:r>
          </w:p>
          <w:p w14:paraId="2B09AA68" w14:textId="11CB8C95" w:rsidR="001A66C8" w:rsidRPr="00A73A5F" w:rsidRDefault="001A66C8" w:rsidP="001A66C8">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2CDB263C" w14:textId="1427DB5F" w:rsidR="001A66C8" w:rsidRPr="00E505E3" w:rsidRDefault="006E764F" w:rsidP="001A66C8">
            <w:pPr>
              <w:spacing w:before="40" w:after="40"/>
              <w:jc w:val="center"/>
              <w:rPr>
                <w:color w:val="000000"/>
                <w:szCs w:val="22"/>
                <w:lang w:eastAsia="en-AU"/>
              </w:rPr>
            </w:pPr>
            <w:r>
              <w:rPr>
                <w:color w:val="000000"/>
                <w:szCs w:val="22"/>
                <w:lang w:eastAsia="en-AU"/>
              </w:rPr>
              <w:t>E</w:t>
            </w:r>
          </w:p>
        </w:tc>
      </w:tr>
      <w:tr w:rsidR="001A66C8" w:rsidRPr="00E505E3" w14:paraId="10214994" w14:textId="77777777" w:rsidTr="00D2496B">
        <w:tc>
          <w:tcPr>
            <w:tcW w:w="1255" w:type="pct"/>
            <w:vAlign w:val="center"/>
          </w:tcPr>
          <w:p w14:paraId="08630656" w14:textId="01B7EE78" w:rsidR="001A66C8" w:rsidRPr="00A133CB" w:rsidRDefault="001A66C8" w:rsidP="001A66C8">
            <w:r>
              <w:t>CPPHES4003 Operate and maintain computer system to support thermal performance assessments</w:t>
            </w:r>
          </w:p>
        </w:tc>
        <w:tc>
          <w:tcPr>
            <w:tcW w:w="1417" w:type="pct"/>
            <w:vAlign w:val="center"/>
          </w:tcPr>
          <w:p w14:paraId="59F6CCF5" w14:textId="415EFF7C" w:rsidR="001A66C8" w:rsidRPr="00D22164" w:rsidRDefault="001A66C8" w:rsidP="001A66C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 xml:space="preserve">CPPHSA4020A Operate computer systems to support </w:t>
            </w:r>
            <w:proofErr w:type="spellStart"/>
            <w:r w:rsidRPr="00D22164">
              <w:rPr>
                <w:rFonts w:asciiTheme="minorHAnsi" w:hAnsiTheme="minorHAnsi" w:cstheme="minorHAnsi"/>
                <w:szCs w:val="22"/>
                <w:shd w:val="clear" w:color="auto" w:fill="FFFFFF"/>
              </w:rPr>
              <w:t>NatHERS</w:t>
            </w:r>
            <w:proofErr w:type="spellEnd"/>
            <w:r w:rsidRPr="00D22164">
              <w:rPr>
                <w:rFonts w:asciiTheme="minorHAnsi" w:hAnsiTheme="minorHAnsi" w:cstheme="minorHAnsi"/>
                <w:szCs w:val="22"/>
                <w:shd w:val="clear" w:color="auto" w:fill="FFFFFF"/>
              </w:rPr>
              <w:t xml:space="preserve"> assessment</w:t>
            </w:r>
          </w:p>
        </w:tc>
        <w:tc>
          <w:tcPr>
            <w:tcW w:w="1621" w:type="pct"/>
          </w:tcPr>
          <w:p w14:paraId="493B192F" w14:textId="77777777" w:rsidR="001A66C8" w:rsidRDefault="001A66C8" w:rsidP="001A66C8">
            <w:pPr>
              <w:spacing w:before="40" w:after="40"/>
              <w:rPr>
                <w:rFonts w:cs="Calibri"/>
                <w:szCs w:val="22"/>
                <w:shd w:val="clear" w:color="auto" w:fill="FFFFFF"/>
              </w:rPr>
            </w:pPr>
            <w:r w:rsidRPr="00A73A5F">
              <w:rPr>
                <w:rFonts w:cs="Calibri"/>
                <w:szCs w:val="22"/>
                <w:shd w:val="clear" w:color="auto" w:fill="FFFFFF"/>
              </w:rPr>
              <w:t xml:space="preserve">Supersedes and equivalent to CPPHSA4020A Operate computer systems to support </w:t>
            </w:r>
            <w:proofErr w:type="spellStart"/>
            <w:r w:rsidRPr="00A73A5F">
              <w:rPr>
                <w:rFonts w:cs="Calibri"/>
                <w:szCs w:val="22"/>
                <w:shd w:val="clear" w:color="auto" w:fill="FFFFFF"/>
              </w:rPr>
              <w:t>NatHERS</w:t>
            </w:r>
            <w:proofErr w:type="spellEnd"/>
            <w:r w:rsidRPr="00A73A5F">
              <w:rPr>
                <w:rFonts w:cs="Calibri"/>
                <w:szCs w:val="22"/>
                <w:shd w:val="clear" w:color="auto" w:fill="FFFFFF"/>
              </w:rPr>
              <w:t xml:space="preserve"> assessment</w:t>
            </w:r>
            <w:r>
              <w:rPr>
                <w:rFonts w:cs="Calibri"/>
                <w:szCs w:val="22"/>
                <w:shd w:val="clear" w:color="auto" w:fill="FFFFFF"/>
              </w:rPr>
              <w:t>.</w:t>
            </w:r>
          </w:p>
          <w:p w14:paraId="6C21CA4A" w14:textId="7B41EED2" w:rsidR="001A66C8" w:rsidRPr="00A73A5F" w:rsidRDefault="001A66C8" w:rsidP="001A66C8">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675A5950" w14:textId="58177997" w:rsidR="001A66C8" w:rsidRPr="00E505E3" w:rsidRDefault="006E764F" w:rsidP="001A66C8">
            <w:pPr>
              <w:spacing w:before="40" w:after="40"/>
              <w:jc w:val="center"/>
              <w:rPr>
                <w:color w:val="000000"/>
                <w:szCs w:val="22"/>
                <w:lang w:eastAsia="en-AU"/>
              </w:rPr>
            </w:pPr>
            <w:r>
              <w:rPr>
                <w:color w:val="000000"/>
                <w:szCs w:val="22"/>
                <w:lang w:eastAsia="en-AU"/>
              </w:rPr>
              <w:t>E</w:t>
            </w:r>
          </w:p>
        </w:tc>
      </w:tr>
      <w:tr w:rsidR="001A66C8" w:rsidRPr="00E505E3" w14:paraId="2480BCD0" w14:textId="77777777" w:rsidTr="00145553">
        <w:tc>
          <w:tcPr>
            <w:tcW w:w="1255" w:type="pct"/>
            <w:vAlign w:val="center"/>
          </w:tcPr>
          <w:p w14:paraId="68105B60" w14:textId="2E6842C8" w:rsidR="001A66C8" w:rsidRPr="00A133CB" w:rsidRDefault="001A66C8" w:rsidP="001A66C8">
            <w:r>
              <w:t>CPPHES400</w:t>
            </w:r>
            <w:r w:rsidR="00383965">
              <w:t>4</w:t>
            </w:r>
            <w:r>
              <w:t xml:space="preserve"> Conduct thermal performance assessment of residential buildings</w:t>
            </w:r>
          </w:p>
        </w:tc>
        <w:tc>
          <w:tcPr>
            <w:tcW w:w="1417" w:type="pct"/>
            <w:vAlign w:val="center"/>
          </w:tcPr>
          <w:p w14:paraId="568E5CF2" w14:textId="12ABBCFB" w:rsidR="001A66C8" w:rsidRPr="00D22164" w:rsidRDefault="001A66C8" w:rsidP="001A66C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 xml:space="preserve">CPPHSA4012A Conduct </w:t>
            </w:r>
            <w:proofErr w:type="spellStart"/>
            <w:r w:rsidRPr="00D22164">
              <w:rPr>
                <w:rFonts w:asciiTheme="minorHAnsi" w:hAnsiTheme="minorHAnsi" w:cstheme="minorHAnsi"/>
                <w:szCs w:val="22"/>
                <w:shd w:val="clear" w:color="auto" w:fill="FFFFFF"/>
              </w:rPr>
              <w:t>NatHERS</w:t>
            </w:r>
            <w:proofErr w:type="spellEnd"/>
            <w:r w:rsidRPr="00D22164">
              <w:rPr>
                <w:rFonts w:asciiTheme="minorHAnsi" w:hAnsiTheme="minorHAnsi" w:cstheme="minorHAnsi"/>
                <w:szCs w:val="22"/>
                <w:shd w:val="clear" w:color="auto" w:fill="FFFFFF"/>
              </w:rPr>
              <w:t xml:space="preserve"> assessment of planned residential buildings</w:t>
            </w:r>
          </w:p>
        </w:tc>
        <w:tc>
          <w:tcPr>
            <w:tcW w:w="1621" w:type="pct"/>
          </w:tcPr>
          <w:p w14:paraId="557B4EE7" w14:textId="77777777" w:rsidR="001A66C8" w:rsidRDefault="001A66C8" w:rsidP="001A66C8">
            <w:pPr>
              <w:spacing w:before="40" w:after="40"/>
              <w:rPr>
                <w:rFonts w:cs="Calibri"/>
                <w:szCs w:val="22"/>
                <w:shd w:val="clear" w:color="auto" w:fill="FFFFFF"/>
              </w:rPr>
            </w:pPr>
            <w:r w:rsidRPr="00A73A5F">
              <w:rPr>
                <w:rFonts w:cs="Calibri"/>
                <w:szCs w:val="22"/>
                <w:shd w:val="clear" w:color="auto" w:fill="FFFFFF"/>
              </w:rPr>
              <w:t xml:space="preserve">Supersedes and equivalent to CPPHSA4012A Conduct </w:t>
            </w:r>
            <w:proofErr w:type="spellStart"/>
            <w:r w:rsidRPr="00A73A5F">
              <w:rPr>
                <w:rFonts w:cs="Calibri"/>
                <w:szCs w:val="22"/>
                <w:shd w:val="clear" w:color="auto" w:fill="FFFFFF"/>
              </w:rPr>
              <w:t>NatHERS</w:t>
            </w:r>
            <w:proofErr w:type="spellEnd"/>
            <w:r w:rsidRPr="00A73A5F">
              <w:rPr>
                <w:rFonts w:cs="Calibri"/>
                <w:szCs w:val="22"/>
                <w:shd w:val="clear" w:color="auto" w:fill="FFFFFF"/>
              </w:rPr>
              <w:t xml:space="preserve"> assessment of planned residential buildings</w:t>
            </w:r>
            <w:r>
              <w:rPr>
                <w:rFonts w:cs="Calibri"/>
                <w:szCs w:val="22"/>
                <w:shd w:val="clear" w:color="auto" w:fill="FFFFFF"/>
              </w:rPr>
              <w:t>.</w:t>
            </w:r>
          </w:p>
          <w:p w14:paraId="2E909F69" w14:textId="768ECDE7" w:rsidR="001A66C8" w:rsidRPr="00A73A5F" w:rsidRDefault="001A66C8" w:rsidP="001A66C8">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7D403D68" w14:textId="17A08AE5" w:rsidR="001A66C8" w:rsidRPr="00E505E3" w:rsidRDefault="006E764F" w:rsidP="001A66C8">
            <w:pPr>
              <w:spacing w:before="40" w:after="40"/>
              <w:jc w:val="center"/>
              <w:rPr>
                <w:color w:val="000000"/>
                <w:szCs w:val="22"/>
                <w:lang w:eastAsia="en-AU"/>
              </w:rPr>
            </w:pPr>
            <w:r>
              <w:rPr>
                <w:color w:val="000000"/>
                <w:szCs w:val="22"/>
                <w:lang w:eastAsia="en-AU"/>
              </w:rPr>
              <w:t>E</w:t>
            </w:r>
          </w:p>
        </w:tc>
      </w:tr>
      <w:tr w:rsidR="001A66C8" w:rsidRPr="00E505E3" w14:paraId="3651A268" w14:textId="77777777" w:rsidTr="00962256">
        <w:tc>
          <w:tcPr>
            <w:tcW w:w="1255" w:type="pct"/>
            <w:vAlign w:val="center"/>
          </w:tcPr>
          <w:p w14:paraId="79D83F1E" w14:textId="08442CF1" w:rsidR="001A66C8" w:rsidRPr="00A133CB" w:rsidRDefault="001A66C8" w:rsidP="001A66C8">
            <w:r>
              <w:t>CPPHES5001 Conduct thermal performance assessment of complex residential buildings</w:t>
            </w:r>
          </w:p>
        </w:tc>
        <w:tc>
          <w:tcPr>
            <w:tcW w:w="1417" w:type="pct"/>
            <w:vAlign w:val="center"/>
          </w:tcPr>
          <w:p w14:paraId="77FA4DA4" w14:textId="7EE9F390" w:rsidR="001A66C8" w:rsidRPr="00D22164" w:rsidRDefault="001A66C8" w:rsidP="001A66C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CPPHSA5001A Assess thermal performance of complex residential buildings</w:t>
            </w:r>
          </w:p>
        </w:tc>
        <w:tc>
          <w:tcPr>
            <w:tcW w:w="1621" w:type="pct"/>
          </w:tcPr>
          <w:p w14:paraId="6D3570CB" w14:textId="77777777" w:rsidR="001A66C8" w:rsidRDefault="001A66C8" w:rsidP="001A66C8">
            <w:pPr>
              <w:spacing w:before="40" w:after="40"/>
              <w:rPr>
                <w:rFonts w:cs="Calibri"/>
                <w:szCs w:val="22"/>
                <w:shd w:val="clear" w:color="auto" w:fill="FFFFFF"/>
              </w:rPr>
            </w:pPr>
            <w:r w:rsidRPr="00A73A5F">
              <w:rPr>
                <w:rFonts w:cs="Calibri"/>
                <w:szCs w:val="22"/>
                <w:shd w:val="clear" w:color="auto" w:fill="FFFFFF"/>
              </w:rPr>
              <w:t>Supersedes and equivalent to CPPHSA5001A Assess thermal performance of complex residential buildings</w:t>
            </w:r>
            <w:r>
              <w:rPr>
                <w:rFonts w:cs="Calibri"/>
                <w:szCs w:val="22"/>
                <w:shd w:val="clear" w:color="auto" w:fill="FFFFFF"/>
              </w:rPr>
              <w:t>.</w:t>
            </w:r>
          </w:p>
          <w:p w14:paraId="58819492" w14:textId="363506D2" w:rsidR="001A66C8" w:rsidRPr="00A73A5F" w:rsidRDefault="001A66C8" w:rsidP="001A66C8">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7E2D98F3" w14:textId="04FD4265" w:rsidR="001A66C8" w:rsidRPr="00E505E3" w:rsidRDefault="006E764F" w:rsidP="001A66C8">
            <w:pPr>
              <w:spacing w:before="40" w:after="40"/>
              <w:jc w:val="center"/>
              <w:rPr>
                <w:color w:val="000000"/>
                <w:szCs w:val="22"/>
                <w:lang w:eastAsia="en-AU"/>
              </w:rPr>
            </w:pPr>
            <w:r>
              <w:rPr>
                <w:color w:val="000000"/>
                <w:szCs w:val="22"/>
                <w:lang w:eastAsia="en-AU"/>
              </w:rPr>
              <w:t>E</w:t>
            </w:r>
          </w:p>
        </w:tc>
      </w:tr>
      <w:tr w:rsidR="001A66C8" w:rsidRPr="00E505E3" w14:paraId="6646D45B" w14:textId="77777777" w:rsidTr="0015033A">
        <w:tc>
          <w:tcPr>
            <w:tcW w:w="1255" w:type="pct"/>
            <w:vAlign w:val="center"/>
          </w:tcPr>
          <w:p w14:paraId="74D03AA2" w14:textId="3A7CC7A2" w:rsidR="001A66C8" w:rsidRPr="00A133CB" w:rsidRDefault="001A66C8" w:rsidP="001A66C8">
            <w:r>
              <w:t xml:space="preserve">CPPCOM4002 Implement safe work practices in the property industry </w:t>
            </w:r>
          </w:p>
        </w:tc>
        <w:tc>
          <w:tcPr>
            <w:tcW w:w="1417" w:type="pct"/>
            <w:vAlign w:val="center"/>
          </w:tcPr>
          <w:p w14:paraId="7366444C" w14:textId="028FA800" w:rsidR="001A66C8" w:rsidRPr="00D22164" w:rsidRDefault="001A66C8" w:rsidP="001A66C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 xml:space="preserve">CPPHSA4005A </w:t>
            </w:r>
            <w:proofErr w:type="spellStart"/>
            <w:r w:rsidRPr="00D22164">
              <w:rPr>
                <w:rFonts w:asciiTheme="minorHAnsi" w:hAnsiTheme="minorHAnsi" w:cstheme="minorHAnsi"/>
                <w:szCs w:val="22"/>
                <w:shd w:val="clear" w:color="auto" w:fill="FFFFFF"/>
              </w:rPr>
              <w:t>Minimise</w:t>
            </w:r>
            <w:proofErr w:type="spellEnd"/>
            <w:r w:rsidRPr="00D22164">
              <w:rPr>
                <w:rFonts w:asciiTheme="minorHAnsi" w:hAnsiTheme="minorHAnsi" w:cstheme="minorHAnsi"/>
                <w:szCs w:val="22"/>
                <w:shd w:val="clear" w:color="auto" w:fill="FFFFFF"/>
              </w:rPr>
              <w:t xml:space="preserve"> health, safety and security risks when assessing home sustainability</w:t>
            </w:r>
          </w:p>
        </w:tc>
        <w:tc>
          <w:tcPr>
            <w:tcW w:w="1621" w:type="pct"/>
          </w:tcPr>
          <w:p w14:paraId="5C2CCB83" w14:textId="77777777" w:rsidR="001A66C8" w:rsidRDefault="001A66C8" w:rsidP="001A66C8">
            <w:pPr>
              <w:rPr>
                <w:rFonts w:asciiTheme="minorHAnsi" w:hAnsiTheme="minorHAnsi" w:cstheme="minorHAnsi"/>
                <w:color w:val="000000"/>
                <w:szCs w:val="22"/>
                <w:lang w:eastAsia="en-AU"/>
              </w:rPr>
            </w:pPr>
            <w:r w:rsidRPr="00D22164">
              <w:rPr>
                <w:rFonts w:asciiTheme="minorHAnsi" w:hAnsiTheme="minorHAnsi" w:cstheme="minorHAnsi"/>
                <w:color w:val="000000"/>
                <w:szCs w:val="22"/>
                <w:lang w:val="en-AU" w:eastAsia="en-AU"/>
              </w:rPr>
              <w:t>Supersedes and equivalent to CPPHSA4005A Minimise health, safety and security risks when assessing home sustainability.</w:t>
            </w:r>
            <w:r w:rsidRPr="00D22164">
              <w:rPr>
                <w:rFonts w:asciiTheme="minorHAnsi" w:hAnsiTheme="minorHAnsi" w:cstheme="minorHAnsi"/>
                <w:color w:val="000000"/>
                <w:szCs w:val="22"/>
                <w:lang w:eastAsia="en-AU"/>
              </w:rPr>
              <w:t xml:space="preserve"> </w:t>
            </w:r>
          </w:p>
          <w:p w14:paraId="355703BB" w14:textId="3D884451" w:rsidR="001A66C8" w:rsidRPr="00A73A5F" w:rsidRDefault="001A66C8" w:rsidP="001A66C8">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6636FAF7" w14:textId="387E33AF" w:rsidR="001A66C8" w:rsidRPr="00E505E3" w:rsidRDefault="001A66C8" w:rsidP="001A66C8">
            <w:pPr>
              <w:spacing w:before="40" w:after="40"/>
              <w:jc w:val="center"/>
              <w:rPr>
                <w:color w:val="000000"/>
                <w:szCs w:val="22"/>
                <w:lang w:eastAsia="en-AU"/>
              </w:rPr>
            </w:pPr>
            <w:r>
              <w:rPr>
                <w:color w:val="000000"/>
                <w:szCs w:val="22"/>
                <w:lang w:eastAsia="en-AU"/>
              </w:rPr>
              <w:t>E</w:t>
            </w:r>
          </w:p>
        </w:tc>
      </w:tr>
    </w:tbl>
    <w:p w14:paraId="702C06C8" w14:textId="77777777" w:rsidR="00B816E0" w:rsidRDefault="00B816E0">
      <w:r>
        <w:br w:type="page"/>
      </w:r>
    </w:p>
    <w:tbl>
      <w:tblPr>
        <w:tblStyle w:val="TableGridLight1"/>
        <w:tblW w:w="5000" w:type="pct"/>
        <w:tblLook w:val="04A0" w:firstRow="1" w:lastRow="0" w:firstColumn="1" w:lastColumn="0" w:noHBand="0" w:noVBand="1"/>
      </w:tblPr>
      <w:tblGrid>
        <w:gridCol w:w="2401"/>
        <w:gridCol w:w="2711"/>
        <w:gridCol w:w="3101"/>
        <w:gridCol w:w="1352"/>
      </w:tblGrid>
      <w:tr w:rsidR="00B816E0" w:rsidRPr="00E505E3" w14:paraId="408ECEC3" w14:textId="77777777" w:rsidTr="000434E5">
        <w:tc>
          <w:tcPr>
            <w:tcW w:w="1255" w:type="pct"/>
          </w:tcPr>
          <w:p w14:paraId="6BD2D9C2" w14:textId="77777777" w:rsidR="00B816E0" w:rsidRDefault="00B816E0" w:rsidP="00B816E0">
            <w:pPr>
              <w:rPr>
                <w:b/>
                <w:szCs w:val="22"/>
              </w:rPr>
            </w:pPr>
            <w:r w:rsidRPr="00E505E3">
              <w:rPr>
                <w:b/>
                <w:szCs w:val="22"/>
              </w:rPr>
              <w:lastRenderedPageBreak/>
              <w:t>CPC Construction, Plumbing and Services Training Package</w:t>
            </w:r>
          </w:p>
          <w:p w14:paraId="19CDA233" w14:textId="77777777" w:rsidR="00B816E0" w:rsidRDefault="00B816E0" w:rsidP="00B816E0"/>
        </w:tc>
        <w:tc>
          <w:tcPr>
            <w:tcW w:w="1417" w:type="pct"/>
          </w:tcPr>
          <w:p w14:paraId="00D4341B" w14:textId="12F8DE2B" w:rsidR="00B816E0" w:rsidRPr="00D22164" w:rsidRDefault="00B816E0" w:rsidP="00B816E0">
            <w:pPr>
              <w:spacing w:before="40" w:after="40"/>
              <w:rPr>
                <w:rFonts w:asciiTheme="minorHAnsi" w:hAnsiTheme="minorHAnsi" w:cstheme="minorHAnsi"/>
                <w:szCs w:val="22"/>
                <w:shd w:val="clear" w:color="auto" w:fill="FFFFFF"/>
              </w:rPr>
            </w:pPr>
            <w:r w:rsidRPr="00E505E3">
              <w:rPr>
                <w:b/>
                <w:szCs w:val="22"/>
              </w:rPr>
              <w:t>CPC08 Construction, Plumbing and Services Training Package</w:t>
            </w:r>
          </w:p>
        </w:tc>
        <w:tc>
          <w:tcPr>
            <w:tcW w:w="1621" w:type="pct"/>
          </w:tcPr>
          <w:p w14:paraId="67DF9E69" w14:textId="706FC04E" w:rsidR="00B816E0" w:rsidRPr="00A73A5F" w:rsidRDefault="00B816E0" w:rsidP="00B816E0">
            <w:pPr>
              <w:spacing w:before="40" w:after="40"/>
              <w:rPr>
                <w:rFonts w:cs="Calibri"/>
                <w:szCs w:val="22"/>
                <w:shd w:val="clear" w:color="auto" w:fill="FFFFFF"/>
              </w:rPr>
            </w:pPr>
            <w:r w:rsidRPr="00E505E3">
              <w:rPr>
                <w:b/>
                <w:color w:val="000000" w:themeColor="text1"/>
                <w:szCs w:val="22"/>
              </w:rPr>
              <w:t>Comments</w:t>
            </w:r>
          </w:p>
        </w:tc>
        <w:tc>
          <w:tcPr>
            <w:tcW w:w="707" w:type="pct"/>
          </w:tcPr>
          <w:p w14:paraId="08CD219A" w14:textId="0A316261" w:rsidR="00B816E0" w:rsidRPr="00E505E3" w:rsidRDefault="00B816E0" w:rsidP="00B816E0">
            <w:pPr>
              <w:spacing w:before="40" w:after="40"/>
              <w:jc w:val="center"/>
              <w:rPr>
                <w:color w:val="000000"/>
                <w:szCs w:val="22"/>
                <w:lang w:eastAsia="en-AU"/>
              </w:rPr>
            </w:pPr>
            <w:r>
              <w:rPr>
                <w:b/>
                <w:color w:val="000000" w:themeColor="text1"/>
                <w:szCs w:val="22"/>
              </w:rPr>
              <w:t xml:space="preserve">Anticipated </w:t>
            </w:r>
            <w:r w:rsidRPr="00E505E3">
              <w:rPr>
                <w:b/>
                <w:color w:val="000000" w:themeColor="text1"/>
                <w:szCs w:val="22"/>
              </w:rPr>
              <w:t>Equivalent statement</w:t>
            </w:r>
          </w:p>
        </w:tc>
      </w:tr>
      <w:tr w:rsidR="00B816E0" w:rsidRPr="00E505E3" w14:paraId="391A0A62" w14:textId="77777777" w:rsidTr="00E505E3">
        <w:tc>
          <w:tcPr>
            <w:tcW w:w="1255" w:type="pct"/>
            <w:vAlign w:val="center"/>
          </w:tcPr>
          <w:p w14:paraId="464DA636" w14:textId="780BDCDD" w:rsidR="00B816E0" w:rsidRPr="00A133CB" w:rsidRDefault="00B816E0" w:rsidP="00B816E0">
            <w:r>
              <w:t>CPPHES400</w:t>
            </w:r>
            <w:r w:rsidR="00383965">
              <w:t>5</w:t>
            </w:r>
            <w:r>
              <w:t xml:space="preserve"> Assess household energy use and efficiency improvements</w:t>
            </w:r>
          </w:p>
        </w:tc>
        <w:tc>
          <w:tcPr>
            <w:tcW w:w="1417" w:type="pct"/>
            <w:vAlign w:val="center"/>
          </w:tcPr>
          <w:p w14:paraId="2BEE48D3" w14:textId="7230BD27" w:rsidR="00B816E0" w:rsidRPr="00D22164" w:rsidRDefault="00B816E0" w:rsidP="00B816E0">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CPPHSA4001A Assess household energy use</w:t>
            </w:r>
          </w:p>
        </w:tc>
        <w:tc>
          <w:tcPr>
            <w:tcW w:w="1621" w:type="pct"/>
            <w:vAlign w:val="center"/>
          </w:tcPr>
          <w:p w14:paraId="3AE9205F" w14:textId="77777777" w:rsidR="00B816E0" w:rsidRDefault="00B816E0" w:rsidP="00B816E0">
            <w:pPr>
              <w:spacing w:before="40" w:after="40"/>
              <w:rPr>
                <w:rFonts w:cs="Calibri"/>
                <w:szCs w:val="22"/>
                <w:shd w:val="clear" w:color="auto" w:fill="FFFFFF"/>
              </w:rPr>
            </w:pPr>
            <w:r w:rsidRPr="00A73A5F">
              <w:rPr>
                <w:rFonts w:cs="Calibri"/>
                <w:szCs w:val="22"/>
                <w:shd w:val="clear" w:color="auto" w:fill="FFFFFF"/>
              </w:rPr>
              <w:t xml:space="preserve">Supersedes and equivalent to CPPHSA4001A Assess household energy use. </w:t>
            </w:r>
          </w:p>
          <w:p w14:paraId="6F6C8D02" w14:textId="1C8BB00F" w:rsidR="00B816E0" w:rsidRPr="00A73A5F" w:rsidRDefault="00B816E0" w:rsidP="00B816E0">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326A7512" w14:textId="5C917FF7" w:rsidR="00B816E0" w:rsidRPr="00E505E3" w:rsidRDefault="006E764F" w:rsidP="00B816E0">
            <w:pPr>
              <w:spacing w:before="40" w:after="40"/>
              <w:jc w:val="center"/>
              <w:rPr>
                <w:color w:val="000000"/>
                <w:szCs w:val="22"/>
                <w:lang w:eastAsia="en-AU"/>
              </w:rPr>
            </w:pPr>
            <w:r>
              <w:rPr>
                <w:color w:val="000000"/>
                <w:szCs w:val="22"/>
                <w:lang w:eastAsia="en-AU"/>
              </w:rPr>
              <w:t>E</w:t>
            </w:r>
          </w:p>
        </w:tc>
      </w:tr>
      <w:tr w:rsidR="00B816E0" w:rsidRPr="00E505E3" w14:paraId="45411F8C" w14:textId="77777777" w:rsidTr="00AE2B5B">
        <w:tc>
          <w:tcPr>
            <w:tcW w:w="1255" w:type="pct"/>
            <w:vAlign w:val="center"/>
          </w:tcPr>
          <w:p w14:paraId="370D1916" w14:textId="76C8D4EB" w:rsidR="00B816E0" w:rsidRPr="00A133CB" w:rsidRDefault="00B816E0" w:rsidP="00B816E0">
            <w:r>
              <w:t>CPPHES400</w:t>
            </w:r>
            <w:r w:rsidR="00383965">
              <w:t>6</w:t>
            </w:r>
            <w:r>
              <w:t xml:space="preserve"> Assess household water use and efficiency improvements</w:t>
            </w:r>
          </w:p>
        </w:tc>
        <w:tc>
          <w:tcPr>
            <w:tcW w:w="1417" w:type="pct"/>
            <w:vAlign w:val="center"/>
          </w:tcPr>
          <w:p w14:paraId="0C881F69" w14:textId="0A95113E" w:rsidR="00B816E0" w:rsidRPr="00D22164" w:rsidRDefault="00B816E0" w:rsidP="00B816E0">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CPPHSA4003A Assess household water use</w:t>
            </w:r>
          </w:p>
        </w:tc>
        <w:tc>
          <w:tcPr>
            <w:tcW w:w="1621" w:type="pct"/>
          </w:tcPr>
          <w:p w14:paraId="05326CBA" w14:textId="77777777" w:rsidR="00B816E0" w:rsidRDefault="00B816E0" w:rsidP="00B816E0">
            <w:pPr>
              <w:spacing w:before="40" w:after="40"/>
              <w:rPr>
                <w:rFonts w:asciiTheme="minorHAnsi" w:hAnsiTheme="minorHAnsi" w:cstheme="minorHAnsi"/>
                <w:szCs w:val="22"/>
                <w:shd w:val="clear" w:color="auto" w:fill="FFFFFF"/>
              </w:rPr>
            </w:pPr>
            <w:r w:rsidRPr="00430BA5">
              <w:rPr>
                <w:rFonts w:asciiTheme="minorHAnsi" w:hAnsiTheme="minorHAnsi" w:cstheme="minorHAnsi"/>
                <w:szCs w:val="22"/>
                <w:shd w:val="clear" w:color="auto" w:fill="FFFFFF"/>
              </w:rPr>
              <w:t>Supersedes and equivalent to CPPHSA4003A Assess household water use</w:t>
            </w:r>
            <w:r>
              <w:rPr>
                <w:rFonts w:asciiTheme="minorHAnsi" w:hAnsiTheme="minorHAnsi" w:cstheme="minorHAnsi"/>
                <w:szCs w:val="22"/>
                <w:shd w:val="clear" w:color="auto" w:fill="FFFFFF"/>
              </w:rPr>
              <w:t>.</w:t>
            </w:r>
          </w:p>
          <w:p w14:paraId="5D29BE62" w14:textId="7A81CA53" w:rsidR="00B816E0" w:rsidRPr="00A73A5F" w:rsidRDefault="00B816E0" w:rsidP="00B816E0">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25799B22" w14:textId="54E70AD5" w:rsidR="00B816E0" w:rsidRPr="00E505E3" w:rsidRDefault="006E764F" w:rsidP="00B816E0">
            <w:pPr>
              <w:spacing w:before="40" w:after="40"/>
              <w:jc w:val="center"/>
              <w:rPr>
                <w:color w:val="000000"/>
                <w:szCs w:val="22"/>
                <w:lang w:eastAsia="en-AU"/>
              </w:rPr>
            </w:pPr>
            <w:r>
              <w:rPr>
                <w:color w:val="000000"/>
                <w:szCs w:val="22"/>
                <w:lang w:eastAsia="en-AU"/>
              </w:rPr>
              <w:t>E</w:t>
            </w:r>
          </w:p>
        </w:tc>
      </w:tr>
      <w:tr w:rsidR="001A66C8" w:rsidRPr="00E505E3" w14:paraId="733C7AB2" w14:textId="77777777" w:rsidTr="00595DFD">
        <w:tc>
          <w:tcPr>
            <w:tcW w:w="1255" w:type="pct"/>
            <w:vAlign w:val="center"/>
          </w:tcPr>
          <w:p w14:paraId="73A1E7F3" w14:textId="555CE6AB" w:rsidR="001A66C8" w:rsidRPr="00A133CB" w:rsidRDefault="001A66C8" w:rsidP="001A66C8">
            <w:r>
              <w:t>CPPHES400</w:t>
            </w:r>
            <w:r w:rsidR="00383965">
              <w:t>7</w:t>
            </w:r>
            <w:r>
              <w:t xml:space="preserve"> Assess thermal performance of existing residential buildings</w:t>
            </w:r>
          </w:p>
        </w:tc>
        <w:tc>
          <w:tcPr>
            <w:tcW w:w="1417" w:type="pct"/>
            <w:vAlign w:val="center"/>
          </w:tcPr>
          <w:p w14:paraId="254C503D" w14:textId="0A5008F2" w:rsidR="001A66C8" w:rsidRPr="00D22164" w:rsidRDefault="001A66C8" w:rsidP="001A66C8">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CPPHSA4004A Assess thermal performance of existing residences using non-rating tools and techniques</w:t>
            </w:r>
          </w:p>
        </w:tc>
        <w:tc>
          <w:tcPr>
            <w:tcW w:w="1621" w:type="pct"/>
          </w:tcPr>
          <w:p w14:paraId="0B96C9EF" w14:textId="77777777" w:rsidR="001A66C8" w:rsidRDefault="001A66C8" w:rsidP="001A66C8">
            <w:pPr>
              <w:spacing w:before="40" w:after="40"/>
              <w:rPr>
                <w:rFonts w:cs="Calibri"/>
                <w:szCs w:val="22"/>
                <w:shd w:val="clear" w:color="auto" w:fill="FFFFFF"/>
              </w:rPr>
            </w:pPr>
            <w:r w:rsidRPr="00A73A5F">
              <w:rPr>
                <w:rFonts w:cs="Calibri"/>
                <w:szCs w:val="22"/>
                <w:shd w:val="clear" w:color="auto" w:fill="FFFFFF"/>
              </w:rPr>
              <w:t>Supersedes and equivalent to CPPHSA4004A Assess thermal performance of existing residences using non-rating tools and techniques</w:t>
            </w:r>
            <w:r>
              <w:rPr>
                <w:rFonts w:cs="Calibri"/>
                <w:szCs w:val="22"/>
                <w:shd w:val="clear" w:color="auto" w:fill="FFFFFF"/>
              </w:rPr>
              <w:t>.</w:t>
            </w:r>
          </w:p>
          <w:p w14:paraId="7BAEEA7B" w14:textId="32CD954A" w:rsidR="001A66C8" w:rsidRPr="00A73A5F" w:rsidRDefault="001A66C8" w:rsidP="001A66C8">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006664FA" w14:textId="3E9780FE" w:rsidR="001A66C8" w:rsidRPr="00E505E3" w:rsidRDefault="006E764F" w:rsidP="001A66C8">
            <w:pPr>
              <w:spacing w:before="40" w:after="40"/>
              <w:jc w:val="center"/>
              <w:rPr>
                <w:color w:val="000000"/>
                <w:szCs w:val="22"/>
                <w:lang w:eastAsia="en-AU"/>
              </w:rPr>
            </w:pPr>
            <w:r>
              <w:rPr>
                <w:color w:val="000000"/>
                <w:szCs w:val="22"/>
                <w:lang w:eastAsia="en-AU"/>
              </w:rPr>
              <w:t>E</w:t>
            </w:r>
          </w:p>
        </w:tc>
      </w:tr>
      <w:tr w:rsidR="00AA77F2" w:rsidRPr="00E505E3" w14:paraId="711ACDAD" w14:textId="77777777" w:rsidTr="00E0403D">
        <w:tc>
          <w:tcPr>
            <w:tcW w:w="1255" w:type="pct"/>
            <w:vAlign w:val="center"/>
          </w:tcPr>
          <w:p w14:paraId="723C017D" w14:textId="66DFB782" w:rsidR="00AA77F2" w:rsidRPr="00A133CB" w:rsidRDefault="00AA70DE" w:rsidP="00AA77F2">
            <w:r>
              <w:t>CPPHES400</w:t>
            </w:r>
            <w:r w:rsidR="00383965">
              <w:t>8</w:t>
            </w:r>
            <w:r>
              <w:t xml:space="preserve"> Assess household waste generation and waste management improvements</w:t>
            </w:r>
          </w:p>
        </w:tc>
        <w:tc>
          <w:tcPr>
            <w:tcW w:w="1417" w:type="pct"/>
            <w:vAlign w:val="center"/>
          </w:tcPr>
          <w:p w14:paraId="0312062F" w14:textId="03D25F6B" w:rsidR="00AA77F2" w:rsidRPr="00D22164" w:rsidRDefault="00AA77F2" w:rsidP="00AA77F2">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CPPHSA4002A Assess household waste generation and management</w:t>
            </w:r>
          </w:p>
        </w:tc>
        <w:tc>
          <w:tcPr>
            <w:tcW w:w="1621" w:type="pct"/>
          </w:tcPr>
          <w:p w14:paraId="6583F098" w14:textId="550861D6" w:rsidR="00AA77F2" w:rsidRPr="00A73A5F" w:rsidRDefault="00AA77F2" w:rsidP="00AA77F2">
            <w:pPr>
              <w:spacing w:before="40" w:after="40"/>
              <w:rPr>
                <w:rFonts w:cs="Calibri"/>
                <w:szCs w:val="22"/>
                <w:shd w:val="clear" w:color="auto" w:fill="FFFFFF"/>
              </w:rPr>
            </w:pPr>
            <w:r w:rsidRPr="00D22164">
              <w:rPr>
                <w:rFonts w:asciiTheme="minorHAnsi" w:hAnsiTheme="minorHAnsi" w:cstheme="minorHAnsi"/>
                <w:szCs w:val="22"/>
                <w:shd w:val="clear" w:color="auto" w:fill="FFFFFF"/>
              </w:rPr>
              <w:t>Supersedes and equivalent to CPPHSA4002A Assess household waste generation and management.</w:t>
            </w:r>
            <w:r w:rsidRPr="00E505E3">
              <w:rPr>
                <w:color w:val="000000"/>
                <w:szCs w:val="22"/>
                <w:lang w:eastAsia="en-AU"/>
              </w:rPr>
              <w:t xml:space="preserve"> Updated to meet the Standards for Training Packages</w:t>
            </w:r>
            <w:r>
              <w:rPr>
                <w:color w:val="000000"/>
                <w:szCs w:val="22"/>
                <w:lang w:eastAsia="en-AU"/>
              </w:rPr>
              <w:t>.</w:t>
            </w:r>
          </w:p>
        </w:tc>
        <w:tc>
          <w:tcPr>
            <w:tcW w:w="707" w:type="pct"/>
            <w:vAlign w:val="center"/>
          </w:tcPr>
          <w:p w14:paraId="11B1E7EB" w14:textId="6A7A02BA" w:rsidR="00AA77F2" w:rsidRPr="00E505E3" w:rsidRDefault="00AA77F2" w:rsidP="00AA77F2">
            <w:pPr>
              <w:spacing w:before="40" w:after="40"/>
              <w:jc w:val="center"/>
              <w:rPr>
                <w:color w:val="000000"/>
                <w:szCs w:val="22"/>
                <w:lang w:eastAsia="en-AU"/>
              </w:rPr>
            </w:pPr>
            <w:r>
              <w:rPr>
                <w:color w:val="000000"/>
                <w:szCs w:val="22"/>
                <w:lang w:eastAsia="en-AU"/>
              </w:rPr>
              <w:t>E</w:t>
            </w:r>
          </w:p>
        </w:tc>
      </w:tr>
      <w:tr w:rsidR="00AA77F2" w:rsidRPr="00E505E3" w14:paraId="6A7F1E4C" w14:textId="77777777" w:rsidTr="00FF6E57">
        <w:tc>
          <w:tcPr>
            <w:tcW w:w="1255" w:type="pct"/>
            <w:vAlign w:val="center"/>
          </w:tcPr>
          <w:p w14:paraId="348FBAB6" w14:textId="6E59C3C4" w:rsidR="00AA77F2" w:rsidRDefault="00AA70DE" w:rsidP="00AA77F2">
            <w:r>
              <w:t>CPPHES40</w:t>
            </w:r>
            <w:r w:rsidR="00383965">
              <w:t>09</w:t>
            </w:r>
            <w:r>
              <w:t xml:space="preserve"> Promote the adoption of home sustainability practices</w:t>
            </w:r>
          </w:p>
          <w:p w14:paraId="2C51659A" w14:textId="08D37DDA" w:rsidR="00EE0BF6" w:rsidRPr="00A133CB" w:rsidRDefault="00EE0BF6" w:rsidP="00AA77F2"/>
        </w:tc>
        <w:tc>
          <w:tcPr>
            <w:tcW w:w="1417" w:type="pct"/>
            <w:vAlign w:val="center"/>
          </w:tcPr>
          <w:p w14:paraId="49B3933F" w14:textId="5ACAE90B" w:rsidR="00AA77F2" w:rsidRPr="00D22164" w:rsidRDefault="00AA77F2" w:rsidP="00AA77F2">
            <w:pPr>
              <w:spacing w:before="40" w:after="40"/>
              <w:rPr>
                <w:rFonts w:asciiTheme="minorHAnsi" w:hAnsiTheme="minorHAnsi" w:cstheme="minorHAnsi"/>
                <w:szCs w:val="22"/>
                <w:shd w:val="clear" w:color="auto" w:fill="FFFFFF"/>
              </w:rPr>
            </w:pPr>
            <w:r w:rsidRPr="00D22164">
              <w:rPr>
                <w:rFonts w:asciiTheme="minorHAnsi" w:hAnsiTheme="minorHAnsi" w:cstheme="minorHAnsi"/>
                <w:szCs w:val="22"/>
                <w:shd w:val="clear" w:color="auto" w:fill="FFFFFF"/>
              </w:rPr>
              <w:t>CPPHSA4007A Promote the adoption of home sustainability practices by residents</w:t>
            </w:r>
          </w:p>
        </w:tc>
        <w:tc>
          <w:tcPr>
            <w:tcW w:w="1621" w:type="pct"/>
          </w:tcPr>
          <w:p w14:paraId="75B86E51" w14:textId="77777777" w:rsidR="00AA77F2" w:rsidRDefault="00AA77F2" w:rsidP="00AA77F2">
            <w:pPr>
              <w:spacing w:before="40" w:after="40"/>
              <w:rPr>
                <w:rFonts w:cs="Calibri"/>
                <w:szCs w:val="22"/>
                <w:shd w:val="clear" w:color="auto" w:fill="FFFFFF"/>
              </w:rPr>
            </w:pPr>
            <w:r w:rsidRPr="00430BA5">
              <w:rPr>
                <w:rFonts w:cs="Calibri"/>
                <w:szCs w:val="22"/>
                <w:shd w:val="clear" w:color="auto" w:fill="FFFFFF"/>
              </w:rPr>
              <w:t>Supersedes and equivalent to CPPHSA4007A Promote the adoption of home sustainability practices by residents</w:t>
            </w:r>
            <w:r>
              <w:rPr>
                <w:rFonts w:cs="Calibri"/>
                <w:szCs w:val="22"/>
                <w:shd w:val="clear" w:color="auto" w:fill="FFFFFF"/>
              </w:rPr>
              <w:t>.</w:t>
            </w:r>
          </w:p>
          <w:p w14:paraId="0924AA9C" w14:textId="3F6D19A1" w:rsidR="00AA77F2" w:rsidRPr="00A73A5F" w:rsidRDefault="00AA77F2" w:rsidP="00AA77F2">
            <w:pPr>
              <w:spacing w:before="40" w:after="40"/>
              <w:rPr>
                <w:rFonts w:cs="Calibri"/>
                <w:szCs w:val="22"/>
                <w:shd w:val="clear" w:color="auto" w:fill="FFFFFF"/>
              </w:rPr>
            </w:pPr>
            <w:r w:rsidRPr="00E505E3">
              <w:rPr>
                <w:color w:val="000000"/>
                <w:szCs w:val="22"/>
                <w:lang w:eastAsia="en-AU"/>
              </w:rPr>
              <w:t>Updated to meet the Standards for Training Packages</w:t>
            </w:r>
            <w:r>
              <w:rPr>
                <w:color w:val="000000"/>
                <w:szCs w:val="22"/>
                <w:lang w:eastAsia="en-AU"/>
              </w:rPr>
              <w:t>.</w:t>
            </w:r>
          </w:p>
        </w:tc>
        <w:tc>
          <w:tcPr>
            <w:tcW w:w="707" w:type="pct"/>
            <w:vAlign w:val="center"/>
          </w:tcPr>
          <w:p w14:paraId="5EB1EA87" w14:textId="553C7487" w:rsidR="00AA77F2" w:rsidRPr="00E505E3" w:rsidRDefault="006E764F" w:rsidP="00AA77F2">
            <w:pPr>
              <w:spacing w:before="40" w:after="40"/>
              <w:jc w:val="center"/>
              <w:rPr>
                <w:color w:val="000000"/>
                <w:szCs w:val="22"/>
                <w:lang w:eastAsia="en-AU"/>
              </w:rPr>
            </w:pPr>
            <w:r>
              <w:rPr>
                <w:color w:val="000000"/>
                <w:szCs w:val="22"/>
                <w:lang w:eastAsia="en-AU"/>
              </w:rPr>
              <w:t>E</w:t>
            </w:r>
          </w:p>
        </w:tc>
      </w:tr>
      <w:tr w:rsidR="001A66C8" w:rsidRPr="00E505E3" w14:paraId="38F9FC1F" w14:textId="77777777" w:rsidTr="001A66C8">
        <w:tc>
          <w:tcPr>
            <w:tcW w:w="5000" w:type="pct"/>
            <w:gridSpan w:val="4"/>
            <w:vAlign w:val="center"/>
          </w:tcPr>
          <w:p w14:paraId="2A44FD44" w14:textId="77777777" w:rsidR="001A66C8" w:rsidRPr="001A66C8" w:rsidRDefault="001A66C8" w:rsidP="001A66C8">
            <w:pPr>
              <w:spacing w:before="40" w:after="40"/>
              <w:rPr>
                <w:b/>
                <w:color w:val="000000"/>
                <w:sz w:val="24"/>
                <w:lang w:eastAsia="en-AU"/>
              </w:rPr>
            </w:pPr>
            <w:r w:rsidRPr="001A66C8">
              <w:rPr>
                <w:b/>
                <w:color w:val="000000"/>
                <w:sz w:val="24"/>
                <w:lang w:eastAsia="en-AU"/>
              </w:rPr>
              <w:t xml:space="preserve">13 units are recommended for removal </w:t>
            </w:r>
          </w:p>
          <w:p w14:paraId="41BE34BD" w14:textId="011C0052" w:rsidR="001A66C8" w:rsidRPr="001A66C8" w:rsidRDefault="001A66C8" w:rsidP="001A66C8">
            <w:pPr>
              <w:spacing w:before="40" w:after="40"/>
              <w:rPr>
                <w:b/>
                <w:color w:val="000000"/>
                <w:szCs w:val="22"/>
                <w:lang w:eastAsia="en-AU"/>
              </w:rPr>
            </w:pPr>
          </w:p>
        </w:tc>
      </w:tr>
      <w:tr w:rsidR="00AA77F2" w:rsidRPr="00E505E3" w14:paraId="6B70F5A3" w14:textId="77777777" w:rsidTr="00E505E3">
        <w:tc>
          <w:tcPr>
            <w:tcW w:w="1255" w:type="pct"/>
            <w:vAlign w:val="center"/>
          </w:tcPr>
          <w:p w14:paraId="4BEAA59F" w14:textId="54C7866A" w:rsidR="00AA77F2" w:rsidRPr="00A133CB" w:rsidRDefault="00AA77F2" w:rsidP="00AA77F2"/>
        </w:tc>
        <w:tc>
          <w:tcPr>
            <w:tcW w:w="1417" w:type="pct"/>
            <w:vAlign w:val="center"/>
          </w:tcPr>
          <w:p w14:paraId="03E0A4E6" w14:textId="524E8338" w:rsidR="00AA77F2" w:rsidRPr="00D22164" w:rsidRDefault="00786882" w:rsidP="00AA77F2">
            <w:pPr>
              <w:spacing w:before="40" w:after="40"/>
              <w:rPr>
                <w:rFonts w:asciiTheme="minorHAnsi" w:hAnsiTheme="minorHAnsi" w:cstheme="minorHAnsi"/>
                <w:szCs w:val="22"/>
                <w:shd w:val="clear" w:color="auto" w:fill="FFFFFF"/>
              </w:rPr>
            </w:pPr>
            <w:hyperlink r:id="rId9" w:tooltip="View details for unit of competency code CPPHSA4006A" w:history="1">
              <w:r w:rsidR="00DD135D" w:rsidRPr="006D5ABE">
                <w:rPr>
                  <w:rFonts w:eastAsia="Times New Roman" w:cstheme="minorHAnsi"/>
                  <w:lang w:eastAsia="en-AU"/>
                </w:rPr>
                <w:t>CPPHSA4006A</w:t>
              </w:r>
            </w:hyperlink>
            <w:r w:rsidR="00DD135D" w:rsidRPr="006D5ABE">
              <w:rPr>
                <w:rFonts w:eastAsia="Times New Roman" w:cstheme="minorHAnsi"/>
                <w:color w:val="333333"/>
                <w:lang w:eastAsia="en-AU"/>
              </w:rPr>
              <w:t xml:space="preserve"> Manage own work, professional development and ethical </w:t>
            </w:r>
            <w:proofErr w:type="spellStart"/>
            <w:r w:rsidR="00DD135D" w:rsidRPr="006D5ABE">
              <w:rPr>
                <w:rFonts w:eastAsia="Times New Roman" w:cstheme="minorHAnsi"/>
                <w:color w:val="333333"/>
                <w:lang w:eastAsia="en-AU"/>
              </w:rPr>
              <w:t>behaviour</w:t>
            </w:r>
            <w:proofErr w:type="spellEnd"/>
            <w:r w:rsidR="00DD135D" w:rsidRPr="006D5ABE">
              <w:rPr>
                <w:rFonts w:eastAsia="Times New Roman" w:cstheme="minorHAnsi"/>
                <w:color w:val="333333"/>
                <w:lang w:eastAsia="en-AU"/>
              </w:rPr>
              <w:t xml:space="preserve"> as a home sustainability assessor</w:t>
            </w:r>
          </w:p>
        </w:tc>
        <w:tc>
          <w:tcPr>
            <w:tcW w:w="1621" w:type="pct"/>
            <w:vAlign w:val="center"/>
          </w:tcPr>
          <w:p w14:paraId="503AE48A" w14:textId="202AB34E" w:rsidR="00DD135D" w:rsidRDefault="00DD135D" w:rsidP="00DD135D">
            <w:pPr>
              <w:rPr>
                <w:rFonts w:cstheme="minorHAnsi"/>
              </w:rPr>
            </w:pPr>
            <w:r>
              <w:rPr>
                <w:rFonts w:cstheme="minorHAnsi"/>
              </w:rPr>
              <w:t>Recommended for removal as there is s</w:t>
            </w:r>
            <w:r w:rsidRPr="009301F8">
              <w:rPr>
                <w:rFonts w:cstheme="minorHAnsi"/>
              </w:rPr>
              <w:t xml:space="preserve">ignificant overlap with CPPHSA4018A Manage own work, professional development and ethical </w:t>
            </w:r>
            <w:proofErr w:type="spellStart"/>
            <w:r w:rsidRPr="009301F8">
              <w:rPr>
                <w:rFonts w:cstheme="minorHAnsi"/>
              </w:rPr>
              <w:t>behaviour</w:t>
            </w:r>
            <w:proofErr w:type="spellEnd"/>
            <w:r>
              <w:rPr>
                <w:rFonts w:cstheme="minorHAnsi"/>
              </w:rPr>
              <w:t xml:space="preserve"> which has been updated to CPPCOM4001 Manage own work, professional development and ethical </w:t>
            </w:r>
            <w:proofErr w:type="spellStart"/>
            <w:r>
              <w:rPr>
                <w:rFonts w:cstheme="minorHAnsi"/>
              </w:rPr>
              <w:t>behaviour</w:t>
            </w:r>
            <w:proofErr w:type="spellEnd"/>
            <w:r>
              <w:rPr>
                <w:rFonts w:cstheme="minorHAnsi"/>
              </w:rPr>
              <w:t xml:space="preserve">. </w:t>
            </w:r>
          </w:p>
          <w:p w14:paraId="5C22C0C1" w14:textId="77777777" w:rsidR="00AA77F2" w:rsidRPr="00A73A5F" w:rsidRDefault="00AA77F2" w:rsidP="00AA77F2">
            <w:pPr>
              <w:spacing w:before="40" w:after="40"/>
              <w:rPr>
                <w:rFonts w:cs="Calibri"/>
                <w:szCs w:val="22"/>
                <w:shd w:val="clear" w:color="auto" w:fill="FFFFFF"/>
              </w:rPr>
            </w:pPr>
          </w:p>
        </w:tc>
        <w:tc>
          <w:tcPr>
            <w:tcW w:w="707" w:type="pct"/>
            <w:vAlign w:val="center"/>
          </w:tcPr>
          <w:p w14:paraId="3C49849B" w14:textId="77777777" w:rsidR="00AA77F2" w:rsidRPr="00E505E3" w:rsidRDefault="00AA77F2" w:rsidP="00AA77F2">
            <w:pPr>
              <w:spacing w:before="40" w:after="40"/>
              <w:jc w:val="center"/>
              <w:rPr>
                <w:color w:val="000000"/>
                <w:szCs w:val="22"/>
                <w:lang w:eastAsia="en-AU"/>
              </w:rPr>
            </w:pPr>
          </w:p>
        </w:tc>
      </w:tr>
    </w:tbl>
    <w:p w14:paraId="5003DBC1" w14:textId="77777777" w:rsidR="00B816E0" w:rsidRDefault="00B816E0">
      <w:r>
        <w:br w:type="page"/>
      </w:r>
    </w:p>
    <w:tbl>
      <w:tblPr>
        <w:tblStyle w:val="TableGridLight1"/>
        <w:tblW w:w="5000" w:type="pct"/>
        <w:tblLook w:val="04A0" w:firstRow="1" w:lastRow="0" w:firstColumn="1" w:lastColumn="0" w:noHBand="0" w:noVBand="1"/>
      </w:tblPr>
      <w:tblGrid>
        <w:gridCol w:w="2401"/>
        <w:gridCol w:w="2711"/>
        <w:gridCol w:w="3101"/>
        <w:gridCol w:w="1352"/>
      </w:tblGrid>
      <w:tr w:rsidR="00B816E0" w:rsidRPr="00E505E3" w14:paraId="4411CF0B" w14:textId="77777777" w:rsidTr="00B3468A">
        <w:tc>
          <w:tcPr>
            <w:tcW w:w="1255" w:type="pct"/>
          </w:tcPr>
          <w:p w14:paraId="7D9AAD57" w14:textId="61D8567D" w:rsidR="00B816E0" w:rsidRPr="00A133CB" w:rsidRDefault="00B816E0" w:rsidP="00B816E0">
            <w:r w:rsidRPr="00E505E3">
              <w:rPr>
                <w:b/>
                <w:szCs w:val="22"/>
              </w:rPr>
              <w:lastRenderedPageBreak/>
              <w:t>CPC Construction, Plumbing and Services Training Package</w:t>
            </w:r>
          </w:p>
        </w:tc>
        <w:tc>
          <w:tcPr>
            <w:tcW w:w="1417" w:type="pct"/>
          </w:tcPr>
          <w:p w14:paraId="31F8EDAC" w14:textId="437AEF59" w:rsidR="00B816E0" w:rsidRDefault="00B816E0" w:rsidP="00B816E0">
            <w:pPr>
              <w:spacing w:before="40" w:after="40"/>
            </w:pPr>
            <w:r w:rsidRPr="00E505E3">
              <w:rPr>
                <w:b/>
                <w:szCs w:val="22"/>
              </w:rPr>
              <w:t>CPC08 Construction, Plumbing and Services Training Package</w:t>
            </w:r>
          </w:p>
        </w:tc>
        <w:tc>
          <w:tcPr>
            <w:tcW w:w="1621" w:type="pct"/>
          </w:tcPr>
          <w:p w14:paraId="35C2BE1F" w14:textId="5E3CFF6C" w:rsidR="00B816E0" w:rsidRPr="009301F8" w:rsidRDefault="00B816E0" w:rsidP="00B816E0">
            <w:pPr>
              <w:rPr>
                <w:rFonts w:cstheme="minorHAnsi"/>
              </w:rPr>
            </w:pPr>
            <w:r w:rsidRPr="00E505E3">
              <w:rPr>
                <w:b/>
                <w:color w:val="000000" w:themeColor="text1"/>
                <w:szCs w:val="22"/>
              </w:rPr>
              <w:t>Comments</w:t>
            </w:r>
          </w:p>
        </w:tc>
        <w:tc>
          <w:tcPr>
            <w:tcW w:w="707" w:type="pct"/>
          </w:tcPr>
          <w:p w14:paraId="0B046E8D" w14:textId="651FC71F" w:rsidR="00B816E0" w:rsidRPr="00E505E3" w:rsidRDefault="00B816E0" w:rsidP="00B816E0">
            <w:pPr>
              <w:spacing w:before="40" w:after="40"/>
              <w:jc w:val="center"/>
              <w:rPr>
                <w:color w:val="000000"/>
                <w:szCs w:val="22"/>
                <w:lang w:eastAsia="en-AU"/>
              </w:rPr>
            </w:pPr>
            <w:r>
              <w:rPr>
                <w:b/>
                <w:color w:val="000000" w:themeColor="text1"/>
                <w:szCs w:val="22"/>
              </w:rPr>
              <w:t xml:space="preserve">Anticipated </w:t>
            </w:r>
            <w:r w:rsidRPr="00E505E3">
              <w:rPr>
                <w:b/>
                <w:color w:val="000000" w:themeColor="text1"/>
                <w:szCs w:val="22"/>
              </w:rPr>
              <w:t>Equivalent statement</w:t>
            </w:r>
          </w:p>
        </w:tc>
      </w:tr>
      <w:tr w:rsidR="00B816E0" w:rsidRPr="00E505E3" w14:paraId="2F722A7F" w14:textId="77777777" w:rsidTr="00E505E3">
        <w:tc>
          <w:tcPr>
            <w:tcW w:w="1255" w:type="pct"/>
            <w:vAlign w:val="center"/>
          </w:tcPr>
          <w:p w14:paraId="678C6B6B" w14:textId="15BB5DA2" w:rsidR="00B816E0" w:rsidRPr="00A133CB" w:rsidRDefault="00B816E0" w:rsidP="00B816E0"/>
        </w:tc>
        <w:tc>
          <w:tcPr>
            <w:tcW w:w="1417" w:type="pct"/>
            <w:vAlign w:val="center"/>
          </w:tcPr>
          <w:p w14:paraId="1101D5CB" w14:textId="068FB63A" w:rsidR="00B816E0" w:rsidRPr="00D22164" w:rsidRDefault="00786882" w:rsidP="00B816E0">
            <w:pPr>
              <w:spacing w:before="40" w:after="40"/>
              <w:rPr>
                <w:rFonts w:asciiTheme="minorHAnsi" w:hAnsiTheme="minorHAnsi" w:cstheme="minorHAnsi"/>
                <w:szCs w:val="22"/>
                <w:shd w:val="clear" w:color="auto" w:fill="FFFFFF"/>
              </w:rPr>
            </w:pPr>
            <w:hyperlink r:id="rId10" w:tooltip="View details for unit of competency code CPPHSA4008A" w:history="1">
              <w:r w:rsidR="00B816E0" w:rsidRPr="006D5ABE">
                <w:rPr>
                  <w:rFonts w:eastAsia="Times New Roman" w:cstheme="minorHAnsi"/>
                  <w:lang w:eastAsia="en-AU"/>
                </w:rPr>
                <w:t xml:space="preserve">CPPHSA4008A </w:t>
              </w:r>
            </w:hyperlink>
            <w:r w:rsidR="00B816E0" w:rsidRPr="006D5ABE">
              <w:rPr>
                <w:rFonts w:eastAsia="Times New Roman" w:cstheme="minorHAnsi"/>
                <w:color w:val="333333"/>
                <w:lang w:eastAsia="en-AU"/>
              </w:rPr>
              <w:t>Apply sustainability principles, legislation and information on government programs</w:t>
            </w:r>
          </w:p>
        </w:tc>
        <w:tc>
          <w:tcPr>
            <w:tcW w:w="1621" w:type="pct"/>
            <w:vAlign w:val="center"/>
          </w:tcPr>
          <w:p w14:paraId="637469EC" w14:textId="77777777" w:rsidR="00B816E0" w:rsidRPr="009301F8" w:rsidRDefault="00B816E0" w:rsidP="00B816E0">
            <w:pPr>
              <w:rPr>
                <w:rFonts w:cstheme="minorHAnsi"/>
              </w:rPr>
            </w:pPr>
            <w:r w:rsidRPr="009301F8">
              <w:rPr>
                <w:rFonts w:cstheme="minorHAnsi"/>
              </w:rPr>
              <w:t>Incorporated into relevant updated units</w:t>
            </w:r>
            <w:r>
              <w:rPr>
                <w:rFonts w:cstheme="minorHAnsi"/>
              </w:rPr>
              <w:t>.</w:t>
            </w:r>
          </w:p>
          <w:p w14:paraId="04106A97" w14:textId="77777777" w:rsidR="00B816E0" w:rsidRPr="009301F8" w:rsidRDefault="00B816E0" w:rsidP="00B816E0">
            <w:pPr>
              <w:rPr>
                <w:rFonts w:cstheme="minorHAnsi"/>
              </w:rPr>
            </w:pPr>
            <w:r>
              <w:rPr>
                <w:rFonts w:cstheme="minorHAnsi"/>
              </w:rPr>
              <w:t xml:space="preserve">Assess household energy use and efficiency improvements; </w:t>
            </w:r>
          </w:p>
          <w:p w14:paraId="04D5CCE5" w14:textId="77777777" w:rsidR="00B816E0" w:rsidRPr="009301F8" w:rsidRDefault="00B816E0" w:rsidP="00B816E0">
            <w:pPr>
              <w:rPr>
                <w:rFonts w:cstheme="minorHAnsi"/>
              </w:rPr>
            </w:pPr>
            <w:r>
              <w:rPr>
                <w:rFonts w:cstheme="minorHAnsi"/>
              </w:rPr>
              <w:t xml:space="preserve">Assess household water use and efficiency improvements; </w:t>
            </w:r>
          </w:p>
          <w:p w14:paraId="0E739222" w14:textId="6A1A9736" w:rsidR="00B816E0" w:rsidRPr="00A73A5F" w:rsidRDefault="00B816E0" w:rsidP="00B816E0">
            <w:pPr>
              <w:spacing w:before="40" w:after="40"/>
              <w:rPr>
                <w:rFonts w:cs="Calibri"/>
                <w:szCs w:val="22"/>
                <w:shd w:val="clear" w:color="auto" w:fill="FFFFFF"/>
              </w:rPr>
            </w:pPr>
            <w:r>
              <w:rPr>
                <w:rFonts w:cstheme="minorHAnsi"/>
              </w:rPr>
              <w:t>Assess household waste generation and waste management improvements.</w:t>
            </w:r>
          </w:p>
        </w:tc>
        <w:tc>
          <w:tcPr>
            <w:tcW w:w="707" w:type="pct"/>
            <w:vAlign w:val="center"/>
          </w:tcPr>
          <w:p w14:paraId="02B9DD79" w14:textId="77777777" w:rsidR="00B816E0" w:rsidRPr="00E505E3" w:rsidRDefault="00B816E0" w:rsidP="00B816E0">
            <w:pPr>
              <w:spacing w:before="40" w:after="40"/>
              <w:jc w:val="center"/>
              <w:rPr>
                <w:color w:val="000000"/>
                <w:szCs w:val="22"/>
                <w:lang w:eastAsia="en-AU"/>
              </w:rPr>
            </w:pPr>
          </w:p>
        </w:tc>
      </w:tr>
      <w:tr w:rsidR="0080637B" w:rsidRPr="00E505E3" w14:paraId="3B9FFF51" w14:textId="77777777" w:rsidTr="00E505E3">
        <w:tc>
          <w:tcPr>
            <w:tcW w:w="1255" w:type="pct"/>
            <w:vAlign w:val="center"/>
          </w:tcPr>
          <w:p w14:paraId="6611F198" w14:textId="29E0C625" w:rsidR="0080637B" w:rsidRPr="00A133CB" w:rsidRDefault="0080637B" w:rsidP="0080637B"/>
        </w:tc>
        <w:tc>
          <w:tcPr>
            <w:tcW w:w="1417" w:type="pct"/>
            <w:vAlign w:val="center"/>
          </w:tcPr>
          <w:p w14:paraId="596E47AF" w14:textId="7CD2B278" w:rsidR="0080637B" w:rsidRPr="00D22164" w:rsidRDefault="00786882" w:rsidP="0080637B">
            <w:pPr>
              <w:spacing w:before="40" w:after="40"/>
              <w:rPr>
                <w:rFonts w:asciiTheme="minorHAnsi" w:hAnsiTheme="minorHAnsi" w:cstheme="minorHAnsi"/>
                <w:szCs w:val="22"/>
                <w:shd w:val="clear" w:color="auto" w:fill="FFFFFF"/>
              </w:rPr>
            </w:pPr>
            <w:hyperlink r:id="rId11" w:tooltip="View details for unit of competency code CPPHSA4010A" w:history="1">
              <w:r w:rsidR="0080637B" w:rsidRPr="006D5ABE">
                <w:rPr>
                  <w:rFonts w:eastAsia="Times New Roman" w:cstheme="minorHAnsi"/>
                  <w:lang w:eastAsia="en-AU"/>
                </w:rPr>
                <w:t xml:space="preserve">CPPHSA4010A </w:t>
              </w:r>
            </w:hyperlink>
            <w:r w:rsidR="0080637B" w:rsidRPr="006D5ABE">
              <w:rPr>
                <w:rFonts w:eastAsia="Times New Roman" w:cstheme="minorHAnsi"/>
                <w:color w:val="333333"/>
                <w:lang w:eastAsia="en-AU"/>
              </w:rPr>
              <w:t>Estimate the cost of home sustainability measures</w:t>
            </w:r>
          </w:p>
        </w:tc>
        <w:tc>
          <w:tcPr>
            <w:tcW w:w="1621" w:type="pct"/>
            <w:vAlign w:val="center"/>
          </w:tcPr>
          <w:p w14:paraId="7E71C26F" w14:textId="77777777" w:rsidR="0080637B" w:rsidRDefault="0080637B" w:rsidP="0080637B">
            <w:pPr>
              <w:rPr>
                <w:rFonts w:cstheme="minorHAnsi"/>
              </w:rPr>
            </w:pPr>
            <w:r w:rsidRPr="009301F8">
              <w:rPr>
                <w:rFonts w:cstheme="minorHAnsi"/>
              </w:rPr>
              <w:t xml:space="preserve">Significant overlap with CPPHSA4017A Cost measures to improve thermal performance of residential buildings, also recommended for deletion. </w:t>
            </w:r>
          </w:p>
          <w:p w14:paraId="76C0DAE3" w14:textId="60350152" w:rsidR="0080637B" w:rsidRPr="00B816E0" w:rsidRDefault="0080637B" w:rsidP="00B816E0">
            <w:pPr>
              <w:rPr>
                <w:rFonts w:cstheme="minorHAnsi"/>
              </w:rPr>
            </w:pPr>
            <w:r>
              <w:rPr>
                <w:rFonts w:cstheme="minorHAnsi"/>
              </w:rPr>
              <w:t xml:space="preserve">The TAG advised that </w:t>
            </w:r>
            <w:proofErr w:type="spellStart"/>
            <w:r>
              <w:rPr>
                <w:rFonts w:cstheme="minorHAnsi"/>
              </w:rPr>
              <w:t>NatHERS</w:t>
            </w:r>
            <w:proofErr w:type="spellEnd"/>
            <w:r>
              <w:rPr>
                <w:rFonts w:cstheme="minorHAnsi"/>
              </w:rPr>
              <w:t xml:space="preserve"> and Home Sustainability Assessors don’t do formal estimates but rather provide indicative costs. The concepts of indicative costs and cost effectiveness are reflected in the units.</w:t>
            </w:r>
          </w:p>
        </w:tc>
        <w:tc>
          <w:tcPr>
            <w:tcW w:w="707" w:type="pct"/>
            <w:vAlign w:val="center"/>
          </w:tcPr>
          <w:p w14:paraId="5F9A4042" w14:textId="77777777" w:rsidR="0080637B" w:rsidRPr="00E505E3" w:rsidRDefault="0080637B" w:rsidP="0080637B">
            <w:pPr>
              <w:spacing w:before="40" w:after="40"/>
              <w:jc w:val="center"/>
              <w:rPr>
                <w:color w:val="000000"/>
                <w:szCs w:val="22"/>
                <w:lang w:eastAsia="en-AU"/>
              </w:rPr>
            </w:pPr>
          </w:p>
        </w:tc>
      </w:tr>
      <w:tr w:rsidR="0080637B" w:rsidRPr="00E505E3" w14:paraId="3AC71F82" w14:textId="77777777" w:rsidTr="00E505E3">
        <w:tc>
          <w:tcPr>
            <w:tcW w:w="1255" w:type="pct"/>
            <w:vAlign w:val="center"/>
          </w:tcPr>
          <w:p w14:paraId="6BAE708F" w14:textId="0A56CF53" w:rsidR="0080637B" w:rsidRPr="00A133CB" w:rsidRDefault="0080637B" w:rsidP="0080637B"/>
        </w:tc>
        <w:tc>
          <w:tcPr>
            <w:tcW w:w="1417" w:type="pct"/>
            <w:vAlign w:val="center"/>
          </w:tcPr>
          <w:p w14:paraId="1E21085A" w14:textId="245DBF5B" w:rsidR="0080637B" w:rsidRPr="00D22164" w:rsidRDefault="00786882" w:rsidP="0080637B">
            <w:pPr>
              <w:spacing w:before="40" w:after="40"/>
              <w:rPr>
                <w:rFonts w:asciiTheme="minorHAnsi" w:hAnsiTheme="minorHAnsi" w:cstheme="minorHAnsi"/>
                <w:szCs w:val="22"/>
                <w:shd w:val="clear" w:color="auto" w:fill="FFFFFF"/>
              </w:rPr>
            </w:pPr>
            <w:hyperlink r:id="rId12" w:tooltip="View details for unit of competency code CPPHSA4011A" w:history="1">
              <w:r w:rsidR="0080637B" w:rsidRPr="006D5ABE">
                <w:rPr>
                  <w:rFonts w:eastAsia="Times New Roman" w:cstheme="minorHAnsi"/>
                  <w:lang w:eastAsia="en-AU"/>
                </w:rPr>
                <w:t xml:space="preserve">CPPHSA4011A </w:t>
              </w:r>
            </w:hyperlink>
            <w:r w:rsidR="0080637B" w:rsidRPr="006D5ABE">
              <w:rPr>
                <w:rFonts w:eastAsia="Times New Roman" w:cstheme="minorHAnsi"/>
                <w:color w:val="333333"/>
                <w:lang w:eastAsia="en-AU"/>
              </w:rPr>
              <w:t xml:space="preserve">Collect information to support </w:t>
            </w:r>
            <w:proofErr w:type="spellStart"/>
            <w:r w:rsidR="0080637B" w:rsidRPr="006D5ABE">
              <w:rPr>
                <w:rFonts w:eastAsia="Times New Roman" w:cstheme="minorHAnsi"/>
                <w:color w:val="333333"/>
                <w:lang w:eastAsia="en-AU"/>
              </w:rPr>
              <w:t>NatHERS</w:t>
            </w:r>
            <w:proofErr w:type="spellEnd"/>
            <w:r w:rsidR="0080637B" w:rsidRPr="006D5ABE">
              <w:rPr>
                <w:rFonts w:eastAsia="Times New Roman" w:cstheme="minorHAnsi"/>
                <w:color w:val="333333"/>
                <w:lang w:eastAsia="en-AU"/>
              </w:rPr>
              <w:t xml:space="preserve"> assessment</w:t>
            </w:r>
          </w:p>
        </w:tc>
        <w:tc>
          <w:tcPr>
            <w:tcW w:w="1621" w:type="pct"/>
            <w:vAlign w:val="center"/>
          </w:tcPr>
          <w:p w14:paraId="744A1579" w14:textId="6E8A35BC" w:rsidR="0080637B" w:rsidRPr="00A73A5F" w:rsidRDefault="0080637B" w:rsidP="0080637B">
            <w:pPr>
              <w:spacing w:before="40" w:after="40"/>
              <w:rPr>
                <w:rFonts w:cs="Calibri"/>
                <w:szCs w:val="22"/>
                <w:shd w:val="clear" w:color="auto" w:fill="FFFFFF"/>
              </w:rPr>
            </w:pPr>
            <w:r w:rsidRPr="009301F8">
              <w:rPr>
                <w:rFonts w:cstheme="minorHAnsi"/>
              </w:rPr>
              <w:t>Embedded in updated unit</w:t>
            </w:r>
            <w:r>
              <w:rPr>
                <w:rFonts w:cstheme="minorHAnsi"/>
              </w:rPr>
              <w:t>s</w:t>
            </w:r>
            <w:r w:rsidRPr="009301F8">
              <w:rPr>
                <w:rFonts w:cstheme="minorHAnsi"/>
              </w:rPr>
              <w:t xml:space="preserve"> </w:t>
            </w:r>
            <w:r>
              <w:t>CPPHES4005 Conduct thermal performance assessment of residential buildings and CPPHES5001 Conduct thermal performance assessment of complex residential buildings.</w:t>
            </w:r>
          </w:p>
        </w:tc>
        <w:tc>
          <w:tcPr>
            <w:tcW w:w="707" w:type="pct"/>
            <w:vAlign w:val="center"/>
          </w:tcPr>
          <w:p w14:paraId="5926A650" w14:textId="77777777" w:rsidR="0080637B" w:rsidRPr="00E505E3" w:rsidRDefault="0080637B" w:rsidP="0080637B">
            <w:pPr>
              <w:spacing w:before="40" w:after="40"/>
              <w:jc w:val="center"/>
              <w:rPr>
                <w:color w:val="000000"/>
                <w:szCs w:val="22"/>
                <w:lang w:eastAsia="en-AU"/>
              </w:rPr>
            </w:pPr>
          </w:p>
        </w:tc>
      </w:tr>
      <w:tr w:rsidR="0080637B" w:rsidRPr="00E505E3" w14:paraId="0CB3A6B4" w14:textId="77777777" w:rsidTr="00E505E3">
        <w:tc>
          <w:tcPr>
            <w:tcW w:w="1255" w:type="pct"/>
            <w:vAlign w:val="center"/>
          </w:tcPr>
          <w:p w14:paraId="2928FD9A" w14:textId="062C90FF" w:rsidR="0080637B" w:rsidRPr="00A133CB" w:rsidRDefault="0080637B" w:rsidP="0080637B"/>
        </w:tc>
        <w:tc>
          <w:tcPr>
            <w:tcW w:w="1417" w:type="pct"/>
            <w:vAlign w:val="center"/>
          </w:tcPr>
          <w:p w14:paraId="1F641C7A" w14:textId="7F7EF60E" w:rsidR="0080637B" w:rsidRPr="00D22164" w:rsidRDefault="00786882" w:rsidP="0080637B">
            <w:pPr>
              <w:spacing w:before="40" w:after="40"/>
              <w:rPr>
                <w:rFonts w:asciiTheme="minorHAnsi" w:hAnsiTheme="minorHAnsi" w:cstheme="minorHAnsi"/>
                <w:color w:val="000000"/>
                <w:szCs w:val="22"/>
                <w:lang w:eastAsia="en-AU"/>
              </w:rPr>
            </w:pPr>
            <w:hyperlink r:id="rId13" w:tooltip="View details for unit of competency code CPPHSA4013A" w:history="1">
              <w:r w:rsidR="0080637B" w:rsidRPr="006D5ABE">
                <w:rPr>
                  <w:rFonts w:eastAsia="Times New Roman" w:cstheme="minorHAnsi"/>
                  <w:lang w:eastAsia="en-AU"/>
                </w:rPr>
                <w:t xml:space="preserve">CPPHSA4013A </w:t>
              </w:r>
            </w:hyperlink>
            <w:r w:rsidR="0080637B" w:rsidRPr="006D5ABE">
              <w:rPr>
                <w:rFonts w:eastAsia="Times New Roman" w:cstheme="minorHAnsi"/>
                <w:color w:val="333333"/>
                <w:lang w:eastAsia="en-AU"/>
              </w:rPr>
              <w:t xml:space="preserve">Conduct </w:t>
            </w:r>
            <w:proofErr w:type="spellStart"/>
            <w:r w:rsidR="0080637B" w:rsidRPr="006D5ABE">
              <w:rPr>
                <w:rFonts w:eastAsia="Times New Roman" w:cstheme="minorHAnsi"/>
                <w:color w:val="333333"/>
                <w:lang w:eastAsia="en-AU"/>
              </w:rPr>
              <w:t>NatHERS</w:t>
            </w:r>
            <w:proofErr w:type="spellEnd"/>
            <w:r w:rsidR="0080637B" w:rsidRPr="006D5ABE">
              <w:rPr>
                <w:rFonts w:eastAsia="Times New Roman" w:cstheme="minorHAnsi"/>
                <w:color w:val="333333"/>
                <w:lang w:eastAsia="en-AU"/>
              </w:rPr>
              <w:t xml:space="preserve"> assessment of existing residential buildings</w:t>
            </w:r>
          </w:p>
        </w:tc>
        <w:tc>
          <w:tcPr>
            <w:tcW w:w="1621" w:type="pct"/>
            <w:vAlign w:val="center"/>
          </w:tcPr>
          <w:p w14:paraId="3349B72C" w14:textId="7248B023" w:rsidR="0080637B" w:rsidRPr="00A73A5F" w:rsidRDefault="0080637B" w:rsidP="0080637B">
            <w:pPr>
              <w:spacing w:before="40" w:after="40"/>
              <w:rPr>
                <w:rFonts w:cs="Calibri"/>
                <w:szCs w:val="22"/>
                <w:shd w:val="clear" w:color="auto" w:fill="FFFFFF"/>
              </w:rPr>
            </w:pPr>
            <w:r>
              <w:rPr>
                <w:rFonts w:cstheme="minorHAnsi"/>
              </w:rPr>
              <w:t xml:space="preserve">Significant overlap with </w:t>
            </w:r>
            <w:r w:rsidRPr="009301F8">
              <w:rPr>
                <w:rFonts w:cstheme="minorHAnsi"/>
              </w:rPr>
              <w:t xml:space="preserve">CPPHSA4012A Conduct </w:t>
            </w:r>
            <w:proofErr w:type="spellStart"/>
            <w:r w:rsidRPr="009301F8">
              <w:rPr>
                <w:rFonts w:eastAsia="Times New Roman" w:cstheme="minorHAnsi"/>
                <w:color w:val="333333"/>
                <w:lang w:eastAsia="en-AU"/>
              </w:rPr>
              <w:t>NatHERS</w:t>
            </w:r>
            <w:proofErr w:type="spellEnd"/>
            <w:r w:rsidRPr="009301F8">
              <w:rPr>
                <w:rFonts w:eastAsia="Times New Roman" w:cstheme="minorHAnsi"/>
                <w:color w:val="333333"/>
                <w:lang w:eastAsia="en-AU"/>
              </w:rPr>
              <w:t xml:space="preserve"> assessment of planned residential building</w:t>
            </w:r>
            <w:r>
              <w:rPr>
                <w:rFonts w:eastAsia="Times New Roman" w:cstheme="minorHAnsi"/>
                <w:color w:val="333333"/>
                <w:lang w:eastAsia="en-AU"/>
              </w:rPr>
              <w:t>. Updated unit refers to both existing and planned.</w:t>
            </w:r>
          </w:p>
        </w:tc>
        <w:tc>
          <w:tcPr>
            <w:tcW w:w="707" w:type="pct"/>
            <w:vAlign w:val="center"/>
          </w:tcPr>
          <w:p w14:paraId="2E04E436" w14:textId="4F0803E2" w:rsidR="0080637B" w:rsidRPr="00E505E3" w:rsidRDefault="0080637B" w:rsidP="0080637B">
            <w:pPr>
              <w:spacing w:before="40" w:after="40"/>
              <w:jc w:val="center"/>
              <w:rPr>
                <w:color w:val="000000"/>
                <w:szCs w:val="22"/>
                <w:lang w:eastAsia="en-AU"/>
              </w:rPr>
            </w:pPr>
          </w:p>
        </w:tc>
      </w:tr>
      <w:tr w:rsidR="0080637B" w:rsidRPr="00E505E3" w14:paraId="462EFB9C" w14:textId="77777777" w:rsidTr="00E505E3">
        <w:tc>
          <w:tcPr>
            <w:tcW w:w="1255" w:type="pct"/>
            <w:vAlign w:val="center"/>
          </w:tcPr>
          <w:p w14:paraId="165B035B" w14:textId="3A430016" w:rsidR="0080637B" w:rsidRPr="00A133CB" w:rsidRDefault="0080637B" w:rsidP="0080637B"/>
        </w:tc>
        <w:tc>
          <w:tcPr>
            <w:tcW w:w="1417" w:type="pct"/>
            <w:vAlign w:val="center"/>
          </w:tcPr>
          <w:p w14:paraId="3C9C86C9" w14:textId="1C3C6462" w:rsidR="0080637B" w:rsidRPr="00D22164" w:rsidRDefault="00786882" w:rsidP="0080637B">
            <w:pPr>
              <w:spacing w:before="40" w:after="40"/>
              <w:rPr>
                <w:rFonts w:asciiTheme="minorHAnsi" w:hAnsiTheme="minorHAnsi" w:cstheme="minorHAnsi"/>
                <w:color w:val="000000"/>
                <w:szCs w:val="22"/>
              </w:rPr>
            </w:pPr>
            <w:hyperlink r:id="rId14" w:tooltip="View details for unit of competency code CPPHSA4014A" w:history="1">
              <w:r w:rsidR="0080637B" w:rsidRPr="006D5ABE">
                <w:rPr>
                  <w:rFonts w:eastAsia="Times New Roman" w:cstheme="minorHAnsi"/>
                  <w:lang w:eastAsia="en-AU"/>
                </w:rPr>
                <w:t xml:space="preserve">CPPHSA4014A </w:t>
              </w:r>
            </w:hyperlink>
            <w:r w:rsidR="0080637B" w:rsidRPr="006D5ABE">
              <w:rPr>
                <w:rFonts w:eastAsia="Times New Roman" w:cstheme="minorHAnsi"/>
                <w:color w:val="333333"/>
                <w:lang w:eastAsia="en-AU"/>
              </w:rPr>
              <w:t xml:space="preserve">Meet regulatory requirements when completing </w:t>
            </w:r>
            <w:proofErr w:type="spellStart"/>
            <w:r w:rsidR="0080637B" w:rsidRPr="006D5ABE">
              <w:rPr>
                <w:rFonts w:eastAsia="Times New Roman" w:cstheme="minorHAnsi"/>
                <w:color w:val="333333"/>
                <w:lang w:eastAsia="en-AU"/>
              </w:rPr>
              <w:t>NatHERS</w:t>
            </w:r>
            <w:proofErr w:type="spellEnd"/>
            <w:r w:rsidR="0080637B" w:rsidRPr="006D5ABE">
              <w:rPr>
                <w:rFonts w:eastAsia="Times New Roman" w:cstheme="minorHAnsi"/>
                <w:color w:val="333333"/>
                <w:lang w:eastAsia="en-AU"/>
              </w:rPr>
              <w:t xml:space="preserve"> assessments</w:t>
            </w:r>
          </w:p>
        </w:tc>
        <w:tc>
          <w:tcPr>
            <w:tcW w:w="1621" w:type="pct"/>
          </w:tcPr>
          <w:p w14:paraId="5BEBA6DB" w14:textId="6F6C2EFF" w:rsidR="0080637B" w:rsidRPr="00A73A5F" w:rsidRDefault="0080637B" w:rsidP="0080637B">
            <w:pPr>
              <w:spacing w:before="40" w:after="40"/>
              <w:rPr>
                <w:rFonts w:cs="Calibri"/>
                <w:szCs w:val="22"/>
                <w:shd w:val="clear" w:color="auto" w:fill="FFFFFF"/>
              </w:rPr>
            </w:pPr>
            <w:r w:rsidRPr="009301F8">
              <w:rPr>
                <w:rFonts w:cstheme="minorHAnsi"/>
              </w:rPr>
              <w:t xml:space="preserve">Embedded in relevant updated units </w:t>
            </w:r>
            <w:r>
              <w:t>CPPHES4005 Conduct thermal performance assessment of residential buildings and CPPHES5001 Conduct thermal performance assessment of complex residential buildings.</w:t>
            </w:r>
          </w:p>
        </w:tc>
        <w:tc>
          <w:tcPr>
            <w:tcW w:w="707" w:type="pct"/>
            <w:vAlign w:val="center"/>
          </w:tcPr>
          <w:p w14:paraId="7A6D1797" w14:textId="0189CC79" w:rsidR="0080637B" w:rsidRPr="00E505E3" w:rsidRDefault="0080637B" w:rsidP="0080637B">
            <w:pPr>
              <w:spacing w:before="40" w:after="40"/>
              <w:jc w:val="center"/>
              <w:rPr>
                <w:color w:val="000000"/>
                <w:szCs w:val="22"/>
                <w:lang w:eastAsia="en-AU"/>
              </w:rPr>
            </w:pPr>
          </w:p>
        </w:tc>
      </w:tr>
      <w:tr w:rsidR="0080637B" w:rsidRPr="00E505E3" w14:paraId="4FBEA8E4" w14:textId="77777777" w:rsidTr="00E505E3">
        <w:tc>
          <w:tcPr>
            <w:tcW w:w="1255" w:type="pct"/>
            <w:vAlign w:val="center"/>
          </w:tcPr>
          <w:p w14:paraId="42CA2E41" w14:textId="0F8036AA" w:rsidR="0080637B" w:rsidRPr="00E505E3" w:rsidRDefault="0080637B" w:rsidP="0080637B">
            <w:pPr>
              <w:rPr>
                <w:rFonts w:cs="Calibri"/>
                <w:color w:val="000000"/>
                <w:szCs w:val="22"/>
              </w:rPr>
            </w:pPr>
          </w:p>
        </w:tc>
        <w:tc>
          <w:tcPr>
            <w:tcW w:w="1417" w:type="pct"/>
            <w:vAlign w:val="center"/>
          </w:tcPr>
          <w:p w14:paraId="615D3BFE" w14:textId="014AE634" w:rsidR="0080637B" w:rsidRPr="00D22164" w:rsidRDefault="0080637B" w:rsidP="0080637B">
            <w:pPr>
              <w:spacing w:before="40" w:after="40"/>
              <w:rPr>
                <w:rFonts w:asciiTheme="minorHAnsi" w:hAnsiTheme="minorHAnsi" w:cstheme="minorHAnsi"/>
                <w:color w:val="000000"/>
                <w:szCs w:val="22"/>
              </w:rPr>
            </w:pPr>
            <w:r w:rsidRPr="006D5ABE">
              <w:rPr>
                <w:rFonts w:eastAsia="Times New Roman" w:cstheme="minorHAnsi"/>
                <w:lang w:eastAsia="en-AU"/>
              </w:rPr>
              <w:t>CPPHSA4016A</w:t>
            </w:r>
            <w:r>
              <w:rPr>
                <w:rFonts w:eastAsia="Times New Roman" w:cstheme="minorHAnsi"/>
                <w:lang w:eastAsia="en-AU"/>
              </w:rPr>
              <w:t xml:space="preserve"> </w:t>
            </w:r>
            <w:r w:rsidRPr="006D5ABE">
              <w:rPr>
                <w:rFonts w:eastAsia="Times New Roman" w:cstheme="minorHAnsi"/>
                <w:color w:val="333333"/>
                <w:lang w:eastAsia="en-AU"/>
              </w:rPr>
              <w:t>Advise on options for enhancing thermal performance of residential buildings</w:t>
            </w:r>
          </w:p>
        </w:tc>
        <w:tc>
          <w:tcPr>
            <w:tcW w:w="1621" w:type="pct"/>
          </w:tcPr>
          <w:p w14:paraId="05D44A20" w14:textId="77777777" w:rsidR="0080637B" w:rsidRDefault="0080637B" w:rsidP="0080637B">
            <w:pPr>
              <w:rPr>
                <w:rFonts w:cstheme="minorHAnsi"/>
              </w:rPr>
            </w:pPr>
            <w:r>
              <w:rPr>
                <w:rFonts w:cstheme="minorHAnsi"/>
              </w:rPr>
              <w:t>Embedded in relevant units.</w:t>
            </w:r>
          </w:p>
          <w:p w14:paraId="50D37669" w14:textId="3FB0DE99" w:rsidR="0080637B" w:rsidRPr="00A73A5F" w:rsidRDefault="0080637B" w:rsidP="0080637B">
            <w:pPr>
              <w:spacing w:before="40" w:after="40"/>
              <w:rPr>
                <w:rFonts w:cs="Calibri"/>
                <w:szCs w:val="22"/>
                <w:shd w:val="clear" w:color="auto" w:fill="FFFFFF"/>
              </w:rPr>
            </w:pPr>
          </w:p>
        </w:tc>
        <w:tc>
          <w:tcPr>
            <w:tcW w:w="707" w:type="pct"/>
            <w:vAlign w:val="center"/>
          </w:tcPr>
          <w:p w14:paraId="5B726CA4" w14:textId="1E75E97E" w:rsidR="0080637B" w:rsidRPr="00E505E3" w:rsidRDefault="0080637B" w:rsidP="0080637B">
            <w:pPr>
              <w:spacing w:before="40" w:after="40"/>
              <w:jc w:val="center"/>
              <w:rPr>
                <w:color w:val="000000"/>
                <w:szCs w:val="22"/>
                <w:lang w:eastAsia="en-AU"/>
              </w:rPr>
            </w:pPr>
          </w:p>
        </w:tc>
      </w:tr>
    </w:tbl>
    <w:p w14:paraId="2723B762" w14:textId="77777777" w:rsidR="0080637B" w:rsidRDefault="0080637B">
      <w:r>
        <w:br w:type="page"/>
      </w:r>
    </w:p>
    <w:tbl>
      <w:tblPr>
        <w:tblStyle w:val="TableGridLight1"/>
        <w:tblW w:w="5000" w:type="pct"/>
        <w:tblLook w:val="04A0" w:firstRow="1" w:lastRow="0" w:firstColumn="1" w:lastColumn="0" w:noHBand="0" w:noVBand="1"/>
      </w:tblPr>
      <w:tblGrid>
        <w:gridCol w:w="2401"/>
        <w:gridCol w:w="2711"/>
        <w:gridCol w:w="3101"/>
        <w:gridCol w:w="1352"/>
      </w:tblGrid>
      <w:tr w:rsidR="0080637B" w:rsidRPr="00E505E3" w14:paraId="287AD393" w14:textId="77777777" w:rsidTr="00B93B2F">
        <w:tc>
          <w:tcPr>
            <w:tcW w:w="1255" w:type="pct"/>
          </w:tcPr>
          <w:p w14:paraId="5FB65183" w14:textId="4D113789" w:rsidR="0080637B" w:rsidRPr="00E505E3" w:rsidRDefault="0080637B" w:rsidP="0080637B">
            <w:pPr>
              <w:rPr>
                <w:rFonts w:cs="Calibri"/>
                <w:color w:val="000000"/>
                <w:szCs w:val="22"/>
              </w:rPr>
            </w:pPr>
            <w:r w:rsidRPr="00E505E3">
              <w:rPr>
                <w:b/>
                <w:szCs w:val="22"/>
              </w:rPr>
              <w:lastRenderedPageBreak/>
              <w:t>CPC Construction, Plumbing and Services Training Package</w:t>
            </w:r>
          </w:p>
        </w:tc>
        <w:tc>
          <w:tcPr>
            <w:tcW w:w="1417" w:type="pct"/>
          </w:tcPr>
          <w:p w14:paraId="7061F384" w14:textId="288C5977" w:rsidR="0080637B" w:rsidRDefault="0080637B" w:rsidP="0080637B">
            <w:pPr>
              <w:spacing w:before="40" w:after="40"/>
            </w:pPr>
            <w:r w:rsidRPr="00E505E3">
              <w:rPr>
                <w:b/>
                <w:szCs w:val="22"/>
              </w:rPr>
              <w:t>CPC08 Construction, Plumbing and Services Training Package</w:t>
            </w:r>
          </w:p>
        </w:tc>
        <w:tc>
          <w:tcPr>
            <w:tcW w:w="1621" w:type="pct"/>
          </w:tcPr>
          <w:p w14:paraId="78C8027D" w14:textId="2B50E3C7" w:rsidR="0080637B" w:rsidRPr="009301F8" w:rsidRDefault="0080637B" w:rsidP="0080637B">
            <w:pPr>
              <w:spacing w:before="40" w:after="40"/>
              <w:rPr>
                <w:rFonts w:cstheme="minorHAnsi"/>
              </w:rPr>
            </w:pPr>
            <w:r w:rsidRPr="00E505E3">
              <w:rPr>
                <w:b/>
                <w:color w:val="000000" w:themeColor="text1"/>
                <w:szCs w:val="22"/>
              </w:rPr>
              <w:t>Comments</w:t>
            </w:r>
          </w:p>
        </w:tc>
        <w:tc>
          <w:tcPr>
            <w:tcW w:w="707" w:type="pct"/>
          </w:tcPr>
          <w:p w14:paraId="2C147936" w14:textId="593F0FF3" w:rsidR="0080637B" w:rsidRPr="00E505E3" w:rsidRDefault="0080637B" w:rsidP="0080637B">
            <w:pPr>
              <w:spacing w:before="40" w:after="40"/>
              <w:jc w:val="center"/>
              <w:rPr>
                <w:color w:val="000000"/>
                <w:szCs w:val="22"/>
                <w:lang w:eastAsia="en-AU"/>
              </w:rPr>
            </w:pPr>
            <w:r>
              <w:rPr>
                <w:b/>
                <w:color w:val="000000" w:themeColor="text1"/>
                <w:szCs w:val="22"/>
              </w:rPr>
              <w:t xml:space="preserve">Anticipated </w:t>
            </w:r>
            <w:r w:rsidRPr="00E505E3">
              <w:rPr>
                <w:b/>
                <w:color w:val="000000" w:themeColor="text1"/>
                <w:szCs w:val="22"/>
              </w:rPr>
              <w:t>Equivalent statement</w:t>
            </w:r>
          </w:p>
        </w:tc>
      </w:tr>
      <w:tr w:rsidR="0080637B" w:rsidRPr="00E505E3" w14:paraId="265C9799" w14:textId="77777777" w:rsidTr="00E81763">
        <w:tc>
          <w:tcPr>
            <w:tcW w:w="1255" w:type="pct"/>
            <w:vAlign w:val="center"/>
          </w:tcPr>
          <w:p w14:paraId="05EE5DBA" w14:textId="4E156DD7" w:rsidR="0080637B" w:rsidRPr="00E505E3" w:rsidRDefault="0080637B" w:rsidP="0080637B">
            <w:pPr>
              <w:rPr>
                <w:rFonts w:cs="Calibri"/>
                <w:color w:val="000000"/>
                <w:szCs w:val="22"/>
              </w:rPr>
            </w:pPr>
          </w:p>
        </w:tc>
        <w:tc>
          <w:tcPr>
            <w:tcW w:w="1417" w:type="pct"/>
          </w:tcPr>
          <w:p w14:paraId="248E5022" w14:textId="564DA39C" w:rsidR="0080637B" w:rsidRPr="00D22164" w:rsidRDefault="00786882" w:rsidP="0080637B">
            <w:pPr>
              <w:spacing w:before="40" w:after="40"/>
              <w:rPr>
                <w:rFonts w:asciiTheme="minorHAnsi" w:hAnsiTheme="minorHAnsi" w:cstheme="minorHAnsi"/>
                <w:color w:val="000000"/>
                <w:szCs w:val="22"/>
              </w:rPr>
            </w:pPr>
            <w:hyperlink r:id="rId15" w:tooltip="View details for unit of competency code CPPHSA4017A" w:history="1">
              <w:r w:rsidR="0080637B" w:rsidRPr="006D5ABE">
                <w:rPr>
                  <w:rFonts w:eastAsia="Times New Roman" w:cstheme="minorHAnsi"/>
                  <w:lang w:eastAsia="en-AU"/>
                </w:rPr>
                <w:t xml:space="preserve">CPPHSA4017A </w:t>
              </w:r>
            </w:hyperlink>
            <w:r w:rsidR="0080637B" w:rsidRPr="006D5ABE">
              <w:rPr>
                <w:rFonts w:eastAsia="Times New Roman" w:cstheme="minorHAnsi"/>
                <w:color w:val="333333"/>
                <w:lang w:eastAsia="en-AU"/>
              </w:rPr>
              <w:t>Cost measures to improve thermal performance of residential buildings</w:t>
            </w:r>
          </w:p>
        </w:tc>
        <w:tc>
          <w:tcPr>
            <w:tcW w:w="1621" w:type="pct"/>
          </w:tcPr>
          <w:p w14:paraId="02A4FE99" w14:textId="790376FB" w:rsidR="0080637B" w:rsidRPr="00A73A5F" w:rsidRDefault="0080637B" w:rsidP="0080637B">
            <w:pPr>
              <w:spacing w:before="40" w:after="40"/>
              <w:rPr>
                <w:rFonts w:cs="Calibri"/>
                <w:szCs w:val="22"/>
                <w:shd w:val="clear" w:color="auto" w:fill="FFFFFF"/>
              </w:rPr>
            </w:pPr>
            <w:r w:rsidRPr="009301F8">
              <w:rPr>
                <w:rFonts w:cstheme="minorHAnsi"/>
              </w:rPr>
              <w:t>Significant overlap with CPPHSA4010A Estimate the costs of home sustainability measures, als</w:t>
            </w:r>
            <w:r>
              <w:rPr>
                <w:rFonts w:cstheme="minorHAnsi"/>
              </w:rPr>
              <w:t xml:space="preserve">o recommended for deletion. The TAG advised that </w:t>
            </w:r>
            <w:proofErr w:type="spellStart"/>
            <w:r>
              <w:rPr>
                <w:rFonts w:cstheme="minorHAnsi"/>
              </w:rPr>
              <w:t>NatHERS</w:t>
            </w:r>
            <w:proofErr w:type="spellEnd"/>
            <w:r>
              <w:rPr>
                <w:rFonts w:cstheme="minorHAnsi"/>
              </w:rPr>
              <w:t xml:space="preserve"> and Home Sustainability Assessors don’t do costings but rather provide indicative costs. The concepts of indicative costs and cost effectiveness are reflected in the units.</w:t>
            </w:r>
          </w:p>
        </w:tc>
        <w:tc>
          <w:tcPr>
            <w:tcW w:w="707" w:type="pct"/>
            <w:vAlign w:val="center"/>
          </w:tcPr>
          <w:p w14:paraId="0EC7E9AF" w14:textId="2C8B4EB5" w:rsidR="0080637B" w:rsidRPr="00E505E3" w:rsidRDefault="0080637B" w:rsidP="0080637B">
            <w:pPr>
              <w:spacing w:before="40" w:after="40"/>
              <w:jc w:val="center"/>
              <w:rPr>
                <w:color w:val="000000"/>
                <w:szCs w:val="22"/>
                <w:lang w:eastAsia="en-AU"/>
              </w:rPr>
            </w:pPr>
          </w:p>
        </w:tc>
      </w:tr>
      <w:tr w:rsidR="0080637B" w:rsidRPr="00E505E3" w14:paraId="363BD498" w14:textId="77777777" w:rsidTr="00E505E3">
        <w:tc>
          <w:tcPr>
            <w:tcW w:w="1255" w:type="pct"/>
            <w:vAlign w:val="center"/>
          </w:tcPr>
          <w:p w14:paraId="78849732" w14:textId="0793891A" w:rsidR="0080637B" w:rsidRPr="00E505E3" w:rsidRDefault="0080637B" w:rsidP="0080637B">
            <w:pPr>
              <w:rPr>
                <w:rFonts w:cs="Calibri"/>
                <w:color w:val="000000"/>
                <w:szCs w:val="22"/>
              </w:rPr>
            </w:pPr>
          </w:p>
        </w:tc>
        <w:tc>
          <w:tcPr>
            <w:tcW w:w="1417" w:type="pct"/>
            <w:vAlign w:val="center"/>
          </w:tcPr>
          <w:p w14:paraId="11A96309" w14:textId="7372EF06" w:rsidR="0080637B" w:rsidRPr="00D22164" w:rsidRDefault="0080637B" w:rsidP="0080637B">
            <w:pPr>
              <w:spacing w:before="40" w:after="40"/>
              <w:rPr>
                <w:rFonts w:asciiTheme="minorHAnsi" w:hAnsiTheme="minorHAnsi" w:cstheme="minorHAnsi"/>
                <w:color w:val="000000"/>
                <w:szCs w:val="22"/>
              </w:rPr>
            </w:pPr>
            <w:r w:rsidRPr="0080637B">
              <w:rPr>
                <w:rFonts w:asciiTheme="minorHAnsi" w:hAnsiTheme="minorHAnsi" w:cstheme="minorHAnsi"/>
                <w:color w:val="000000"/>
                <w:szCs w:val="22"/>
              </w:rPr>
              <w:t>CPPHSA5002A</w:t>
            </w:r>
            <w:r>
              <w:rPr>
                <w:rFonts w:asciiTheme="minorHAnsi" w:hAnsiTheme="minorHAnsi" w:cstheme="minorHAnsi"/>
                <w:color w:val="000000"/>
                <w:szCs w:val="22"/>
              </w:rPr>
              <w:t xml:space="preserve"> </w:t>
            </w:r>
            <w:r w:rsidRPr="006D5ABE">
              <w:rPr>
                <w:rFonts w:eastAsia="Times New Roman" w:cstheme="minorHAnsi"/>
                <w:color w:val="333333"/>
                <w:lang w:eastAsia="en-AU"/>
              </w:rPr>
              <w:t>Assess thermal performance and energy efficiency of residential buildings</w:t>
            </w:r>
          </w:p>
        </w:tc>
        <w:tc>
          <w:tcPr>
            <w:tcW w:w="1621" w:type="pct"/>
          </w:tcPr>
          <w:p w14:paraId="2A490C24" w14:textId="4904239E" w:rsidR="0080637B" w:rsidRPr="00E505E3" w:rsidRDefault="0080637B" w:rsidP="0080637B">
            <w:pPr>
              <w:spacing w:before="40" w:after="40"/>
              <w:rPr>
                <w:color w:val="000000"/>
                <w:szCs w:val="22"/>
                <w:lang w:eastAsia="en-AU"/>
              </w:rPr>
            </w:pPr>
            <w:r>
              <w:rPr>
                <w:rFonts w:cstheme="minorHAnsi"/>
              </w:rPr>
              <w:t>0 enrolments for the four-year period 2014-2017.</w:t>
            </w:r>
          </w:p>
        </w:tc>
        <w:tc>
          <w:tcPr>
            <w:tcW w:w="707" w:type="pct"/>
            <w:vAlign w:val="center"/>
          </w:tcPr>
          <w:p w14:paraId="4F637993" w14:textId="7757431D" w:rsidR="0080637B" w:rsidRPr="00E505E3" w:rsidRDefault="0080637B" w:rsidP="0080637B">
            <w:pPr>
              <w:spacing w:before="40" w:after="40"/>
              <w:jc w:val="center"/>
              <w:rPr>
                <w:color w:val="000000"/>
                <w:szCs w:val="22"/>
                <w:lang w:eastAsia="en-AU"/>
              </w:rPr>
            </w:pPr>
          </w:p>
        </w:tc>
      </w:tr>
      <w:tr w:rsidR="0080637B" w:rsidRPr="00E505E3" w14:paraId="270881AF" w14:textId="77777777" w:rsidTr="00E505E3">
        <w:tc>
          <w:tcPr>
            <w:tcW w:w="1255" w:type="pct"/>
            <w:vAlign w:val="center"/>
          </w:tcPr>
          <w:p w14:paraId="225A1018" w14:textId="77777777" w:rsidR="0080637B" w:rsidRPr="00E505E3" w:rsidRDefault="0080637B" w:rsidP="0080637B">
            <w:pPr>
              <w:rPr>
                <w:rFonts w:cs="Calibri"/>
                <w:color w:val="000000"/>
                <w:szCs w:val="22"/>
              </w:rPr>
            </w:pPr>
          </w:p>
        </w:tc>
        <w:tc>
          <w:tcPr>
            <w:tcW w:w="1417" w:type="pct"/>
            <w:vAlign w:val="center"/>
          </w:tcPr>
          <w:p w14:paraId="515AE6FE" w14:textId="4EABAD21" w:rsidR="0080637B" w:rsidRPr="0080637B" w:rsidRDefault="0080637B" w:rsidP="0080637B">
            <w:pPr>
              <w:spacing w:before="40" w:after="40"/>
              <w:rPr>
                <w:rFonts w:asciiTheme="minorHAnsi" w:hAnsiTheme="minorHAnsi" w:cstheme="minorHAnsi"/>
                <w:color w:val="000000"/>
                <w:szCs w:val="22"/>
              </w:rPr>
            </w:pPr>
            <w:r w:rsidRPr="0080637B">
              <w:rPr>
                <w:rFonts w:asciiTheme="minorHAnsi" w:hAnsiTheme="minorHAnsi" w:cstheme="minorHAnsi"/>
                <w:color w:val="000000"/>
                <w:szCs w:val="22"/>
              </w:rPr>
              <w:t xml:space="preserve">CPPHSA5003A Manage quality assurance of </w:t>
            </w:r>
            <w:proofErr w:type="spellStart"/>
            <w:r w:rsidRPr="0080637B">
              <w:rPr>
                <w:rFonts w:asciiTheme="minorHAnsi" w:hAnsiTheme="minorHAnsi" w:cstheme="minorHAnsi"/>
                <w:color w:val="000000"/>
                <w:szCs w:val="22"/>
              </w:rPr>
              <w:t>NatHERS</w:t>
            </w:r>
            <w:proofErr w:type="spellEnd"/>
            <w:r w:rsidRPr="0080637B">
              <w:rPr>
                <w:rFonts w:asciiTheme="minorHAnsi" w:hAnsiTheme="minorHAnsi" w:cstheme="minorHAnsi"/>
                <w:color w:val="000000"/>
                <w:szCs w:val="22"/>
              </w:rPr>
              <w:t xml:space="preserve"> assessments</w:t>
            </w:r>
          </w:p>
          <w:p w14:paraId="74282B7A" w14:textId="77777777" w:rsidR="0080637B" w:rsidRPr="0080637B" w:rsidRDefault="0080637B" w:rsidP="0080637B">
            <w:pPr>
              <w:spacing w:before="40" w:after="40"/>
              <w:rPr>
                <w:rFonts w:asciiTheme="minorHAnsi" w:hAnsiTheme="minorHAnsi" w:cstheme="minorHAnsi"/>
                <w:color w:val="000000"/>
                <w:szCs w:val="22"/>
              </w:rPr>
            </w:pPr>
          </w:p>
        </w:tc>
        <w:tc>
          <w:tcPr>
            <w:tcW w:w="1621" w:type="pct"/>
          </w:tcPr>
          <w:p w14:paraId="3F314F98" w14:textId="77777777" w:rsidR="0080637B" w:rsidRDefault="0080637B" w:rsidP="0080637B">
            <w:pPr>
              <w:rPr>
                <w:rFonts w:cstheme="minorHAnsi"/>
              </w:rPr>
            </w:pPr>
            <w:r>
              <w:rPr>
                <w:rFonts w:cstheme="minorHAnsi"/>
              </w:rPr>
              <w:t>0 enrolments for the four-year period 2014-2017.</w:t>
            </w:r>
          </w:p>
          <w:p w14:paraId="4418E174" w14:textId="61C762D1" w:rsidR="0080637B" w:rsidRDefault="0080637B" w:rsidP="0080637B">
            <w:pPr>
              <w:spacing w:before="40" w:after="40"/>
              <w:rPr>
                <w:rFonts w:cstheme="minorHAnsi"/>
              </w:rPr>
            </w:pPr>
            <w:r>
              <w:rPr>
                <w:rFonts w:cstheme="minorHAnsi"/>
              </w:rPr>
              <w:t>Auditing units, which address quality assurance have been imported into the qualification elective bank.</w:t>
            </w:r>
          </w:p>
        </w:tc>
        <w:tc>
          <w:tcPr>
            <w:tcW w:w="707" w:type="pct"/>
            <w:vAlign w:val="center"/>
          </w:tcPr>
          <w:p w14:paraId="098DFBFB" w14:textId="77777777" w:rsidR="0080637B" w:rsidRPr="00E505E3" w:rsidRDefault="0080637B" w:rsidP="0080637B">
            <w:pPr>
              <w:spacing w:before="40" w:after="40"/>
              <w:jc w:val="center"/>
              <w:rPr>
                <w:color w:val="000000"/>
                <w:szCs w:val="22"/>
                <w:lang w:eastAsia="en-AU"/>
              </w:rPr>
            </w:pPr>
          </w:p>
        </w:tc>
      </w:tr>
      <w:tr w:rsidR="007F4D78" w:rsidRPr="00E505E3" w14:paraId="35A8D5F1" w14:textId="77777777" w:rsidTr="00E505E3">
        <w:tc>
          <w:tcPr>
            <w:tcW w:w="1255" w:type="pct"/>
            <w:vAlign w:val="center"/>
          </w:tcPr>
          <w:p w14:paraId="0EA42ECF" w14:textId="77777777" w:rsidR="007F4D78" w:rsidRPr="00E505E3" w:rsidRDefault="007F4D78" w:rsidP="007F4D78">
            <w:pPr>
              <w:rPr>
                <w:rFonts w:cs="Calibri"/>
                <w:color w:val="000000"/>
                <w:szCs w:val="22"/>
              </w:rPr>
            </w:pPr>
          </w:p>
        </w:tc>
        <w:tc>
          <w:tcPr>
            <w:tcW w:w="1417" w:type="pct"/>
            <w:vAlign w:val="center"/>
          </w:tcPr>
          <w:p w14:paraId="4BA47DCF" w14:textId="17E73B72" w:rsidR="007F4D78" w:rsidRPr="0080637B" w:rsidRDefault="00786882" w:rsidP="007F4D78">
            <w:pPr>
              <w:spacing w:before="40" w:after="40"/>
              <w:rPr>
                <w:rFonts w:asciiTheme="minorHAnsi" w:hAnsiTheme="minorHAnsi" w:cstheme="minorHAnsi"/>
                <w:color w:val="000000"/>
                <w:szCs w:val="22"/>
              </w:rPr>
            </w:pPr>
            <w:hyperlink r:id="rId16" w:tooltip="View details for unit of competency code CPPHSA5004A" w:history="1">
              <w:r w:rsidR="007F4D78" w:rsidRPr="006D5ABE">
                <w:rPr>
                  <w:rFonts w:eastAsia="Times New Roman" w:cstheme="minorHAnsi"/>
                  <w:lang w:eastAsia="en-AU"/>
                </w:rPr>
                <w:t xml:space="preserve">CPPHSA5004A </w:t>
              </w:r>
            </w:hyperlink>
            <w:r w:rsidR="007F4D78" w:rsidRPr="006D5ABE">
              <w:rPr>
                <w:rFonts w:eastAsia="Times New Roman" w:cstheme="minorHAnsi"/>
                <w:color w:val="333333"/>
                <w:lang w:eastAsia="en-AU"/>
              </w:rPr>
              <w:t xml:space="preserve"> Educate clients about thermal efficiency of residential buildings</w:t>
            </w:r>
          </w:p>
        </w:tc>
        <w:tc>
          <w:tcPr>
            <w:tcW w:w="1621" w:type="pct"/>
          </w:tcPr>
          <w:p w14:paraId="007B5A66" w14:textId="6ED1AD5D" w:rsidR="007F4D78" w:rsidRDefault="007F4D78" w:rsidP="007F4D78">
            <w:pPr>
              <w:spacing w:before="40" w:after="40"/>
              <w:rPr>
                <w:rFonts w:cstheme="minorHAnsi"/>
              </w:rPr>
            </w:pPr>
            <w:r>
              <w:rPr>
                <w:rFonts w:cstheme="minorHAnsi"/>
              </w:rPr>
              <w:t>0 enrolments for the four-year period 2014-2017.</w:t>
            </w:r>
          </w:p>
        </w:tc>
        <w:tc>
          <w:tcPr>
            <w:tcW w:w="707" w:type="pct"/>
            <w:vAlign w:val="center"/>
          </w:tcPr>
          <w:p w14:paraId="1747B99F" w14:textId="77777777" w:rsidR="007F4D78" w:rsidRPr="00E505E3" w:rsidRDefault="007F4D78" w:rsidP="007F4D78">
            <w:pPr>
              <w:spacing w:before="40" w:after="40"/>
              <w:jc w:val="center"/>
              <w:rPr>
                <w:color w:val="000000"/>
                <w:szCs w:val="22"/>
                <w:lang w:eastAsia="en-AU"/>
              </w:rPr>
            </w:pPr>
          </w:p>
        </w:tc>
      </w:tr>
      <w:tr w:rsidR="007F4D78" w:rsidRPr="00E505E3" w14:paraId="3FC650DD" w14:textId="77777777" w:rsidTr="00E505E3">
        <w:tc>
          <w:tcPr>
            <w:tcW w:w="1255" w:type="pct"/>
            <w:vAlign w:val="center"/>
          </w:tcPr>
          <w:p w14:paraId="1F62D580" w14:textId="77777777" w:rsidR="007F4D78" w:rsidRPr="00E505E3" w:rsidRDefault="007F4D78" w:rsidP="007F4D78">
            <w:pPr>
              <w:rPr>
                <w:rFonts w:cs="Calibri"/>
                <w:color w:val="000000"/>
                <w:szCs w:val="22"/>
              </w:rPr>
            </w:pPr>
          </w:p>
        </w:tc>
        <w:tc>
          <w:tcPr>
            <w:tcW w:w="1417" w:type="pct"/>
            <w:vAlign w:val="center"/>
          </w:tcPr>
          <w:p w14:paraId="2DA562E6" w14:textId="09EDF73B" w:rsidR="007F4D78" w:rsidRPr="0080637B" w:rsidRDefault="00786882" w:rsidP="007F4D78">
            <w:pPr>
              <w:spacing w:before="40" w:after="40"/>
              <w:rPr>
                <w:rFonts w:asciiTheme="minorHAnsi" w:hAnsiTheme="minorHAnsi" w:cstheme="minorHAnsi"/>
                <w:color w:val="000000"/>
                <w:szCs w:val="22"/>
              </w:rPr>
            </w:pPr>
            <w:hyperlink r:id="rId17" w:tooltip="View details for unit of competency code CPPHSA5005A" w:history="1">
              <w:r w:rsidR="007F4D78" w:rsidRPr="006D5ABE">
                <w:rPr>
                  <w:rFonts w:eastAsia="Times New Roman" w:cstheme="minorHAnsi"/>
                  <w:lang w:eastAsia="en-AU"/>
                </w:rPr>
                <w:t xml:space="preserve">CPPHSA5005A </w:t>
              </w:r>
            </w:hyperlink>
            <w:r w:rsidR="007F4D78" w:rsidRPr="006D5ABE">
              <w:rPr>
                <w:rFonts w:eastAsia="Times New Roman" w:cstheme="minorHAnsi"/>
                <w:color w:val="333333"/>
                <w:lang w:eastAsia="en-AU"/>
              </w:rPr>
              <w:t xml:space="preserve">Peer review </w:t>
            </w:r>
            <w:proofErr w:type="spellStart"/>
            <w:r w:rsidR="007F4D78" w:rsidRPr="006D5ABE">
              <w:rPr>
                <w:rFonts w:eastAsia="Times New Roman" w:cstheme="minorHAnsi"/>
                <w:color w:val="333333"/>
                <w:lang w:eastAsia="en-AU"/>
              </w:rPr>
              <w:t>NatHERS</w:t>
            </w:r>
            <w:proofErr w:type="spellEnd"/>
            <w:r w:rsidR="007F4D78" w:rsidRPr="006D5ABE">
              <w:rPr>
                <w:rFonts w:eastAsia="Times New Roman" w:cstheme="minorHAnsi"/>
                <w:color w:val="333333"/>
                <w:lang w:eastAsia="en-AU"/>
              </w:rPr>
              <w:t xml:space="preserve"> assessments</w:t>
            </w:r>
          </w:p>
        </w:tc>
        <w:tc>
          <w:tcPr>
            <w:tcW w:w="1621" w:type="pct"/>
          </w:tcPr>
          <w:p w14:paraId="0778DD6C" w14:textId="77777777" w:rsidR="007F4D78" w:rsidRDefault="007F4D78" w:rsidP="007F4D78">
            <w:pPr>
              <w:rPr>
                <w:rFonts w:cstheme="minorHAnsi"/>
              </w:rPr>
            </w:pPr>
            <w:r>
              <w:rPr>
                <w:rFonts w:cstheme="minorHAnsi"/>
              </w:rPr>
              <w:t>0 enrolments for the four-year period 2014-2017.</w:t>
            </w:r>
          </w:p>
          <w:p w14:paraId="3CCFCB66" w14:textId="77777777" w:rsidR="007F4D78" w:rsidRDefault="007F4D78" w:rsidP="007F4D78">
            <w:pPr>
              <w:spacing w:before="40" w:after="40"/>
              <w:rPr>
                <w:rFonts w:cstheme="minorHAnsi"/>
              </w:rPr>
            </w:pPr>
          </w:p>
        </w:tc>
        <w:tc>
          <w:tcPr>
            <w:tcW w:w="707" w:type="pct"/>
            <w:vAlign w:val="center"/>
          </w:tcPr>
          <w:p w14:paraId="0ABAEA97" w14:textId="77777777" w:rsidR="007F4D78" w:rsidRPr="00E505E3" w:rsidRDefault="007F4D78" w:rsidP="007F4D78">
            <w:pPr>
              <w:spacing w:before="40" w:after="40"/>
              <w:jc w:val="center"/>
              <w:rPr>
                <w:color w:val="000000"/>
                <w:szCs w:val="22"/>
                <w:lang w:eastAsia="en-AU"/>
              </w:rPr>
            </w:pPr>
          </w:p>
        </w:tc>
      </w:tr>
      <w:tr w:rsidR="007F4D78" w:rsidRPr="00E505E3" w14:paraId="0658E863" w14:textId="77777777" w:rsidTr="00E505E3">
        <w:tc>
          <w:tcPr>
            <w:tcW w:w="1255" w:type="pct"/>
            <w:vAlign w:val="center"/>
          </w:tcPr>
          <w:p w14:paraId="2D001966" w14:textId="77777777" w:rsidR="007F4D78" w:rsidRPr="00E505E3" w:rsidRDefault="007F4D78" w:rsidP="007F4D78">
            <w:pPr>
              <w:rPr>
                <w:rFonts w:cs="Calibri"/>
                <w:color w:val="000000"/>
                <w:szCs w:val="22"/>
              </w:rPr>
            </w:pPr>
          </w:p>
        </w:tc>
        <w:tc>
          <w:tcPr>
            <w:tcW w:w="1417" w:type="pct"/>
            <w:vAlign w:val="center"/>
          </w:tcPr>
          <w:p w14:paraId="77DB2529" w14:textId="7C30FE78" w:rsidR="007F4D78" w:rsidRPr="0080637B" w:rsidRDefault="00786882" w:rsidP="007F4D78">
            <w:pPr>
              <w:spacing w:before="40" w:after="40"/>
              <w:rPr>
                <w:rFonts w:asciiTheme="minorHAnsi" w:hAnsiTheme="minorHAnsi" w:cstheme="minorHAnsi"/>
                <w:color w:val="000000"/>
                <w:szCs w:val="22"/>
              </w:rPr>
            </w:pPr>
            <w:hyperlink r:id="rId18" w:tooltip="View details for unit of competency code CPPHSA5006A" w:history="1">
              <w:r w:rsidR="007F4D78" w:rsidRPr="006D5ABE">
                <w:rPr>
                  <w:rFonts w:eastAsia="Times New Roman" w:cstheme="minorHAnsi"/>
                  <w:lang w:eastAsia="en-AU"/>
                </w:rPr>
                <w:t xml:space="preserve">CPPHSA5006A </w:t>
              </w:r>
            </w:hyperlink>
            <w:r w:rsidR="007F4D78" w:rsidRPr="006D5ABE">
              <w:rPr>
                <w:rFonts w:eastAsia="Times New Roman" w:cstheme="minorHAnsi"/>
                <w:color w:val="333333"/>
                <w:lang w:eastAsia="en-AU"/>
              </w:rPr>
              <w:t>Promote low and zero carbon energy technologies in residential buildings</w:t>
            </w:r>
          </w:p>
        </w:tc>
        <w:tc>
          <w:tcPr>
            <w:tcW w:w="1621" w:type="pct"/>
          </w:tcPr>
          <w:p w14:paraId="054BF4C9" w14:textId="77777777" w:rsidR="007F4D78" w:rsidRDefault="007F4D78" w:rsidP="007F4D78">
            <w:pPr>
              <w:rPr>
                <w:rFonts w:cstheme="minorHAnsi"/>
              </w:rPr>
            </w:pPr>
            <w:r>
              <w:rPr>
                <w:rFonts w:cstheme="minorHAnsi"/>
              </w:rPr>
              <w:t>0 enrolments for the four-year period 2014-2017.</w:t>
            </w:r>
          </w:p>
          <w:p w14:paraId="2D2D7E32" w14:textId="77777777" w:rsidR="007F4D78" w:rsidRDefault="007F4D78" w:rsidP="007F4D78">
            <w:pPr>
              <w:spacing w:before="40" w:after="40"/>
              <w:rPr>
                <w:rFonts w:cstheme="minorHAnsi"/>
              </w:rPr>
            </w:pPr>
          </w:p>
        </w:tc>
        <w:tc>
          <w:tcPr>
            <w:tcW w:w="707" w:type="pct"/>
            <w:vAlign w:val="center"/>
          </w:tcPr>
          <w:p w14:paraId="454F1802" w14:textId="77777777" w:rsidR="007F4D78" w:rsidRPr="00E505E3" w:rsidRDefault="007F4D78" w:rsidP="007F4D78">
            <w:pPr>
              <w:spacing w:before="40" w:after="40"/>
              <w:jc w:val="center"/>
              <w:rPr>
                <w:color w:val="000000"/>
                <w:szCs w:val="22"/>
                <w:lang w:eastAsia="en-AU"/>
              </w:rPr>
            </w:pPr>
          </w:p>
        </w:tc>
      </w:tr>
    </w:tbl>
    <w:p w14:paraId="3FD4FADB" w14:textId="77777777" w:rsidR="009F4C96" w:rsidRDefault="009F4C96">
      <w:pPr>
        <w:rPr>
          <w:b/>
        </w:rPr>
      </w:pPr>
    </w:p>
    <w:p w14:paraId="0BC0A1B1" w14:textId="3DC89C5A" w:rsidR="005E079F" w:rsidRPr="009F4C96" w:rsidRDefault="00A7195C">
      <w:pPr>
        <w:rPr>
          <w:color w:val="2F5496" w:themeColor="accent1" w:themeShade="BF"/>
          <w:sz w:val="28"/>
        </w:rPr>
      </w:pPr>
      <w:r>
        <w:rPr>
          <w:color w:val="2F5496" w:themeColor="accent1" w:themeShade="BF"/>
          <w:sz w:val="28"/>
        </w:rPr>
        <w:t>Project plan</w:t>
      </w:r>
      <w:r w:rsidR="005E079F" w:rsidRPr="009F4C96">
        <w:rPr>
          <w:color w:val="2F5496" w:themeColor="accent1" w:themeShade="BF"/>
          <w:sz w:val="28"/>
        </w:rPr>
        <w:t xml:space="preserve"> overview </w:t>
      </w:r>
      <w:r>
        <w:rPr>
          <w:color w:val="2F5496" w:themeColor="accent1" w:themeShade="BF"/>
          <w:sz w:val="28"/>
        </w:rPr>
        <w:t xml:space="preserve">as at </w:t>
      </w:r>
      <w:r w:rsidR="00A133CB">
        <w:rPr>
          <w:color w:val="2F5496" w:themeColor="accent1" w:themeShade="BF"/>
          <w:sz w:val="28"/>
        </w:rPr>
        <w:t xml:space="preserve">3 May </w:t>
      </w:r>
      <w:r w:rsidR="00C23B37">
        <w:rPr>
          <w:color w:val="2F5496" w:themeColor="accent1" w:themeShade="BF"/>
          <w:sz w:val="28"/>
        </w:rPr>
        <w:t>2019</w:t>
      </w:r>
    </w:p>
    <w:p w14:paraId="59150F03" w14:textId="77777777" w:rsidR="005E079F" w:rsidRDefault="005E079F"/>
    <w:tbl>
      <w:tblPr>
        <w:tblStyle w:val="TableGridLight1"/>
        <w:tblW w:w="0" w:type="auto"/>
        <w:tblLook w:val="04A0" w:firstRow="1" w:lastRow="0" w:firstColumn="1" w:lastColumn="0" w:noHBand="0" w:noVBand="1"/>
      </w:tblPr>
      <w:tblGrid>
        <w:gridCol w:w="4505"/>
        <w:gridCol w:w="4505"/>
      </w:tblGrid>
      <w:tr w:rsidR="005E079F" w:rsidRPr="006104F5" w14:paraId="5CDC1573" w14:textId="77777777" w:rsidTr="00A7195C">
        <w:trPr>
          <w:trHeight w:val="346"/>
        </w:trPr>
        <w:tc>
          <w:tcPr>
            <w:tcW w:w="4505" w:type="dxa"/>
          </w:tcPr>
          <w:p w14:paraId="44BA1022" w14:textId="044F2303" w:rsidR="005E079F" w:rsidRPr="007C0564" w:rsidRDefault="00A7195C" w:rsidP="003A0FBB">
            <w:pPr>
              <w:rPr>
                <w:b/>
              </w:rPr>
            </w:pPr>
            <w:r>
              <w:rPr>
                <w:b/>
              </w:rPr>
              <w:t>Training Package Components</w:t>
            </w:r>
            <w:r w:rsidR="00864828">
              <w:rPr>
                <w:b/>
              </w:rPr>
              <w:t xml:space="preserve"> </w:t>
            </w:r>
          </w:p>
        </w:tc>
        <w:tc>
          <w:tcPr>
            <w:tcW w:w="4505" w:type="dxa"/>
          </w:tcPr>
          <w:p w14:paraId="3109B7C7" w14:textId="77777777" w:rsidR="005E079F" w:rsidRPr="007C0564" w:rsidRDefault="005E079F" w:rsidP="009F4C96">
            <w:pPr>
              <w:jc w:val="center"/>
              <w:rPr>
                <w:b/>
              </w:rPr>
            </w:pPr>
            <w:r w:rsidRPr="007C0564">
              <w:rPr>
                <w:b/>
              </w:rPr>
              <w:t>Amount</w:t>
            </w:r>
          </w:p>
        </w:tc>
      </w:tr>
      <w:tr w:rsidR="00A7195C" w:rsidRPr="00A7195C" w14:paraId="6062B609" w14:textId="77777777" w:rsidTr="00A7195C">
        <w:trPr>
          <w:trHeight w:val="346"/>
        </w:trPr>
        <w:tc>
          <w:tcPr>
            <w:tcW w:w="4505" w:type="dxa"/>
          </w:tcPr>
          <w:p w14:paraId="38E8E59F" w14:textId="5409E6CB" w:rsidR="00A7195C" w:rsidRPr="00A7195C" w:rsidRDefault="00A7195C" w:rsidP="003A0FBB">
            <w:r w:rsidRPr="00A7195C">
              <w:t xml:space="preserve">Qualifications to be </w:t>
            </w:r>
            <w:r w:rsidR="001A66C8">
              <w:t>reviewed</w:t>
            </w:r>
          </w:p>
        </w:tc>
        <w:tc>
          <w:tcPr>
            <w:tcW w:w="4505" w:type="dxa"/>
          </w:tcPr>
          <w:p w14:paraId="59BDC606" w14:textId="45B46F64" w:rsidR="00A7195C" w:rsidRPr="00A7195C" w:rsidRDefault="0055090B" w:rsidP="009F4C96">
            <w:pPr>
              <w:jc w:val="center"/>
            </w:pPr>
            <w:r>
              <w:t>2</w:t>
            </w:r>
          </w:p>
        </w:tc>
      </w:tr>
      <w:tr w:rsidR="005E079F" w:rsidRPr="006104F5" w14:paraId="73B89F69" w14:textId="77777777" w:rsidTr="00A7195C">
        <w:trPr>
          <w:trHeight w:val="346"/>
        </w:trPr>
        <w:tc>
          <w:tcPr>
            <w:tcW w:w="4505" w:type="dxa"/>
          </w:tcPr>
          <w:p w14:paraId="022FB38C" w14:textId="25DDE65B" w:rsidR="005E079F" w:rsidRPr="006104F5" w:rsidRDefault="00A7195C" w:rsidP="003A0FBB">
            <w:r>
              <w:t>Units to be updated</w:t>
            </w:r>
          </w:p>
        </w:tc>
        <w:tc>
          <w:tcPr>
            <w:tcW w:w="4505" w:type="dxa"/>
          </w:tcPr>
          <w:p w14:paraId="7B07C25F" w14:textId="0ABE1CE4" w:rsidR="005E079F" w:rsidRPr="006104F5" w:rsidRDefault="005E079F" w:rsidP="009F4C96">
            <w:pPr>
              <w:jc w:val="center"/>
            </w:pPr>
            <w:r>
              <w:t>1</w:t>
            </w:r>
            <w:r w:rsidR="001A66C8">
              <w:t>2</w:t>
            </w:r>
          </w:p>
        </w:tc>
      </w:tr>
      <w:tr w:rsidR="005E079F" w:rsidRPr="006104F5" w14:paraId="6D4AEEEE" w14:textId="77777777" w:rsidTr="00A7195C">
        <w:trPr>
          <w:trHeight w:val="346"/>
        </w:trPr>
        <w:tc>
          <w:tcPr>
            <w:tcW w:w="4505" w:type="dxa"/>
          </w:tcPr>
          <w:p w14:paraId="1EB65FB1" w14:textId="61676182" w:rsidR="005E079F" w:rsidRPr="006104F5" w:rsidRDefault="00A7195C" w:rsidP="003A0FBB">
            <w:r>
              <w:t xml:space="preserve">Units </w:t>
            </w:r>
            <w:r w:rsidR="005F5444">
              <w:t>developed</w:t>
            </w:r>
          </w:p>
        </w:tc>
        <w:tc>
          <w:tcPr>
            <w:tcW w:w="4505" w:type="dxa"/>
          </w:tcPr>
          <w:p w14:paraId="5581BD60" w14:textId="4B2CA4E1" w:rsidR="005E079F" w:rsidRPr="006104F5" w:rsidRDefault="001A66C8" w:rsidP="009F4C96">
            <w:pPr>
              <w:jc w:val="center"/>
            </w:pPr>
            <w:r>
              <w:t>Nil</w:t>
            </w:r>
          </w:p>
        </w:tc>
      </w:tr>
      <w:tr w:rsidR="00864828" w:rsidRPr="006104F5" w14:paraId="56C5FC10" w14:textId="77777777" w:rsidTr="00A7195C">
        <w:trPr>
          <w:trHeight w:val="346"/>
        </w:trPr>
        <w:tc>
          <w:tcPr>
            <w:tcW w:w="4505" w:type="dxa"/>
          </w:tcPr>
          <w:p w14:paraId="4198E338" w14:textId="2D2857A1" w:rsidR="00864828" w:rsidRPr="006104F5" w:rsidRDefault="00A7195C" w:rsidP="003A0FBB">
            <w:r>
              <w:t xml:space="preserve">Number of units to be </w:t>
            </w:r>
            <w:r w:rsidR="001A66C8">
              <w:t>removed</w:t>
            </w:r>
          </w:p>
        </w:tc>
        <w:tc>
          <w:tcPr>
            <w:tcW w:w="4505" w:type="dxa"/>
          </w:tcPr>
          <w:p w14:paraId="2151B629" w14:textId="15D9FF40" w:rsidR="00864828" w:rsidRDefault="001A66C8" w:rsidP="009F4C96">
            <w:pPr>
              <w:jc w:val="center"/>
            </w:pPr>
            <w:r>
              <w:t>13</w:t>
            </w:r>
          </w:p>
        </w:tc>
      </w:tr>
      <w:tr w:rsidR="00A7195C" w:rsidRPr="006104F5" w14:paraId="1CBB5D00" w14:textId="77777777" w:rsidTr="00A7195C">
        <w:trPr>
          <w:trHeight w:val="346"/>
        </w:trPr>
        <w:tc>
          <w:tcPr>
            <w:tcW w:w="4505" w:type="dxa"/>
          </w:tcPr>
          <w:p w14:paraId="597D5302" w14:textId="354D73AF" w:rsidR="00A7195C" w:rsidRDefault="00A7195C" w:rsidP="003A0FBB">
            <w:r>
              <w:t>Skill sets to be created</w:t>
            </w:r>
          </w:p>
        </w:tc>
        <w:tc>
          <w:tcPr>
            <w:tcW w:w="4505" w:type="dxa"/>
          </w:tcPr>
          <w:p w14:paraId="37E664F2" w14:textId="0033A33A" w:rsidR="00A7195C" w:rsidRDefault="00A7195C" w:rsidP="009F4C96">
            <w:pPr>
              <w:jc w:val="center"/>
            </w:pPr>
            <w:r>
              <w:t>Ni</w:t>
            </w:r>
            <w:r w:rsidR="001A66C8">
              <w:t>l</w:t>
            </w:r>
          </w:p>
        </w:tc>
      </w:tr>
      <w:tr w:rsidR="00A7195C" w:rsidRPr="006104F5" w14:paraId="55537E80" w14:textId="77777777" w:rsidTr="00A7195C">
        <w:trPr>
          <w:trHeight w:val="346"/>
        </w:trPr>
        <w:tc>
          <w:tcPr>
            <w:tcW w:w="4505" w:type="dxa"/>
          </w:tcPr>
          <w:p w14:paraId="37292FE8" w14:textId="256EFC06" w:rsidR="00A7195C" w:rsidRDefault="00A7195C" w:rsidP="003A0FBB">
            <w:r>
              <w:t>Qualifications to be created</w:t>
            </w:r>
          </w:p>
        </w:tc>
        <w:tc>
          <w:tcPr>
            <w:tcW w:w="4505" w:type="dxa"/>
          </w:tcPr>
          <w:p w14:paraId="421FB444" w14:textId="60F90077" w:rsidR="00A7195C" w:rsidRDefault="001A66C8" w:rsidP="009F4C96">
            <w:pPr>
              <w:jc w:val="center"/>
            </w:pPr>
            <w:r>
              <w:t>1</w:t>
            </w:r>
          </w:p>
        </w:tc>
      </w:tr>
    </w:tbl>
    <w:p w14:paraId="54A478C5" w14:textId="4F8B05D1" w:rsidR="005E079F" w:rsidRDefault="005E079F"/>
    <w:sectPr w:rsidR="005E079F" w:rsidSect="00933E5B">
      <w:headerReference w:type="even" r:id="rId19"/>
      <w:headerReference w:type="default" r:id="rId20"/>
      <w:footerReference w:type="even" r:id="rId21"/>
      <w:footerReference w:type="default" r:id="rId22"/>
      <w:headerReference w:type="first" r:id="rId23"/>
      <w:footerReference w:type="first" r:id="rId24"/>
      <w:pgSz w:w="11900" w:h="16840"/>
      <w:pgMar w:top="1134"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CF6AC" w14:textId="77777777" w:rsidR="00786882" w:rsidRDefault="00786882" w:rsidP="00D84328">
      <w:r>
        <w:separator/>
      </w:r>
    </w:p>
  </w:endnote>
  <w:endnote w:type="continuationSeparator" w:id="0">
    <w:p w14:paraId="10353C3F" w14:textId="77777777" w:rsidR="00786882" w:rsidRDefault="00786882" w:rsidP="00D8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idact Gothic">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43576" w14:textId="77777777" w:rsidR="004D3FFB" w:rsidRDefault="004D3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A85B1" w14:textId="348C1C27" w:rsidR="007C0564" w:rsidRPr="007C0564" w:rsidRDefault="004D3FFB" w:rsidP="00E73F14">
    <w:pPr>
      <w:pStyle w:val="Footer"/>
      <w:rPr>
        <w:color w:val="000000" w:themeColor="text1"/>
        <w:sz w:val="18"/>
      </w:rPr>
    </w:pPr>
    <w:proofErr w:type="spellStart"/>
    <w:r>
      <w:rPr>
        <w:color w:val="000000" w:themeColor="text1"/>
        <w:sz w:val="18"/>
      </w:rPr>
      <w:t>NatHERS</w:t>
    </w:r>
    <w:proofErr w:type="spellEnd"/>
    <w:r>
      <w:rPr>
        <w:color w:val="000000" w:themeColor="text1"/>
        <w:sz w:val="18"/>
      </w:rPr>
      <w:t xml:space="preserve"> and Home Sustainability </w:t>
    </w:r>
    <w:r w:rsidR="007C0564" w:rsidRPr="007C0564">
      <w:rPr>
        <w:color w:val="000000" w:themeColor="text1"/>
        <w:sz w:val="18"/>
      </w:rPr>
      <w:t xml:space="preserve">Project Brief </w:t>
    </w:r>
    <w:r w:rsidR="00E73F14">
      <w:rPr>
        <w:color w:val="000000" w:themeColor="text1"/>
        <w:sz w:val="18"/>
      </w:rPr>
      <w:t xml:space="preserve">                                                              </w:t>
    </w:r>
    <w:r w:rsidR="00E73F14">
      <w:rPr>
        <w:color w:val="000000" w:themeColor="text1"/>
        <w:sz w:val="18"/>
      </w:rPr>
      <w:tab/>
    </w:r>
    <w:r w:rsidR="00E73F14">
      <w:rPr>
        <w:color w:val="000000" w:themeColor="text1"/>
        <w:sz w:val="18"/>
      </w:rPr>
      <w:tab/>
      <w:t xml:space="preserve"> </w:t>
    </w:r>
    <w:r w:rsidR="007C0564" w:rsidRPr="007C0564">
      <w:rPr>
        <w:color w:val="000000" w:themeColor="text1"/>
        <w:sz w:val="18"/>
      </w:rPr>
      <w:t xml:space="preserve">Page </w:t>
    </w:r>
    <w:r w:rsidR="007C0564">
      <w:rPr>
        <w:color w:val="000000" w:themeColor="text1"/>
        <w:sz w:val="18"/>
      </w:rPr>
      <w:t xml:space="preserve"> </w:t>
    </w:r>
    <w:r w:rsidR="007C0564" w:rsidRPr="007C0564">
      <w:rPr>
        <w:color w:val="000000" w:themeColor="text1"/>
        <w:sz w:val="18"/>
      </w:rPr>
      <w:fldChar w:fldCharType="begin"/>
    </w:r>
    <w:r w:rsidR="007C0564" w:rsidRPr="007C0564">
      <w:rPr>
        <w:color w:val="000000" w:themeColor="text1"/>
        <w:sz w:val="18"/>
      </w:rPr>
      <w:instrText xml:space="preserve"> PAGE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r w:rsidR="007C0564" w:rsidRPr="007C0564">
      <w:rPr>
        <w:color w:val="000000" w:themeColor="text1"/>
        <w:sz w:val="18"/>
      </w:rPr>
      <w:t xml:space="preserve"> of </w:t>
    </w:r>
    <w:r w:rsidR="007C0564" w:rsidRPr="007C0564">
      <w:rPr>
        <w:color w:val="000000" w:themeColor="text1"/>
        <w:sz w:val="18"/>
      </w:rPr>
      <w:fldChar w:fldCharType="begin"/>
    </w:r>
    <w:r w:rsidR="007C0564" w:rsidRPr="007C0564">
      <w:rPr>
        <w:color w:val="000000" w:themeColor="text1"/>
        <w:sz w:val="18"/>
      </w:rPr>
      <w:instrText xml:space="preserve"> NUMPAGES  \* Arabic  \* MERGEFORMAT </w:instrText>
    </w:r>
    <w:r w:rsidR="007C0564" w:rsidRPr="007C0564">
      <w:rPr>
        <w:color w:val="000000" w:themeColor="text1"/>
        <w:sz w:val="18"/>
      </w:rPr>
      <w:fldChar w:fldCharType="separate"/>
    </w:r>
    <w:r w:rsidR="007C0564" w:rsidRPr="007C0564">
      <w:rPr>
        <w:noProof/>
        <w:color w:val="000000" w:themeColor="text1"/>
        <w:sz w:val="18"/>
      </w:rPr>
      <w:t>2</w:t>
    </w:r>
    <w:r w:rsidR="007C0564" w:rsidRPr="007C0564">
      <w:rPr>
        <w:color w:val="000000" w:themeColor="text1"/>
        <w:sz w:val="18"/>
      </w:rPr>
      <w:fldChar w:fldCharType="end"/>
    </w:r>
  </w:p>
  <w:p w14:paraId="1B1E28E5" w14:textId="77777777" w:rsidR="007C0564" w:rsidRDefault="007C0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DF6F9" w14:textId="77777777" w:rsidR="004D3FFB" w:rsidRDefault="004D3F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308E" w14:textId="77777777" w:rsidR="00786882" w:rsidRDefault="00786882" w:rsidP="00D84328">
      <w:r>
        <w:separator/>
      </w:r>
    </w:p>
  </w:footnote>
  <w:footnote w:type="continuationSeparator" w:id="0">
    <w:p w14:paraId="7BD3FFB8" w14:textId="77777777" w:rsidR="00786882" w:rsidRDefault="00786882" w:rsidP="00D84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90ECE" w14:textId="77777777" w:rsidR="004D3FFB" w:rsidRDefault="004D3F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BC01" w14:textId="77777777" w:rsidR="004D3FFB" w:rsidRDefault="004D3F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9DD7B" w14:textId="77777777" w:rsidR="004D3FFB" w:rsidRDefault="004D3F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616FB"/>
    <w:multiLevelType w:val="hybridMultilevel"/>
    <w:tmpl w:val="B484BAD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346A5"/>
    <w:multiLevelType w:val="multilevel"/>
    <w:tmpl w:val="CE2C09F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20F634EA"/>
    <w:multiLevelType w:val="hybridMultilevel"/>
    <w:tmpl w:val="62FE0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42E32"/>
    <w:multiLevelType w:val="multilevel"/>
    <w:tmpl w:val="EBF0D9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A3984"/>
    <w:multiLevelType w:val="hybridMultilevel"/>
    <w:tmpl w:val="947E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D93595"/>
    <w:multiLevelType w:val="hybridMultilevel"/>
    <w:tmpl w:val="8E4EC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F40F57"/>
    <w:multiLevelType w:val="multilevel"/>
    <w:tmpl w:val="59AA3D34"/>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40901DEA"/>
    <w:multiLevelType w:val="hybridMultilevel"/>
    <w:tmpl w:val="B7526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56B64CC"/>
    <w:multiLevelType w:val="hybridMultilevel"/>
    <w:tmpl w:val="51442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8A6394"/>
    <w:multiLevelType w:val="hybridMultilevel"/>
    <w:tmpl w:val="EB802376"/>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78302F"/>
    <w:multiLevelType w:val="hybridMultilevel"/>
    <w:tmpl w:val="8E388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0E6D2B"/>
    <w:multiLevelType w:val="hybridMultilevel"/>
    <w:tmpl w:val="E8EAFB36"/>
    <w:lvl w:ilvl="0" w:tplc="B0B46728">
      <w:start w:val="19"/>
      <w:numFmt w:val="bullet"/>
      <w:lvlText w:val="-"/>
      <w:lvlJc w:val="left"/>
      <w:pPr>
        <w:ind w:left="400" w:hanging="360"/>
      </w:pPr>
      <w:rPr>
        <w:rFonts w:ascii="Calibri" w:eastAsia="Times New Roman" w:hAnsi="Calibri" w:cstheme="maj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2" w15:restartNumberingAfterBreak="0">
    <w:nsid w:val="5D31779E"/>
    <w:multiLevelType w:val="multilevel"/>
    <w:tmpl w:val="7B7E3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D3481D"/>
    <w:multiLevelType w:val="hybridMultilevel"/>
    <w:tmpl w:val="C2747FFC"/>
    <w:lvl w:ilvl="0" w:tplc="468CDE96">
      <w:start w:val="17"/>
      <w:numFmt w:val="bullet"/>
      <w:lvlText w:val="-"/>
      <w:lvlJc w:val="left"/>
      <w:pPr>
        <w:ind w:left="760" w:hanging="360"/>
      </w:pPr>
      <w:rPr>
        <w:rFonts w:ascii="Calibri" w:eastAsia="Times New Roman" w:hAnsi="Calibri" w:cstheme="majorBidi"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6A7C6668"/>
    <w:multiLevelType w:val="hybridMultilevel"/>
    <w:tmpl w:val="BFA6E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507EE8"/>
    <w:multiLevelType w:val="hybridMultilevel"/>
    <w:tmpl w:val="E3386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2"/>
  </w:num>
  <w:num w:numId="4">
    <w:abstractNumId w:val="3"/>
  </w:num>
  <w:num w:numId="5">
    <w:abstractNumId w:val="9"/>
  </w:num>
  <w:num w:numId="6">
    <w:abstractNumId w:val="0"/>
  </w:num>
  <w:num w:numId="7">
    <w:abstractNumId w:val="5"/>
  </w:num>
  <w:num w:numId="8">
    <w:abstractNumId w:val="2"/>
  </w:num>
  <w:num w:numId="9">
    <w:abstractNumId w:val="4"/>
  </w:num>
  <w:num w:numId="10">
    <w:abstractNumId w:val="14"/>
  </w:num>
  <w:num w:numId="11">
    <w:abstractNumId w:val="15"/>
  </w:num>
  <w:num w:numId="12">
    <w:abstractNumId w:val="8"/>
  </w:num>
  <w:num w:numId="13">
    <w:abstractNumId w:val="6"/>
  </w:num>
  <w:num w:numId="14">
    <w:abstractNumId w:val="10"/>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62F"/>
    <w:rsid w:val="00014F72"/>
    <w:rsid w:val="000361D0"/>
    <w:rsid w:val="0005519B"/>
    <w:rsid w:val="000C26CC"/>
    <w:rsid w:val="000E2F50"/>
    <w:rsid w:val="001216E3"/>
    <w:rsid w:val="001235BD"/>
    <w:rsid w:val="00153B53"/>
    <w:rsid w:val="00165562"/>
    <w:rsid w:val="00193E35"/>
    <w:rsid w:val="001A66C8"/>
    <w:rsid w:val="001D5F54"/>
    <w:rsid w:val="001D6DD8"/>
    <w:rsid w:val="002139A9"/>
    <w:rsid w:val="00240A9D"/>
    <w:rsid w:val="003015CF"/>
    <w:rsid w:val="00312AB0"/>
    <w:rsid w:val="00362624"/>
    <w:rsid w:val="0037611C"/>
    <w:rsid w:val="00383965"/>
    <w:rsid w:val="003928B2"/>
    <w:rsid w:val="003D6689"/>
    <w:rsid w:val="003D7A3C"/>
    <w:rsid w:val="00402424"/>
    <w:rsid w:val="004252DD"/>
    <w:rsid w:val="00430BA5"/>
    <w:rsid w:val="00441E10"/>
    <w:rsid w:val="00444D57"/>
    <w:rsid w:val="004763B0"/>
    <w:rsid w:val="004875E3"/>
    <w:rsid w:val="004A25CB"/>
    <w:rsid w:val="004D182E"/>
    <w:rsid w:val="004D3FFB"/>
    <w:rsid w:val="00545301"/>
    <w:rsid w:val="0055090B"/>
    <w:rsid w:val="005719E1"/>
    <w:rsid w:val="0057346B"/>
    <w:rsid w:val="005936B5"/>
    <w:rsid w:val="005E079F"/>
    <w:rsid w:val="005E2A49"/>
    <w:rsid w:val="005F5444"/>
    <w:rsid w:val="006104F5"/>
    <w:rsid w:val="00641DDE"/>
    <w:rsid w:val="006E764F"/>
    <w:rsid w:val="00702EF7"/>
    <w:rsid w:val="00702F2F"/>
    <w:rsid w:val="0075137B"/>
    <w:rsid w:val="0075148C"/>
    <w:rsid w:val="007768A7"/>
    <w:rsid w:val="00786882"/>
    <w:rsid w:val="00792963"/>
    <w:rsid w:val="007942DC"/>
    <w:rsid w:val="007C0564"/>
    <w:rsid w:val="007C088B"/>
    <w:rsid w:val="007F4D78"/>
    <w:rsid w:val="007F7A31"/>
    <w:rsid w:val="0080637B"/>
    <w:rsid w:val="008201D8"/>
    <w:rsid w:val="008631DB"/>
    <w:rsid w:val="00864828"/>
    <w:rsid w:val="00871EC2"/>
    <w:rsid w:val="00872470"/>
    <w:rsid w:val="00894684"/>
    <w:rsid w:val="00897A68"/>
    <w:rsid w:val="008C4317"/>
    <w:rsid w:val="008D405E"/>
    <w:rsid w:val="008E1B37"/>
    <w:rsid w:val="00933E5B"/>
    <w:rsid w:val="00955B81"/>
    <w:rsid w:val="00961ECC"/>
    <w:rsid w:val="009E5DBE"/>
    <w:rsid w:val="009F4C96"/>
    <w:rsid w:val="00A026C1"/>
    <w:rsid w:val="00A12C04"/>
    <w:rsid w:val="00A133CB"/>
    <w:rsid w:val="00A147D3"/>
    <w:rsid w:val="00A36093"/>
    <w:rsid w:val="00A7195C"/>
    <w:rsid w:val="00A73A5F"/>
    <w:rsid w:val="00A758D8"/>
    <w:rsid w:val="00A93EB8"/>
    <w:rsid w:val="00AA70DE"/>
    <w:rsid w:val="00AA77F2"/>
    <w:rsid w:val="00AC05B3"/>
    <w:rsid w:val="00AF337C"/>
    <w:rsid w:val="00B56E06"/>
    <w:rsid w:val="00B816E0"/>
    <w:rsid w:val="00B878B7"/>
    <w:rsid w:val="00B9416A"/>
    <w:rsid w:val="00B944FA"/>
    <w:rsid w:val="00BE47EE"/>
    <w:rsid w:val="00C23B37"/>
    <w:rsid w:val="00C44BE3"/>
    <w:rsid w:val="00C77573"/>
    <w:rsid w:val="00CB476E"/>
    <w:rsid w:val="00CD010E"/>
    <w:rsid w:val="00D22164"/>
    <w:rsid w:val="00D84328"/>
    <w:rsid w:val="00D965CF"/>
    <w:rsid w:val="00DC1CB3"/>
    <w:rsid w:val="00DD135D"/>
    <w:rsid w:val="00DD60C0"/>
    <w:rsid w:val="00E36AB4"/>
    <w:rsid w:val="00E408AD"/>
    <w:rsid w:val="00E505E3"/>
    <w:rsid w:val="00E67BF8"/>
    <w:rsid w:val="00E73F14"/>
    <w:rsid w:val="00EA693F"/>
    <w:rsid w:val="00EC0F28"/>
    <w:rsid w:val="00EE0BF6"/>
    <w:rsid w:val="00EE754B"/>
    <w:rsid w:val="00F4162F"/>
    <w:rsid w:val="00F42D95"/>
    <w:rsid w:val="00FC77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C73"/>
  <w14:defaultImageDpi w14:val="32767"/>
  <w15:chartTrackingRefBased/>
  <w15:docId w15:val="{FAA6C776-C934-E346-B8ED-7FA54C56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088B"/>
    <w:rPr>
      <w:rFonts w:ascii="Calibri" w:hAnsi="Calibri" w:cs="Times New Roman"/>
      <w:color w:val="262626" w:themeColor="text1" w:themeTint="D9"/>
      <w:sz w:val="22"/>
      <w:lang w:val="en-US"/>
    </w:rPr>
  </w:style>
  <w:style w:type="paragraph" w:styleId="Heading1">
    <w:name w:val="heading 1"/>
    <w:basedOn w:val="Normal"/>
    <w:next w:val="Normal"/>
    <w:link w:val="Heading1Char"/>
    <w:autoRedefine/>
    <w:uiPriority w:val="9"/>
    <w:qFormat/>
    <w:rsid w:val="0037611C"/>
    <w:pPr>
      <w:keepNext/>
      <w:keepLines/>
      <w:spacing w:after="160" w:line="252" w:lineRule="auto"/>
      <w:outlineLvl w:val="0"/>
    </w:pPr>
    <w:rPr>
      <w:rFonts w:cstheme="majorBidi"/>
      <w:color w:val="2F5496" w:themeColor="accent1" w:themeShade="BF"/>
      <w:sz w:val="28"/>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7C088B"/>
    <w:rPr>
      <w:rFonts w:ascii="Calibri" w:hAnsi="Calibri"/>
      <w:sz w:val="22"/>
    </w:rPr>
    <w:tblP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808080" w:themeColor="background1" w:themeShade="80"/>
        <w:insideV w:val="single" w:sz="12" w:space="0" w:color="808080" w:themeColor="background1" w:themeShade="80"/>
      </w:tblBorders>
    </w:tblPr>
    <w:tcPr>
      <w:shd w:val="clear" w:color="auto" w:fill="auto"/>
    </w:tcPr>
  </w:style>
  <w:style w:type="table" w:styleId="TableGrid">
    <w:name w:val="Table Grid"/>
    <w:basedOn w:val="TableNormal"/>
    <w:uiPriority w:val="39"/>
    <w:rsid w:val="007C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7611C"/>
    <w:rPr>
      <w:rFonts w:ascii="Calibri" w:hAnsi="Calibri" w:cstheme="majorBidi"/>
      <w:color w:val="2F5496" w:themeColor="accent1" w:themeShade="BF"/>
      <w:sz w:val="28"/>
      <w:szCs w:val="32"/>
      <w:lang w:val="en-AU"/>
    </w:rPr>
  </w:style>
  <w:style w:type="table" w:customStyle="1" w:styleId="TableGridLight1">
    <w:name w:val="Table Grid Light1"/>
    <w:basedOn w:val="TableNormal"/>
    <w:uiPriority w:val="40"/>
    <w:rsid w:val="003928B2"/>
    <w:rPr>
      <w:rFonts w:eastAsia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84328"/>
    <w:pPr>
      <w:tabs>
        <w:tab w:val="center" w:pos="4680"/>
        <w:tab w:val="right" w:pos="9360"/>
      </w:tabs>
    </w:pPr>
  </w:style>
  <w:style w:type="character" w:customStyle="1" w:styleId="HeaderChar">
    <w:name w:val="Header Char"/>
    <w:basedOn w:val="DefaultParagraphFont"/>
    <w:link w:val="Header"/>
    <w:uiPriority w:val="99"/>
    <w:rsid w:val="00D84328"/>
    <w:rPr>
      <w:rFonts w:ascii="Calibri" w:hAnsi="Calibri" w:cs="Times New Roman"/>
      <w:color w:val="262626" w:themeColor="text1" w:themeTint="D9"/>
      <w:sz w:val="22"/>
      <w:lang w:val="en-US"/>
    </w:rPr>
  </w:style>
  <w:style w:type="paragraph" w:styleId="Footer">
    <w:name w:val="footer"/>
    <w:basedOn w:val="Normal"/>
    <w:link w:val="FooterChar"/>
    <w:uiPriority w:val="99"/>
    <w:unhideWhenUsed/>
    <w:rsid w:val="00D84328"/>
    <w:pPr>
      <w:tabs>
        <w:tab w:val="center" w:pos="4680"/>
        <w:tab w:val="right" w:pos="9360"/>
      </w:tabs>
    </w:pPr>
  </w:style>
  <w:style w:type="character" w:customStyle="1" w:styleId="FooterChar">
    <w:name w:val="Footer Char"/>
    <w:basedOn w:val="DefaultParagraphFont"/>
    <w:link w:val="Footer"/>
    <w:uiPriority w:val="99"/>
    <w:rsid w:val="00D84328"/>
    <w:rPr>
      <w:rFonts w:ascii="Calibri" w:hAnsi="Calibri" w:cs="Times New Roman"/>
      <w:color w:val="262626" w:themeColor="text1" w:themeTint="D9"/>
      <w:sz w:val="22"/>
      <w:lang w:val="en-US"/>
    </w:rPr>
  </w:style>
  <w:style w:type="paragraph" w:styleId="NormalWeb">
    <w:name w:val="Normal (Web)"/>
    <w:basedOn w:val="Normal"/>
    <w:uiPriority w:val="99"/>
    <w:unhideWhenUsed/>
    <w:rsid w:val="00D84328"/>
    <w:pPr>
      <w:spacing w:before="100" w:beforeAutospacing="1" w:after="100" w:afterAutospacing="1"/>
    </w:pPr>
    <w:rPr>
      <w:rFonts w:ascii="Times New Roman" w:hAnsi="Times New Roman"/>
      <w:color w:val="auto"/>
      <w:sz w:val="24"/>
      <w:lang w:val="en-AU"/>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D84328"/>
    <w:pPr>
      <w:ind w:left="720"/>
      <w:contextualSpacing/>
    </w:pPr>
  </w:style>
  <w:style w:type="paragraph" w:styleId="BalloonText">
    <w:name w:val="Balloon Text"/>
    <w:basedOn w:val="Normal"/>
    <w:link w:val="BalloonTextChar"/>
    <w:uiPriority w:val="99"/>
    <w:semiHidden/>
    <w:unhideWhenUsed/>
    <w:rsid w:val="00BE47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7EE"/>
    <w:rPr>
      <w:rFonts w:ascii="Segoe UI" w:hAnsi="Segoe UI" w:cs="Segoe UI"/>
      <w:color w:val="262626" w:themeColor="text1" w:themeTint="D9"/>
      <w:sz w:val="18"/>
      <w:szCs w:val="18"/>
      <w:lang w:val="en-US"/>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4875E3"/>
    <w:rPr>
      <w:rFonts w:ascii="Calibri" w:hAnsi="Calibri" w:cs="Times New Roman"/>
      <w:color w:val="262626" w:themeColor="text1" w:themeTint="D9"/>
      <w:sz w:val="22"/>
      <w:lang w:val="en-US"/>
    </w:rPr>
  </w:style>
  <w:style w:type="character" w:styleId="Hyperlink">
    <w:name w:val="Hyperlink"/>
    <w:basedOn w:val="DefaultParagraphFont"/>
    <w:uiPriority w:val="99"/>
    <w:semiHidden/>
    <w:unhideWhenUsed/>
    <w:rsid w:val="001235BD"/>
    <w:rPr>
      <w:color w:val="0000FF"/>
      <w:u w:val="single"/>
    </w:rPr>
  </w:style>
  <w:style w:type="character" w:styleId="FollowedHyperlink">
    <w:name w:val="FollowedHyperlink"/>
    <w:basedOn w:val="DefaultParagraphFont"/>
    <w:uiPriority w:val="99"/>
    <w:semiHidden/>
    <w:unhideWhenUsed/>
    <w:rsid w:val="001235BD"/>
    <w:rPr>
      <w:color w:val="954F72" w:themeColor="followedHyperlink"/>
      <w:u w:val="single"/>
    </w:rPr>
  </w:style>
  <w:style w:type="character" w:styleId="Emphasis">
    <w:name w:val="Emphasis"/>
    <w:basedOn w:val="DefaultParagraphFont"/>
    <w:uiPriority w:val="20"/>
    <w:qFormat/>
    <w:rsid w:val="00444D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210276">
      <w:bodyDiv w:val="1"/>
      <w:marLeft w:val="0"/>
      <w:marRight w:val="0"/>
      <w:marTop w:val="0"/>
      <w:marBottom w:val="0"/>
      <w:divBdr>
        <w:top w:val="none" w:sz="0" w:space="0" w:color="auto"/>
        <w:left w:val="none" w:sz="0" w:space="0" w:color="auto"/>
        <w:bottom w:val="none" w:sz="0" w:space="0" w:color="auto"/>
        <w:right w:val="none" w:sz="0" w:space="0" w:color="auto"/>
      </w:divBdr>
    </w:div>
    <w:div w:id="741754630">
      <w:bodyDiv w:val="1"/>
      <w:marLeft w:val="0"/>
      <w:marRight w:val="0"/>
      <w:marTop w:val="0"/>
      <w:marBottom w:val="0"/>
      <w:divBdr>
        <w:top w:val="none" w:sz="0" w:space="0" w:color="auto"/>
        <w:left w:val="none" w:sz="0" w:space="0" w:color="auto"/>
        <w:bottom w:val="none" w:sz="0" w:space="0" w:color="auto"/>
        <w:right w:val="none" w:sz="0" w:space="0" w:color="auto"/>
      </w:divBdr>
    </w:div>
    <w:div w:id="939024817">
      <w:bodyDiv w:val="1"/>
      <w:marLeft w:val="0"/>
      <w:marRight w:val="0"/>
      <w:marTop w:val="0"/>
      <w:marBottom w:val="0"/>
      <w:divBdr>
        <w:top w:val="none" w:sz="0" w:space="0" w:color="auto"/>
        <w:left w:val="none" w:sz="0" w:space="0" w:color="auto"/>
        <w:bottom w:val="none" w:sz="0" w:space="0" w:color="auto"/>
        <w:right w:val="none" w:sz="0" w:space="0" w:color="auto"/>
      </w:divBdr>
      <w:divsChild>
        <w:div w:id="1890146551">
          <w:marLeft w:val="0"/>
          <w:marRight w:val="0"/>
          <w:marTop w:val="0"/>
          <w:marBottom w:val="0"/>
          <w:divBdr>
            <w:top w:val="none" w:sz="0" w:space="0" w:color="auto"/>
            <w:left w:val="none" w:sz="0" w:space="0" w:color="auto"/>
            <w:bottom w:val="none" w:sz="0" w:space="0" w:color="auto"/>
            <w:right w:val="none" w:sz="0" w:space="0" w:color="auto"/>
          </w:divBdr>
        </w:div>
      </w:divsChild>
    </w:div>
    <w:div w:id="1097017104">
      <w:bodyDiv w:val="1"/>
      <w:marLeft w:val="0"/>
      <w:marRight w:val="0"/>
      <w:marTop w:val="0"/>
      <w:marBottom w:val="0"/>
      <w:divBdr>
        <w:top w:val="none" w:sz="0" w:space="0" w:color="auto"/>
        <w:left w:val="none" w:sz="0" w:space="0" w:color="auto"/>
        <w:bottom w:val="none" w:sz="0" w:space="0" w:color="auto"/>
        <w:right w:val="none" w:sz="0" w:space="0" w:color="auto"/>
      </w:divBdr>
      <w:divsChild>
        <w:div w:id="1845393194">
          <w:marLeft w:val="0"/>
          <w:marRight w:val="0"/>
          <w:marTop w:val="0"/>
          <w:marBottom w:val="0"/>
          <w:divBdr>
            <w:top w:val="none" w:sz="0" w:space="0" w:color="auto"/>
            <w:left w:val="none" w:sz="0" w:space="0" w:color="auto"/>
            <w:bottom w:val="none" w:sz="0" w:space="0" w:color="auto"/>
            <w:right w:val="none" w:sz="0" w:space="0" w:color="auto"/>
          </w:divBdr>
        </w:div>
      </w:divsChild>
    </w:div>
    <w:div w:id="1307978270">
      <w:bodyDiv w:val="1"/>
      <w:marLeft w:val="0"/>
      <w:marRight w:val="0"/>
      <w:marTop w:val="0"/>
      <w:marBottom w:val="0"/>
      <w:divBdr>
        <w:top w:val="none" w:sz="0" w:space="0" w:color="auto"/>
        <w:left w:val="none" w:sz="0" w:space="0" w:color="auto"/>
        <w:bottom w:val="none" w:sz="0" w:space="0" w:color="auto"/>
        <w:right w:val="none" w:sz="0" w:space="0" w:color="auto"/>
      </w:divBdr>
      <w:divsChild>
        <w:div w:id="1985425923">
          <w:marLeft w:val="0"/>
          <w:marRight w:val="0"/>
          <w:marTop w:val="15"/>
          <w:marBottom w:val="0"/>
          <w:divBdr>
            <w:top w:val="none" w:sz="0" w:space="0" w:color="auto"/>
            <w:left w:val="none" w:sz="0" w:space="0" w:color="auto"/>
            <w:bottom w:val="none" w:sz="0" w:space="0" w:color="auto"/>
            <w:right w:val="none" w:sz="0" w:space="0" w:color="auto"/>
          </w:divBdr>
          <w:divsChild>
            <w:div w:id="1473136565">
              <w:marLeft w:val="0"/>
              <w:marRight w:val="0"/>
              <w:marTop w:val="0"/>
              <w:marBottom w:val="0"/>
              <w:divBdr>
                <w:top w:val="none" w:sz="0" w:space="0" w:color="auto"/>
                <w:left w:val="none" w:sz="0" w:space="0" w:color="auto"/>
                <w:bottom w:val="none" w:sz="0" w:space="0" w:color="auto"/>
                <w:right w:val="none" w:sz="0" w:space="0" w:color="auto"/>
              </w:divBdr>
              <w:divsChild>
                <w:div w:id="1020935014">
                  <w:marLeft w:val="0"/>
                  <w:marRight w:val="0"/>
                  <w:marTop w:val="0"/>
                  <w:marBottom w:val="0"/>
                  <w:divBdr>
                    <w:top w:val="none" w:sz="0" w:space="0" w:color="auto"/>
                    <w:left w:val="none" w:sz="0" w:space="0" w:color="auto"/>
                    <w:bottom w:val="none" w:sz="0" w:space="0" w:color="auto"/>
                    <w:right w:val="none" w:sz="0" w:space="0" w:color="auto"/>
                  </w:divBdr>
                </w:div>
                <w:div w:id="1578056294">
                  <w:marLeft w:val="0"/>
                  <w:marRight w:val="0"/>
                  <w:marTop w:val="0"/>
                  <w:marBottom w:val="0"/>
                  <w:divBdr>
                    <w:top w:val="none" w:sz="0" w:space="0" w:color="auto"/>
                    <w:left w:val="none" w:sz="0" w:space="0" w:color="auto"/>
                    <w:bottom w:val="none" w:sz="0" w:space="0" w:color="auto"/>
                    <w:right w:val="none" w:sz="0" w:space="0" w:color="auto"/>
                  </w:divBdr>
                </w:div>
                <w:div w:id="1783332459">
                  <w:marLeft w:val="0"/>
                  <w:marRight w:val="0"/>
                  <w:marTop w:val="0"/>
                  <w:marBottom w:val="0"/>
                  <w:divBdr>
                    <w:top w:val="none" w:sz="0" w:space="0" w:color="auto"/>
                    <w:left w:val="none" w:sz="0" w:space="0" w:color="auto"/>
                    <w:bottom w:val="none" w:sz="0" w:space="0" w:color="auto"/>
                    <w:right w:val="none" w:sz="0" w:space="0" w:color="auto"/>
                  </w:divBdr>
                </w:div>
                <w:div w:id="211328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117591">
          <w:marLeft w:val="0"/>
          <w:marRight w:val="0"/>
          <w:marTop w:val="15"/>
          <w:marBottom w:val="0"/>
          <w:divBdr>
            <w:top w:val="none" w:sz="0" w:space="0" w:color="auto"/>
            <w:left w:val="none" w:sz="0" w:space="0" w:color="auto"/>
            <w:bottom w:val="none" w:sz="0" w:space="0" w:color="auto"/>
            <w:right w:val="none" w:sz="0" w:space="0" w:color="auto"/>
          </w:divBdr>
          <w:divsChild>
            <w:div w:id="405685403">
              <w:marLeft w:val="0"/>
              <w:marRight w:val="0"/>
              <w:marTop w:val="0"/>
              <w:marBottom w:val="0"/>
              <w:divBdr>
                <w:top w:val="none" w:sz="0" w:space="0" w:color="auto"/>
                <w:left w:val="none" w:sz="0" w:space="0" w:color="auto"/>
                <w:bottom w:val="none" w:sz="0" w:space="0" w:color="auto"/>
                <w:right w:val="none" w:sz="0" w:space="0" w:color="auto"/>
              </w:divBdr>
              <w:divsChild>
                <w:div w:id="908199088">
                  <w:marLeft w:val="0"/>
                  <w:marRight w:val="0"/>
                  <w:marTop w:val="0"/>
                  <w:marBottom w:val="0"/>
                  <w:divBdr>
                    <w:top w:val="none" w:sz="0" w:space="0" w:color="auto"/>
                    <w:left w:val="none" w:sz="0" w:space="0" w:color="auto"/>
                    <w:bottom w:val="none" w:sz="0" w:space="0" w:color="auto"/>
                    <w:right w:val="none" w:sz="0" w:space="0" w:color="auto"/>
                  </w:divBdr>
                </w:div>
                <w:div w:id="1519082901">
                  <w:marLeft w:val="0"/>
                  <w:marRight w:val="0"/>
                  <w:marTop w:val="0"/>
                  <w:marBottom w:val="0"/>
                  <w:divBdr>
                    <w:top w:val="none" w:sz="0" w:space="0" w:color="auto"/>
                    <w:left w:val="none" w:sz="0" w:space="0" w:color="auto"/>
                    <w:bottom w:val="none" w:sz="0" w:space="0" w:color="auto"/>
                    <w:right w:val="none" w:sz="0" w:space="0" w:color="auto"/>
                  </w:divBdr>
                </w:div>
                <w:div w:id="1277984668">
                  <w:marLeft w:val="0"/>
                  <w:marRight w:val="0"/>
                  <w:marTop w:val="0"/>
                  <w:marBottom w:val="0"/>
                  <w:divBdr>
                    <w:top w:val="none" w:sz="0" w:space="0" w:color="auto"/>
                    <w:left w:val="none" w:sz="0" w:space="0" w:color="auto"/>
                    <w:bottom w:val="none" w:sz="0" w:space="0" w:color="auto"/>
                    <w:right w:val="none" w:sz="0" w:space="0" w:color="auto"/>
                  </w:divBdr>
                </w:div>
                <w:div w:id="697850453">
                  <w:marLeft w:val="0"/>
                  <w:marRight w:val="0"/>
                  <w:marTop w:val="0"/>
                  <w:marBottom w:val="0"/>
                  <w:divBdr>
                    <w:top w:val="none" w:sz="0" w:space="0" w:color="auto"/>
                    <w:left w:val="none" w:sz="0" w:space="0" w:color="auto"/>
                    <w:bottom w:val="none" w:sz="0" w:space="0" w:color="auto"/>
                    <w:right w:val="none" w:sz="0" w:space="0" w:color="auto"/>
                  </w:divBdr>
                </w:div>
                <w:div w:id="527330986">
                  <w:marLeft w:val="0"/>
                  <w:marRight w:val="0"/>
                  <w:marTop w:val="0"/>
                  <w:marBottom w:val="0"/>
                  <w:divBdr>
                    <w:top w:val="none" w:sz="0" w:space="0" w:color="auto"/>
                    <w:left w:val="none" w:sz="0" w:space="0" w:color="auto"/>
                    <w:bottom w:val="none" w:sz="0" w:space="0" w:color="auto"/>
                    <w:right w:val="none" w:sz="0" w:space="0" w:color="auto"/>
                  </w:divBdr>
                </w:div>
                <w:div w:id="297492426">
                  <w:marLeft w:val="0"/>
                  <w:marRight w:val="0"/>
                  <w:marTop w:val="0"/>
                  <w:marBottom w:val="0"/>
                  <w:divBdr>
                    <w:top w:val="none" w:sz="0" w:space="0" w:color="auto"/>
                    <w:left w:val="none" w:sz="0" w:space="0" w:color="auto"/>
                    <w:bottom w:val="none" w:sz="0" w:space="0" w:color="auto"/>
                    <w:right w:val="none" w:sz="0" w:space="0" w:color="auto"/>
                  </w:divBdr>
                </w:div>
                <w:div w:id="1972980527">
                  <w:marLeft w:val="0"/>
                  <w:marRight w:val="0"/>
                  <w:marTop w:val="0"/>
                  <w:marBottom w:val="0"/>
                  <w:divBdr>
                    <w:top w:val="none" w:sz="0" w:space="0" w:color="auto"/>
                    <w:left w:val="none" w:sz="0" w:space="0" w:color="auto"/>
                    <w:bottom w:val="none" w:sz="0" w:space="0" w:color="auto"/>
                    <w:right w:val="none" w:sz="0" w:space="0" w:color="auto"/>
                  </w:divBdr>
                </w:div>
                <w:div w:id="1960648603">
                  <w:marLeft w:val="0"/>
                  <w:marRight w:val="0"/>
                  <w:marTop w:val="0"/>
                  <w:marBottom w:val="0"/>
                  <w:divBdr>
                    <w:top w:val="none" w:sz="0" w:space="0" w:color="auto"/>
                    <w:left w:val="none" w:sz="0" w:space="0" w:color="auto"/>
                    <w:bottom w:val="none" w:sz="0" w:space="0" w:color="auto"/>
                    <w:right w:val="none" w:sz="0" w:space="0" w:color="auto"/>
                  </w:divBdr>
                </w:div>
                <w:div w:id="309747002">
                  <w:marLeft w:val="0"/>
                  <w:marRight w:val="0"/>
                  <w:marTop w:val="0"/>
                  <w:marBottom w:val="0"/>
                  <w:divBdr>
                    <w:top w:val="none" w:sz="0" w:space="0" w:color="auto"/>
                    <w:left w:val="none" w:sz="0" w:space="0" w:color="auto"/>
                    <w:bottom w:val="none" w:sz="0" w:space="0" w:color="auto"/>
                    <w:right w:val="none" w:sz="0" w:space="0" w:color="auto"/>
                  </w:divBdr>
                </w:div>
                <w:div w:id="642001370">
                  <w:marLeft w:val="0"/>
                  <w:marRight w:val="0"/>
                  <w:marTop w:val="0"/>
                  <w:marBottom w:val="0"/>
                  <w:divBdr>
                    <w:top w:val="none" w:sz="0" w:space="0" w:color="auto"/>
                    <w:left w:val="none" w:sz="0" w:space="0" w:color="auto"/>
                    <w:bottom w:val="none" w:sz="0" w:space="0" w:color="auto"/>
                    <w:right w:val="none" w:sz="0" w:space="0" w:color="auto"/>
                  </w:divBdr>
                </w:div>
                <w:div w:id="883325867">
                  <w:marLeft w:val="0"/>
                  <w:marRight w:val="0"/>
                  <w:marTop w:val="0"/>
                  <w:marBottom w:val="0"/>
                  <w:divBdr>
                    <w:top w:val="none" w:sz="0" w:space="0" w:color="auto"/>
                    <w:left w:val="none" w:sz="0" w:space="0" w:color="auto"/>
                    <w:bottom w:val="none" w:sz="0" w:space="0" w:color="auto"/>
                    <w:right w:val="none" w:sz="0" w:space="0" w:color="auto"/>
                  </w:divBdr>
                </w:div>
                <w:div w:id="2018263144">
                  <w:marLeft w:val="0"/>
                  <w:marRight w:val="0"/>
                  <w:marTop w:val="0"/>
                  <w:marBottom w:val="0"/>
                  <w:divBdr>
                    <w:top w:val="none" w:sz="0" w:space="0" w:color="auto"/>
                    <w:left w:val="none" w:sz="0" w:space="0" w:color="auto"/>
                    <w:bottom w:val="none" w:sz="0" w:space="0" w:color="auto"/>
                    <w:right w:val="none" w:sz="0" w:space="0" w:color="auto"/>
                  </w:divBdr>
                </w:div>
                <w:div w:id="1755199387">
                  <w:marLeft w:val="0"/>
                  <w:marRight w:val="0"/>
                  <w:marTop w:val="0"/>
                  <w:marBottom w:val="0"/>
                  <w:divBdr>
                    <w:top w:val="none" w:sz="0" w:space="0" w:color="auto"/>
                    <w:left w:val="none" w:sz="0" w:space="0" w:color="auto"/>
                    <w:bottom w:val="none" w:sz="0" w:space="0" w:color="auto"/>
                    <w:right w:val="none" w:sz="0" w:space="0" w:color="auto"/>
                  </w:divBdr>
                </w:div>
                <w:div w:id="1264074057">
                  <w:marLeft w:val="0"/>
                  <w:marRight w:val="0"/>
                  <w:marTop w:val="0"/>
                  <w:marBottom w:val="0"/>
                  <w:divBdr>
                    <w:top w:val="none" w:sz="0" w:space="0" w:color="auto"/>
                    <w:left w:val="none" w:sz="0" w:space="0" w:color="auto"/>
                    <w:bottom w:val="none" w:sz="0" w:space="0" w:color="auto"/>
                    <w:right w:val="none" w:sz="0" w:space="0" w:color="auto"/>
                  </w:divBdr>
                </w:div>
                <w:div w:id="550120738">
                  <w:marLeft w:val="0"/>
                  <w:marRight w:val="0"/>
                  <w:marTop w:val="0"/>
                  <w:marBottom w:val="0"/>
                  <w:divBdr>
                    <w:top w:val="none" w:sz="0" w:space="0" w:color="auto"/>
                    <w:left w:val="none" w:sz="0" w:space="0" w:color="auto"/>
                    <w:bottom w:val="none" w:sz="0" w:space="0" w:color="auto"/>
                    <w:right w:val="none" w:sz="0" w:space="0" w:color="auto"/>
                  </w:divBdr>
                </w:div>
                <w:div w:id="74252969">
                  <w:marLeft w:val="0"/>
                  <w:marRight w:val="0"/>
                  <w:marTop w:val="0"/>
                  <w:marBottom w:val="0"/>
                  <w:divBdr>
                    <w:top w:val="none" w:sz="0" w:space="0" w:color="auto"/>
                    <w:left w:val="none" w:sz="0" w:space="0" w:color="auto"/>
                    <w:bottom w:val="none" w:sz="0" w:space="0" w:color="auto"/>
                    <w:right w:val="none" w:sz="0" w:space="0" w:color="auto"/>
                  </w:divBdr>
                </w:div>
                <w:div w:id="192765401">
                  <w:marLeft w:val="0"/>
                  <w:marRight w:val="0"/>
                  <w:marTop w:val="0"/>
                  <w:marBottom w:val="0"/>
                  <w:divBdr>
                    <w:top w:val="none" w:sz="0" w:space="0" w:color="auto"/>
                    <w:left w:val="none" w:sz="0" w:space="0" w:color="auto"/>
                    <w:bottom w:val="none" w:sz="0" w:space="0" w:color="auto"/>
                    <w:right w:val="none" w:sz="0" w:space="0" w:color="auto"/>
                  </w:divBdr>
                </w:div>
                <w:div w:id="1945456002">
                  <w:marLeft w:val="0"/>
                  <w:marRight w:val="0"/>
                  <w:marTop w:val="0"/>
                  <w:marBottom w:val="0"/>
                  <w:divBdr>
                    <w:top w:val="none" w:sz="0" w:space="0" w:color="auto"/>
                    <w:left w:val="none" w:sz="0" w:space="0" w:color="auto"/>
                    <w:bottom w:val="none" w:sz="0" w:space="0" w:color="auto"/>
                    <w:right w:val="none" w:sz="0" w:space="0" w:color="auto"/>
                  </w:divBdr>
                </w:div>
                <w:div w:id="463351836">
                  <w:marLeft w:val="0"/>
                  <w:marRight w:val="0"/>
                  <w:marTop w:val="0"/>
                  <w:marBottom w:val="0"/>
                  <w:divBdr>
                    <w:top w:val="none" w:sz="0" w:space="0" w:color="auto"/>
                    <w:left w:val="none" w:sz="0" w:space="0" w:color="auto"/>
                    <w:bottom w:val="none" w:sz="0" w:space="0" w:color="auto"/>
                    <w:right w:val="none" w:sz="0" w:space="0" w:color="auto"/>
                  </w:divBdr>
                </w:div>
                <w:div w:id="92041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85543">
      <w:bodyDiv w:val="1"/>
      <w:marLeft w:val="0"/>
      <w:marRight w:val="0"/>
      <w:marTop w:val="0"/>
      <w:marBottom w:val="0"/>
      <w:divBdr>
        <w:top w:val="none" w:sz="0" w:space="0" w:color="auto"/>
        <w:left w:val="none" w:sz="0" w:space="0" w:color="auto"/>
        <w:bottom w:val="none" w:sz="0" w:space="0" w:color="auto"/>
        <w:right w:val="none" w:sz="0" w:space="0" w:color="auto"/>
      </w:divBdr>
    </w:div>
    <w:div w:id="176757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raining.gov.au/Training/Details/CPPHSA4013A" TargetMode="External"/><Relationship Id="rId18" Type="http://schemas.openxmlformats.org/officeDocument/2006/relationships/hyperlink" Target="https://training.gov.au/Training/Details/CPPHSA5006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raining.gov.au/Training/Details/CPPHSA4011A" TargetMode="External"/><Relationship Id="rId17" Type="http://schemas.openxmlformats.org/officeDocument/2006/relationships/hyperlink" Target="https://training.gov.au/Training/Details/CPPHSA5005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raining.gov.au/Training/Details/CPPHSA5004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Training/Details/CPPHSA4010A"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training.gov.au/Training/Details/CPPHSA4017A" TargetMode="External"/><Relationship Id="rId23" Type="http://schemas.openxmlformats.org/officeDocument/2006/relationships/header" Target="header3.xml"/><Relationship Id="rId10" Type="http://schemas.openxmlformats.org/officeDocument/2006/relationships/hyperlink" Target="https://training.gov.au/Training/Details/CPPHSA4008A"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aining.gov.au/Training/Details/CPPHSA4006A" TargetMode="External"/><Relationship Id="rId14" Type="http://schemas.openxmlformats.org/officeDocument/2006/relationships/hyperlink" Target="https://training.gov.au/Training/Details/CPPHSA4014A"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1746C-2E79-45B4-8E11-EBB07B1E2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2002</Words>
  <Characters>11417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Barragan@</dc:creator>
  <cp:keywords/>
  <dc:description/>
  <cp:lastModifiedBy>Frances Lamb</cp:lastModifiedBy>
  <cp:revision>2</cp:revision>
  <dcterms:created xsi:type="dcterms:W3CDTF">2019-05-06T07:03:00Z</dcterms:created>
  <dcterms:modified xsi:type="dcterms:W3CDTF">2019-05-06T07:03:00Z</dcterms:modified>
</cp:coreProperties>
</file>