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34C8" w14:textId="77777777" w:rsidR="008A2EDE" w:rsidRDefault="00A50BD3">
      <w:pPr>
        <w:pStyle w:val="BodyText"/>
        <w:ind w:left="207"/>
        <w:rPr>
          <w:rFonts w:ascii="Times New Roman"/>
          <w:sz w:val="20"/>
        </w:rPr>
      </w:pPr>
      <w:r>
        <w:rPr>
          <w:rFonts w:ascii="Times New Roman"/>
          <w:noProof/>
          <w:sz w:val="20"/>
        </w:rPr>
        <w:drawing>
          <wp:inline distT="0" distB="0" distL="0" distR="0" wp14:anchorId="586A5162" wp14:editId="01C113F7">
            <wp:extent cx="3173589" cy="950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73589" cy="950976"/>
                    </a:xfrm>
                    <a:prstGeom prst="rect">
                      <a:avLst/>
                    </a:prstGeom>
                  </pic:spPr>
                </pic:pic>
              </a:graphicData>
            </a:graphic>
          </wp:inline>
        </w:drawing>
      </w:r>
    </w:p>
    <w:p w14:paraId="67A6A050" w14:textId="77777777" w:rsidR="008A2EDE" w:rsidRDefault="00A50BD3">
      <w:pPr>
        <w:pStyle w:val="BodyText"/>
        <w:spacing w:before="1"/>
        <w:rPr>
          <w:rFonts w:ascii="Times New Roman"/>
          <w:sz w:val="14"/>
        </w:rPr>
      </w:pPr>
      <w:r>
        <w:rPr>
          <w:noProof/>
        </w:rPr>
        <w:drawing>
          <wp:anchor distT="0" distB="0" distL="0" distR="0" simplePos="0" relativeHeight="251655680" behindDoc="0" locked="0" layoutInCell="1" allowOverlap="1" wp14:anchorId="6727ABC4" wp14:editId="77F57184">
            <wp:simplePos x="0" y="0"/>
            <wp:positionH relativeFrom="page">
              <wp:posOffset>1146499</wp:posOffset>
            </wp:positionH>
            <wp:positionV relativeFrom="paragraph">
              <wp:posOffset>127645</wp:posOffset>
            </wp:positionV>
            <wp:extent cx="2419178" cy="22002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419178" cy="220027"/>
                    </a:xfrm>
                    <a:prstGeom prst="rect">
                      <a:avLst/>
                    </a:prstGeom>
                  </pic:spPr>
                </pic:pic>
              </a:graphicData>
            </a:graphic>
          </wp:anchor>
        </w:drawing>
      </w:r>
    </w:p>
    <w:p w14:paraId="7E611E16" w14:textId="77777777" w:rsidR="008A2EDE" w:rsidRDefault="008A2EDE">
      <w:pPr>
        <w:pStyle w:val="BodyText"/>
        <w:rPr>
          <w:rFonts w:ascii="Times New Roman"/>
          <w:sz w:val="20"/>
        </w:rPr>
      </w:pPr>
    </w:p>
    <w:p w14:paraId="6ECC29F3" w14:textId="77777777" w:rsidR="008A2EDE" w:rsidRDefault="008A2EDE">
      <w:pPr>
        <w:pStyle w:val="BodyText"/>
        <w:rPr>
          <w:rFonts w:ascii="Times New Roman"/>
          <w:sz w:val="20"/>
        </w:rPr>
      </w:pPr>
    </w:p>
    <w:p w14:paraId="29724823" w14:textId="77777777" w:rsidR="008A2EDE" w:rsidRDefault="008A2EDE">
      <w:pPr>
        <w:pStyle w:val="BodyText"/>
        <w:rPr>
          <w:rFonts w:ascii="Times New Roman"/>
          <w:sz w:val="20"/>
        </w:rPr>
      </w:pPr>
    </w:p>
    <w:p w14:paraId="2046401B" w14:textId="77777777" w:rsidR="008A2EDE" w:rsidRDefault="008A2EDE">
      <w:pPr>
        <w:pStyle w:val="BodyText"/>
        <w:rPr>
          <w:rFonts w:ascii="Times New Roman"/>
          <w:sz w:val="20"/>
        </w:rPr>
      </w:pPr>
    </w:p>
    <w:p w14:paraId="42161A09" w14:textId="77777777" w:rsidR="008A2EDE" w:rsidRDefault="008A2EDE">
      <w:pPr>
        <w:pStyle w:val="BodyText"/>
        <w:rPr>
          <w:rFonts w:ascii="Times New Roman"/>
          <w:sz w:val="20"/>
        </w:rPr>
      </w:pPr>
    </w:p>
    <w:p w14:paraId="64F19705" w14:textId="77777777" w:rsidR="008A2EDE" w:rsidRDefault="008A2EDE">
      <w:pPr>
        <w:pStyle w:val="BodyText"/>
        <w:rPr>
          <w:rFonts w:ascii="Times New Roman"/>
          <w:sz w:val="20"/>
        </w:rPr>
      </w:pPr>
    </w:p>
    <w:p w14:paraId="233B8D29" w14:textId="77777777" w:rsidR="008A2EDE" w:rsidRDefault="008A2EDE">
      <w:pPr>
        <w:pStyle w:val="BodyText"/>
        <w:rPr>
          <w:rFonts w:ascii="Times New Roman"/>
          <w:sz w:val="20"/>
        </w:rPr>
      </w:pPr>
    </w:p>
    <w:p w14:paraId="3EA3186A" w14:textId="77777777" w:rsidR="008A2EDE" w:rsidRDefault="008A2EDE">
      <w:pPr>
        <w:pStyle w:val="BodyText"/>
        <w:rPr>
          <w:rFonts w:ascii="Times New Roman"/>
          <w:sz w:val="20"/>
        </w:rPr>
      </w:pPr>
    </w:p>
    <w:p w14:paraId="11EC6F08" w14:textId="77777777" w:rsidR="008A2EDE" w:rsidRDefault="008A2EDE">
      <w:pPr>
        <w:pStyle w:val="BodyText"/>
        <w:spacing w:before="3"/>
        <w:rPr>
          <w:rFonts w:ascii="Times New Roman"/>
          <w:sz w:val="20"/>
        </w:rPr>
      </w:pPr>
    </w:p>
    <w:p w14:paraId="366C3530" w14:textId="77777777" w:rsidR="008A2EDE" w:rsidRDefault="00A50BD3">
      <w:pPr>
        <w:spacing w:before="100"/>
        <w:ind w:left="119"/>
        <w:rPr>
          <w:b/>
          <w:sz w:val="72"/>
        </w:rPr>
      </w:pPr>
      <w:r>
        <w:rPr>
          <w:b/>
          <w:color w:val="A3A8AE"/>
          <w:sz w:val="72"/>
        </w:rPr>
        <w:t>Case for Endorsement</w:t>
      </w:r>
    </w:p>
    <w:p w14:paraId="70413D83" w14:textId="77777777" w:rsidR="008A2EDE" w:rsidRDefault="00A50BD3">
      <w:pPr>
        <w:spacing w:before="598"/>
        <w:ind w:left="119"/>
        <w:rPr>
          <w:b/>
          <w:sz w:val="56"/>
        </w:rPr>
      </w:pPr>
      <w:r>
        <w:rPr>
          <w:b/>
          <w:color w:val="A3A8AE"/>
          <w:sz w:val="56"/>
        </w:rPr>
        <w:t>Carpentry and Joinery Project</w:t>
      </w:r>
    </w:p>
    <w:p w14:paraId="11E1CAF2" w14:textId="674C7087" w:rsidR="008A2EDE" w:rsidRDefault="00A50BD3">
      <w:pPr>
        <w:spacing w:before="597" w:line="388" w:lineRule="auto"/>
        <w:ind w:left="119" w:right="1343"/>
        <w:rPr>
          <w:sz w:val="32"/>
        </w:rPr>
      </w:pPr>
      <w:r>
        <w:rPr>
          <w:color w:val="A3A8AE"/>
          <w:sz w:val="32"/>
        </w:rPr>
        <w:t xml:space="preserve">CPC Construction, Plumbing and Services Training Package Release </w:t>
      </w:r>
      <w:r w:rsidR="004C15A8">
        <w:rPr>
          <w:color w:val="A3A8AE"/>
          <w:sz w:val="32"/>
        </w:rPr>
        <w:t>6</w:t>
      </w:r>
      <w:r>
        <w:rPr>
          <w:color w:val="A3A8AE"/>
          <w:sz w:val="32"/>
        </w:rPr>
        <w:t>.0</w:t>
      </w:r>
    </w:p>
    <w:p w14:paraId="1E335F3D" w14:textId="77777777" w:rsidR="008A2EDE" w:rsidRDefault="008A2EDE">
      <w:pPr>
        <w:pStyle w:val="BodyText"/>
        <w:rPr>
          <w:sz w:val="38"/>
        </w:rPr>
      </w:pPr>
    </w:p>
    <w:p w14:paraId="33D958EA" w14:textId="77777777" w:rsidR="008A2EDE" w:rsidRDefault="008A2EDE">
      <w:pPr>
        <w:pStyle w:val="BodyText"/>
        <w:rPr>
          <w:sz w:val="38"/>
        </w:rPr>
      </w:pPr>
    </w:p>
    <w:p w14:paraId="3434D3DD" w14:textId="77777777" w:rsidR="008A2EDE" w:rsidRDefault="008A2EDE">
      <w:pPr>
        <w:pStyle w:val="BodyText"/>
        <w:rPr>
          <w:sz w:val="38"/>
        </w:rPr>
      </w:pPr>
    </w:p>
    <w:p w14:paraId="69B08A5E" w14:textId="77777777" w:rsidR="008A2EDE" w:rsidRDefault="008A2EDE">
      <w:pPr>
        <w:pStyle w:val="BodyText"/>
        <w:rPr>
          <w:sz w:val="38"/>
        </w:rPr>
      </w:pPr>
    </w:p>
    <w:p w14:paraId="34B9241F" w14:textId="77777777" w:rsidR="008A2EDE" w:rsidRDefault="008A2EDE">
      <w:pPr>
        <w:pStyle w:val="BodyText"/>
        <w:rPr>
          <w:sz w:val="38"/>
        </w:rPr>
      </w:pPr>
    </w:p>
    <w:p w14:paraId="3DAB8949" w14:textId="77777777" w:rsidR="008A2EDE" w:rsidRDefault="008A2EDE">
      <w:pPr>
        <w:pStyle w:val="BodyText"/>
        <w:rPr>
          <w:sz w:val="38"/>
        </w:rPr>
      </w:pPr>
    </w:p>
    <w:p w14:paraId="78BE8F0E" w14:textId="77777777" w:rsidR="008A2EDE" w:rsidRDefault="008A2EDE">
      <w:pPr>
        <w:pStyle w:val="BodyText"/>
        <w:rPr>
          <w:sz w:val="38"/>
        </w:rPr>
      </w:pPr>
    </w:p>
    <w:p w14:paraId="41830E9C" w14:textId="77777777" w:rsidR="008A2EDE" w:rsidRDefault="008A2EDE">
      <w:pPr>
        <w:pStyle w:val="BodyText"/>
        <w:spacing w:before="5"/>
        <w:rPr>
          <w:sz w:val="38"/>
        </w:rPr>
      </w:pPr>
    </w:p>
    <w:p w14:paraId="5BD460B2" w14:textId="77777777" w:rsidR="008A2EDE" w:rsidRDefault="00A50BD3">
      <w:pPr>
        <w:pStyle w:val="Heading4"/>
        <w:spacing w:line="341" w:lineRule="exact"/>
        <w:ind w:left="4921"/>
        <w:jc w:val="left"/>
      </w:pPr>
      <w:r>
        <w:rPr>
          <w:color w:val="A3AAAC"/>
        </w:rPr>
        <w:t>Submitted by Artibus</w:t>
      </w:r>
      <w:r>
        <w:rPr>
          <w:color w:val="A3AAAC"/>
          <w:spacing w:val="-20"/>
        </w:rPr>
        <w:t xml:space="preserve"> </w:t>
      </w:r>
      <w:r>
        <w:rPr>
          <w:color w:val="A3AAAC"/>
        </w:rPr>
        <w:t>Innovation</w:t>
      </w:r>
    </w:p>
    <w:p w14:paraId="7D8E6753" w14:textId="77777777" w:rsidR="008A2EDE" w:rsidRDefault="00A50BD3">
      <w:pPr>
        <w:pStyle w:val="Heading4"/>
        <w:spacing w:line="242" w:lineRule="auto"/>
        <w:ind w:left="4037" w:right="441" w:firstLine="2764"/>
      </w:pPr>
      <w:r>
        <w:rPr>
          <w:color w:val="A3AAAC"/>
        </w:rPr>
        <w:t>on behalf</w:t>
      </w:r>
      <w:r>
        <w:rPr>
          <w:color w:val="A3AAAC"/>
          <w:spacing w:val="-7"/>
        </w:rPr>
        <w:t xml:space="preserve"> </w:t>
      </w:r>
      <w:r>
        <w:rPr>
          <w:color w:val="A3AAAC"/>
        </w:rPr>
        <w:t>of</w:t>
      </w:r>
      <w:r>
        <w:rPr>
          <w:color w:val="A3AAAC"/>
          <w:spacing w:val="-3"/>
        </w:rPr>
        <w:t xml:space="preserve"> </w:t>
      </w:r>
      <w:r>
        <w:rPr>
          <w:color w:val="A3AAAC"/>
        </w:rPr>
        <w:t>the</w:t>
      </w:r>
      <w:r>
        <w:rPr>
          <w:color w:val="A3AAAC"/>
          <w:w w:val="99"/>
        </w:rPr>
        <w:t xml:space="preserve"> </w:t>
      </w:r>
      <w:r>
        <w:rPr>
          <w:color w:val="A3AAAC"/>
        </w:rPr>
        <w:t>Construction, Plumbing and Services</w:t>
      </w:r>
      <w:r>
        <w:rPr>
          <w:color w:val="A3AAAC"/>
          <w:spacing w:val="-23"/>
        </w:rPr>
        <w:t xml:space="preserve"> </w:t>
      </w:r>
      <w:r>
        <w:rPr>
          <w:color w:val="A3AAAC"/>
        </w:rPr>
        <w:t>IRC</w:t>
      </w:r>
    </w:p>
    <w:p w14:paraId="5B1ED31C" w14:textId="10964785" w:rsidR="008A2EDE" w:rsidRDefault="00A50BD3">
      <w:pPr>
        <w:pStyle w:val="Heading4"/>
        <w:spacing w:line="338" w:lineRule="exact"/>
        <w:ind w:right="440"/>
      </w:pPr>
      <w:r>
        <w:rPr>
          <w:color w:val="A3AAAC"/>
        </w:rPr>
        <w:t>February 2020</w:t>
      </w:r>
    </w:p>
    <w:p w14:paraId="4895D208" w14:textId="77777777" w:rsidR="008A2EDE" w:rsidRDefault="008A2EDE">
      <w:pPr>
        <w:spacing w:line="338" w:lineRule="exact"/>
        <w:sectPr w:rsidR="008A2EDE">
          <w:headerReference w:type="even" r:id="rId10"/>
          <w:headerReference w:type="default" r:id="rId11"/>
          <w:headerReference w:type="first" r:id="rId12"/>
          <w:type w:val="continuous"/>
          <w:pgSz w:w="11900" w:h="16840"/>
          <w:pgMar w:top="1540" w:right="1260" w:bottom="280" w:left="1580" w:header="720" w:footer="720" w:gutter="0"/>
          <w:cols w:space="720"/>
        </w:sectPr>
      </w:pPr>
    </w:p>
    <w:p w14:paraId="36A75639" w14:textId="77777777" w:rsidR="008A2EDE" w:rsidRDefault="00A50BD3">
      <w:pPr>
        <w:pStyle w:val="Heading2"/>
      </w:pPr>
      <w:r>
        <w:rPr>
          <w:color w:val="A3A8AE"/>
          <w:w w:val="105"/>
        </w:rPr>
        <w:lastRenderedPageBreak/>
        <w:t>Artibus Innovation</w:t>
      </w:r>
    </w:p>
    <w:p w14:paraId="4CA38FF7" w14:textId="77777777" w:rsidR="008A2EDE" w:rsidRDefault="008A2EDE">
      <w:pPr>
        <w:pStyle w:val="BodyText"/>
        <w:spacing w:before="12"/>
        <w:rPr>
          <w:rFonts w:ascii="Calibri Light"/>
          <w:sz w:val="32"/>
        </w:rPr>
      </w:pPr>
    </w:p>
    <w:p w14:paraId="39D6C69B" w14:textId="77777777" w:rsidR="008A2EDE" w:rsidRDefault="00A50BD3">
      <w:pPr>
        <w:pStyle w:val="BodyText"/>
        <w:ind w:left="119" w:right="440"/>
        <w:jc w:val="both"/>
      </w:pPr>
      <w:r>
        <w:t>Artibus Innovation is the Skills Service Organisation supporting the Industry Reference Committees</w:t>
      </w:r>
      <w:r>
        <w:rPr>
          <w:spacing w:val="-11"/>
        </w:rPr>
        <w:t xml:space="preserve"> </w:t>
      </w:r>
      <w:r>
        <w:t>(IRCs)</w:t>
      </w:r>
      <w:r>
        <w:rPr>
          <w:spacing w:val="-9"/>
        </w:rPr>
        <w:t xml:space="preserve"> </w:t>
      </w:r>
      <w:r>
        <w:t>for</w:t>
      </w:r>
      <w:r>
        <w:rPr>
          <w:spacing w:val="-10"/>
        </w:rPr>
        <w:t xml:space="preserve"> </w:t>
      </w:r>
      <w:r>
        <w:t>the</w:t>
      </w:r>
      <w:r>
        <w:rPr>
          <w:spacing w:val="-10"/>
        </w:rPr>
        <w:t xml:space="preserve"> </w:t>
      </w:r>
      <w:r>
        <w:t>Construction,</w:t>
      </w:r>
      <w:r>
        <w:rPr>
          <w:spacing w:val="-9"/>
        </w:rPr>
        <w:t xml:space="preserve"> </w:t>
      </w:r>
      <w:r>
        <w:t>Plumbing</w:t>
      </w:r>
      <w:r>
        <w:rPr>
          <w:spacing w:val="-10"/>
        </w:rPr>
        <w:t xml:space="preserve"> </w:t>
      </w:r>
      <w:r>
        <w:t>and</w:t>
      </w:r>
      <w:r>
        <w:rPr>
          <w:spacing w:val="-10"/>
        </w:rPr>
        <w:t xml:space="preserve"> </w:t>
      </w:r>
      <w:r>
        <w:t>Services,</w:t>
      </w:r>
      <w:r>
        <w:rPr>
          <w:spacing w:val="-9"/>
        </w:rPr>
        <w:t xml:space="preserve"> </w:t>
      </w:r>
      <w:r>
        <w:t>and</w:t>
      </w:r>
      <w:r>
        <w:rPr>
          <w:spacing w:val="-10"/>
        </w:rPr>
        <w:t xml:space="preserve"> </w:t>
      </w:r>
      <w:r>
        <w:t>Property</w:t>
      </w:r>
      <w:r>
        <w:rPr>
          <w:spacing w:val="-9"/>
        </w:rPr>
        <w:t xml:space="preserve"> </w:t>
      </w:r>
      <w:r>
        <w:t>Services</w:t>
      </w:r>
      <w:r>
        <w:rPr>
          <w:spacing w:val="-11"/>
        </w:rPr>
        <w:t xml:space="preserve"> </w:t>
      </w:r>
      <w:r>
        <w:t>sectors</w:t>
      </w:r>
      <w:r>
        <w:rPr>
          <w:spacing w:val="-10"/>
        </w:rPr>
        <w:t xml:space="preserve"> </w:t>
      </w:r>
      <w:r>
        <w:t>in Australia. It develops, manages, and supports nationally recognised Training</w:t>
      </w:r>
      <w:r>
        <w:rPr>
          <w:spacing w:val="-24"/>
        </w:rPr>
        <w:t xml:space="preserve"> </w:t>
      </w:r>
      <w:r>
        <w:t>Packages.</w:t>
      </w:r>
    </w:p>
    <w:p w14:paraId="7F8DF3E8" w14:textId="77777777" w:rsidR="008A2EDE" w:rsidRDefault="008A2EDE">
      <w:pPr>
        <w:pStyle w:val="BodyText"/>
        <w:spacing w:before="3"/>
      </w:pPr>
    </w:p>
    <w:p w14:paraId="03D3160D" w14:textId="77777777" w:rsidR="008A2EDE" w:rsidRDefault="00A50BD3">
      <w:pPr>
        <w:pStyle w:val="BodyText"/>
        <w:spacing w:line="237" w:lineRule="auto"/>
        <w:ind w:left="119" w:right="440"/>
        <w:jc w:val="both"/>
      </w:pPr>
      <w:r>
        <w:t>The IRCs are responsible for providing guidance, direction, and advice in relation to the workforce training and skills development needs of these two industry sectors. Together industry, employees and enterprises contribute significantly to Australia’s infrastructure, underpinning the nation’s economic and social fabric.</w:t>
      </w:r>
    </w:p>
    <w:p w14:paraId="5401B37C" w14:textId="77777777" w:rsidR="008A2EDE" w:rsidRDefault="008A2EDE">
      <w:pPr>
        <w:pStyle w:val="BodyText"/>
        <w:rPr>
          <w:sz w:val="26"/>
        </w:rPr>
      </w:pPr>
    </w:p>
    <w:p w14:paraId="604F6FD1" w14:textId="77777777" w:rsidR="008A2EDE" w:rsidRDefault="008A2EDE">
      <w:pPr>
        <w:pStyle w:val="BodyText"/>
        <w:rPr>
          <w:sz w:val="26"/>
        </w:rPr>
      </w:pPr>
    </w:p>
    <w:p w14:paraId="6281819C" w14:textId="77777777" w:rsidR="008A2EDE" w:rsidRDefault="008A2EDE">
      <w:pPr>
        <w:pStyle w:val="BodyText"/>
        <w:rPr>
          <w:sz w:val="26"/>
        </w:rPr>
      </w:pPr>
    </w:p>
    <w:p w14:paraId="1D5631F7" w14:textId="77777777" w:rsidR="008A2EDE" w:rsidRDefault="008A2EDE">
      <w:pPr>
        <w:pStyle w:val="BodyText"/>
        <w:rPr>
          <w:sz w:val="26"/>
        </w:rPr>
      </w:pPr>
    </w:p>
    <w:p w14:paraId="0EC7809D" w14:textId="77777777" w:rsidR="008A2EDE" w:rsidRDefault="008A2EDE">
      <w:pPr>
        <w:pStyle w:val="BodyText"/>
        <w:rPr>
          <w:sz w:val="26"/>
        </w:rPr>
      </w:pPr>
    </w:p>
    <w:p w14:paraId="169DBD23" w14:textId="77777777" w:rsidR="008A2EDE" w:rsidRDefault="008A2EDE">
      <w:pPr>
        <w:pStyle w:val="BodyText"/>
        <w:rPr>
          <w:sz w:val="26"/>
        </w:rPr>
      </w:pPr>
    </w:p>
    <w:p w14:paraId="3C6DA0BC" w14:textId="77777777" w:rsidR="008A2EDE" w:rsidRDefault="008A2EDE">
      <w:pPr>
        <w:pStyle w:val="BodyText"/>
        <w:rPr>
          <w:sz w:val="26"/>
        </w:rPr>
      </w:pPr>
    </w:p>
    <w:p w14:paraId="54BC2EE7" w14:textId="77777777" w:rsidR="008A2EDE" w:rsidRDefault="008A2EDE">
      <w:pPr>
        <w:pStyle w:val="BodyText"/>
        <w:rPr>
          <w:sz w:val="26"/>
        </w:rPr>
      </w:pPr>
    </w:p>
    <w:p w14:paraId="52602F41" w14:textId="77777777" w:rsidR="008A2EDE" w:rsidRDefault="008A2EDE">
      <w:pPr>
        <w:pStyle w:val="BodyText"/>
        <w:rPr>
          <w:sz w:val="26"/>
        </w:rPr>
      </w:pPr>
    </w:p>
    <w:p w14:paraId="4F01BA90" w14:textId="77777777" w:rsidR="008A2EDE" w:rsidRDefault="008A2EDE">
      <w:pPr>
        <w:pStyle w:val="BodyText"/>
        <w:rPr>
          <w:sz w:val="26"/>
        </w:rPr>
      </w:pPr>
    </w:p>
    <w:p w14:paraId="105EFA03" w14:textId="77777777" w:rsidR="008A2EDE" w:rsidRDefault="008A2EDE">
      <w:pPr>
        <w:pStyle w:val="BodyText"/>
        <w:rPr>
          <w:sz w:val="26"/>
        </w:rPr>
      </w:pPr>
    </w:p>
    <w:p w14:paraId="26A9F472" w14:textId="77777777" w:rsidR="008A2EDE" w:rsidRDefault="008A2EDE">
      <w:pPr>
        <w:pStyle w:val="BodyText"/>
        <w:rPr>
          <w:sz w:val="26"/>
        </w:rPr>
      </w:pPr>
    </w:p>
    <w:p w14:paraId="61138B75" w14:textId="77777777" w:rsidR="008A2EDE" w:rsidRDefault="008A2EDE">
      <w:pPr>
        <w:pStyle w:val="BodyText"/>
        <w:rPr>
          <w:sz w:val="26"/>
        </w:rPr>
      </w:pPr>
    </w:p>
    <w:p w14:paraId="45DA03BC" w14:textId="77777777" w:rsidR="008A2EDE" w:rsidRDefault="008A2EDE">
      <w:pPr>
        <w:pStyle w:val="BodyText"/>
        <w:rPr>
          <w:sz w:val="26"/>
        </w:rPr>
      </w:pPr>
    </w:p>
    <w:p w14:paraId="57CE2347" w14:textId="77777777" w:rsidR="008A2EDE" w:rsidRDefault="008A2EDE">
      <w:pPr>
        <w:pStyle w:val="BodyText"/>
        <w:rPr>
          <w:sz w:val="26"/>
        </w:rPr>
      </w:pPr>
    </w:p>
    <w:p w14:paraId="1A2C4EC9" w14:textId="77777777" w:rsidR="008A2EDE" w:rsidRDefault="008A2EDE">
      <w:pPr>
        <w:pStyle w:val="BodyText"/>
        <w:rPr>
          <w:sz w:val="26"/>
        </w:rPr>
      </w:pPr>
    </w:p>
    <w:p w14:paraId="30D72F64" w14:textId="77777777" w:rsidR="008A2EDE" w:rsidRDefault="008A2EDE">
      <w:pPr>
        <w:pStyle w:val="BodyText"/>
        <w:rPr>
          <w:sz w:val="26"/>
        </w:rPr>
      </w:pPr>
    </w:p>
    <w:p w14:paraId="4A41D5E9" w14:textId="77777777" w:rsidR="008A2EDE" w:rsidRDefault="008A2EDE">
      <w:pPr>
        <w:pStyle w:val="BodyText"/>
        <w:rPr>
          <w:sz w:val="26"/>
        </w:rPr>
      </w:pPr>
    </w:p>
    <w:p w14:paraId="5AB82987" w14:textId="77777777" w:rsidR="008A2EDE" w:rsidRDefault="008A2EDE">
      <w:pPr>
        <w:pStyle w:val="BodyText"/>
        <w:rPr>
          <w:sz w:val="26"/>
        </w:rPr>
      </w:pPr>
    </w:p>
    <w:p w14:paraId="661E10BC" w14:textId="77777777" w:rsidR="008A2EDE" w:rsidRDefault="008A2EDE">
      <w:pPr>
        <w:pStyle w:val="BodyText"/>
        <w:rPr>
          <w:sz w:val="26"/>
        </w:rPr>
      </w:pPr>
    </w:p>
    <w:p w14:paraId="2A74DD55" w14:textId="77777777" w:rsidR="008A2EDE" w:rsidRDefault="008A2EDE">
      <w:pPr>
        <w:pStyle w:val="BodyText"/>
        <w:rPr>
          <w:sz w:val="26"/>
        </w:rPr>
      </w:pPr>
    </w:p>
    <w:p w14:paraId="605BC1F8" w14:textId="77777777" w:rsidR="008A2EDE" w:rsidRDefault="008A2EDE">
      <w:pPr>
        <w:pStyle w:val="BodyText"/>
        <w:rPr>
          <w:sz w:val="26"/>
        </w:rPr>
      </w:pPr>
    </w:p>
    <w:p w14:paraId="3B2D3ADC" w14:textId="77777777" w:rsidR="008A2EDE" w:rsidRDefault="008A2EDE">
      <w:pPr>
        <w:pStyle w:val="BodyText"/>
        <w:rPr>
          <w:sz w:val="26"/>
        </w:rPr>
      </w:pPr>
    </w:p>
    <w:p w14:paraId="5137D5C0" w14:textId="77777777" w:rsidR="008A2EDE" w:rsidRDefault="008A2EDE">
      <w:pPr>
        <w:pStyle w:val="BodyText"/>
        <w:rPr>
          <w:sz w:val="26"/>
        </w:rPr>
      </w:pPr>
    </w:p>
    <w:p w14:paraId="660FF9B2" w14:textId="77777777" w:rsidR="008A2EDE" w:rsidRDefault="008A2EDE">
      <w:pPr>
        <w:pStyle w:val="BodyText"/>
        <w:rPr>
          <w:sz w:val="26"/>
        </w:rPr>
      </w:pPr>
    </w:p>
    <w:p w14:paraId="0DEAFE6E" w14:textId="77777777" w:rsidR="008A2EDE" w:rsidRDefault="008A2EDE">
      <w:pPr>
        <w:pStyle w:val="BodyText"/>
        <w:rPr>
          <w:sz w:val="26"/>
        </w:rPr>
      </w:pPr>
    </w:p>
    <w:p w14:paraId="0B2F707F" w14:textId="77777777" w:rsidR="008A2EDE" w:rsidRDefault="008A2EDE">
      <w:pPr>
        <w:pStyle w:val="BodyText"/>
        <w:rPr>
          <w:sz w:val="26"/>
        </w:rPr>
      </w:pPr>
    </w:p>
    <w:p w14:paraId="35FB63E5" w14:textId="77777777" w:rsidR="008A2EDE" w:rsidRDefault="008A2EDE">
      <w:pPr>
        <w:pStyle w:val="BodyText"/>
        <w:spacing w:before="4"/>
        <w:rPr>
          <w:sz w:val="20"/>
        </w:rPr>
      </w:pPr>
    </w:p>
    <w:p w14:paraId="08342508" w14:textId="77777777" w:rsidR="008A2EDE" w:rsidRDefault="00A50BD3">
      <w:pPr>
        <w:ind w:left="4991"/>
        <w:rPr>
          <w:b/>
          <w:sz w:val="18"/>
        </w:rPr>
      </w:pPr>
      <w:r>
        <w:rPr>
          <w:b/>
          <w:color w:val="A3AAAC"/>
          <w:sz w:val="18"/>
        </w:rPr>
        <w:t>Artibus Innovation</w:t>
      </w:r>
    </w:p>
    <w:p w14:paraId="537D5967" w14:textId="77777777" w:rsidR="008A2EDE" w:rsidRDefault="00A50BD3">
      <w:pPr>
        <w:spacing w:before="1"/>
        <w:ind w:left="4991" w:right="1516"/>
        <w:rPr>
          <w:sz w:val="18"/>
        </w:rPr>
      </w:pPr>
      <w:r>
        <w:rPr>
          <w:color w:val="A3AAAC"/>
          <w:sz w:val="18"/>
        </w:rPr>
        <w:t>373 Elizabeth Street, North Hobart Tasmania 7000</w:t>
      </w:r>
    </w:p>
    <w:p w14:paraId="0ADBB8C9" w14:textId="77777777" w:rsidR="008A2EDE" w:rsidRDefault="00A50BD3">
      <w:pPr>
        <w:spacing w:before="2"/>
        <w:ind w:left="4991"/>
        <w:rPr>
          <w:sz w:val="18"/>
        </w:rPr>
      </w:pPr>
      <w:r>
        <w:rPr>
          <w:b/>
          <w:color w:val="A3AAAC"/>
          <w:sz w:val="18"/>
        </w:rPr>
        <w:t xml:space="preserve">Phone: </w:t>
      </w:r>
      <w:r>
        <w:rPr>
          <w:color w:val="A3AAAC"/>
          <w:sz w:val="18"/>
        </w:rPr>
        <w:t xml:space="preserve">03 6218 2841 </w:t>
      </w:r>
      <w:r>
        <w:rPr>
          <w:b/>
          <w:color w:val="A3AAAC"/>
          <w:sz w:val="18"/>
        </w:rPr>
        <w:t xml:space="preserve">e </w:t>
      </w:r>
      <w:hyperlink r:id="rId13">
        <w:r>
          <w:rPr>
            <w:color w:val="A3AAAC"/>
            <w:sz w:val="18"/>
          </w:rPr>
          <w:t>enquiries@artibus.com.au</w:t>
        </w:r>
      </w:hyperlink>
    </w:p>
    <w:p w14:paraId="2A4CADDE" w14:textId="77777777" w:rsidR="008A2EDE" w:rsidRDefault="00A50BD3">
      <w:pPr>
        <w:spacing w:before="1" w:line="218" w:lineRule="exact"/>
        <w:ind w:left="4991"/>
        <w:rPr>
          <w:sz w:val="18"/>
        </w:rPr>
      </w:pPr>
      <w:r>
        <w:rPr>
          <w:b/>
          <w:color w:val="A3AAAC"/>
          <w:sz w:val="18"/>
        </w:rPr>
        <w:t xml:space="preserve">webpage: </w:t>
      </w:r>
      <w:r>
        <w:rPr>
          <w:color w:val="A3AAAC"/>
          <w:sz w:val="18"/>
        </w:rPr>
        <w:t>artibus.com.au</w:t>
      </w:r>
    </w:p>
    <w:p w14:paraId="5AB6F5FD" w14:textId="77777777" w:rsidR="008A2EDE" w:rsidRDefault="00A50BD3">
      <w:pPr>
        <w:spacing w:line="218" w:lineRule="exact"/>
        <w:ind w:left="4991"/>
        <w:rPr>
          <w:sz w:val="18"/>
        </w:rPr>
      </w:pPr>
      <w:r>
        <w:rPr>
          <w:color w:val="A3AAAC"/>
          <w:sz w:val="18"/>
        </w:rPr>
        <w:t>© 2019 Commonwealth of Australia</w:t>
      </w:r>
    </w:p>
    <w:p w14:paraId="3807CAAB" w14:textId="77777777" w:rsidR="008A2EDE" w:rsidRDefault="008A2EDE">
      <w:pPr>
        <w:spacing w:line="218" w:lineRule="exact"/>
        <w:rPr>
          <w:sz w:val="18"/>
        </w:rPr>
        <w:sectPr w:rsidR="008A2EDE">
          <w:headerReference w:type="even" r:id="rId14"/>
          <w:headerReference w:type="default" r:id="rId15"/>
          <w:footerReference w:type="default" r:id="rId16"/>
          <w:headerReference w:type="first" r:id="rId17"/>
          <w:pgSz w:w="11900" w:h="16840"/>
          <w:pgMar w:top="1360" w:right="1260" w:bottom="880" w:left="1580" w:header="0" w:footer="686" w:gutter="0"/>
          <w:pgNumType w:start="2"/>
          <w:cols w:space="720"/>
        </w:sectPr>
      </w:pPr>
    </w:p>
    <w:p w14:paraId="1DF6E135" w14:textId="77777777" w:rsidR="008A2EDE" w:rsidRDefault="008A2EDE">
      <w:pPr>
        <w:pStyle w:val="BodyText"/>
        <w:rPr>
          <w:sz w:val="20"/>
        </w:rPr>
      </w:pPr>
    </w:p>
    <w:p w14:paraId="232A74FD" w14:textId="77777777" w:rsidR="008A2EDE" w:rsidRDefault="008A2EDE">
      <w:pPr>
        <w:pStyle w:val="BodyText"/>
        <w:spacing w:before="5"/>
      </w:pPr>
    </w:p>
    <w:p w14:paraId="2ED6D35F" w14:textId="77777777" w:rsidR="008A2EDE" w:rsidRDefault="00A50BD3">
      <w:pPr>
        <w:pStyle w:val="Heading1"/>
        <w:spacing w:before="102"/>
        <w:ind w:left="119" w:firstLine="0"/>
      </w:pPr>
      <w:bookmarkStart w:id="0" w:name="_Toc23938245"/>
      <w:r>
        <w:rPr>
          <w:color w:val="A2A9AF"/>
        </w:rPr>
        <w:t>Table of Contents</w:t>
      </w:r>
      <w:bookmarkEnd w:id="0"/>
    </w:p>
    <w:sdt>
      <w:sdtPr>
        <w:rPr>
          <w:b w:val="0"/>
          <w:bCs w:val="0"/>
          <w:sz w:val="22"/>
          <w:szCs w:val="22"/>
        </w:rPr>
        <w:id w:val="1630748969"/>
        <w:docPartObj>
          <w:docPartGallery w:val="Table of Contents"/>
          <w:docPartUnique/>
        </w:docPartObj>
      </w:sdtPr>
      <w:sdtEndPr/>
      <w:sdtContent>
        <w:p w14:paraId="11D25E20" w14:textId="40D50A95" w:rsidR="008A4E78" w:rsidRDefault="00A50BD3">
          <w:pPr>
            <w:pStyle w:val="TOC1"/>
            <w:tabs>
              <w:tab w:val="right" w:leader="dot" w:pos="9050"/>
            </w:tabs>
            <w:rPr>
              <w:rFonts w:asciiTheme="minorHAnsi" w:eastAsiaTheme="minorEastAsia" w:hAnsiTheme="minorHAnsi" w:cstheme="minorBidi"/>
              <w:b w:val="0"/>
              <w:bCs w:val="0"/>
              <w:noProof/>
              <w:sz w:val="22"/>
              <w:szCs w:val="22"/>
              <w:lang w:val="en-AU" w:eastAsia="en-AU"/>
            </w:rPr>
          </w:pPr>
          <w:r>
            <w:fldChar w:fldCharType="begin"/>
          </w:r>
          <w:r>
            <w:instrText xml:space="preserve">TOC \o "1-1" \h \z \u </w:instrText>
          </w:r>
          <w:r>
            <w:fldChar w:fldCharType="separate"/>
          </w:r>
          <w:hyperlink w:anchor="_Toc23938245" w:history="1">
            <w:r w:rsidR="008A4E78" w:rsidRPr="007B3D6F">
              <w:rPr>
                <w:rStyle w:val="Hyperlink"/>
                <w:noProof/>
              </w:rPr>
              <w:t>Table of Contents</w:t>
            </w:r>
            <w:r w:rsidR="008A4E78">
              <w:rPr>
                <w:noProof/>
                <w:webHidden/>
              </w:rPr>
              <w:tab/>
            </w:r>
            <w:r w:rsidR="008A4E78">
              <w:rPr>
                <w:noProof/>
                <w:webHidden/>
              </w:rPr>
              <w:fldChar w:fldCharType="begin"/>
            </w:r>
            <w:r w:rsidR="008A4E78">
              <w:rPr>
                <w:noProof/>
                <w:webHidden/>
              </w:rPr>
              <w:instrText xml:space="preserve"> PAGEREF _Toc23938245 \h </w:instrText>
            </w:r>
            <w:r w:rsidR="008A4E78">
              <w:rPr>
                <w:noProof/>
                <w:webHidden/>
              </w:rPr>
            </w:r>
            <w:r w:rsidR="008A4E78">
              <w:rPr>
                <w:noProof/>
                <w:webHidden/>
              </w:rPr>
              <w:fldChar w:fldCharType="separate"/>
            </w:r>
            <w:r w:rsidR="008A4E78">
              <w:rPr>
                <w:noProof/>
                <w:webHidden/>
              </w:rPr>
              <w:t>3</w:t>
            </w:r>
            <w:r w:rsidR="008A4E78">
              <w:rPr>
                <w:noProof/>
                <w:webHidden/>
              </w:rPr>
              <w:fldChar w:fldCharType="end"/>
            </w:r>
          </w:hyperlink>
        </w:p>
        <w:p w14:paraId="4E71A88C" w14:textId="00D659C9"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46" w:history="1">
            <w:r w:rsidR="008A4E78" w:rsidRPr="007B3D6F">
              <w:rPr>
                <w:rStyle w:val="Hyperlink"/>
                <w:noProof/>
                <w:spacing w:val="-1"/>
              </w:rPr>
              <w:t>A.</w:t>
            </w:r>
            <w:r w:rsidR="008A4E78">
              <w:rPr>
                <w:rFonts w:asciiTheme="minorHAnsi" w:eastAsiaTheme="minorEastAsia" w:hAnsiTheme="minorHAnsi" w:cstheme="minorBidi"/>
                <w:b w:val="0"/>
                <w:bCs w:val="0"/>
                <w:noProof/>
                <w:sz w:val="22"/>
                <w:szCs w:val="22"/>
                <w:lang w:val="en-AU" w:eastAsia="en-AU"/>
              </w:rPr>
              <w:tab/>
            </w:r>
            <w:r w:rsidR="008A4E78" w:rsidRPr="007B3D6F">
              <w:rPr>
                <w:rStyle w:val="Hyperlink"/>
                <w:noProof/>
              </w:rPr>
              <w:t>Administrative details of the Case for</w:t>
            </w:r>
            <w:r w:rsidR="008A4E78" w:rsidRPr="007B3D6F">
              <w:rPr>
                <w:rStyle w:val="Hyperlink"/>
                <w:noProof/>
                <w:spacing w:val="-9"/>
              </w:rPr>
              <w:t xml:space="preserve"> </w:t>
            </w:r>
            <w:r w:rsidR="008A4E78" w:rsidRPr="007B3D6F">
              <w:rPr>
                <w:rStyle w:val="Hyperlink"/>
                <w:noProof/>
              </w:rPr>
              <w:t>Endorsement</w:t>
            </w:r>
            <w:r w:rsidR="008A4E78">
              <w:rPr>
                <w:noProof/>
                <w:webHidden/>
              </w:rPr>
              <w:tab/>
            </w:r>
            <w:r w:rsidR="008A4E78">
              <w:rPr>
                <w:noProof/>
                <w:webHidden/>
              </w:rPr>
              <w:fldChar w:fldCharType="begin"/>
            </w:r>
            <w:r w:rsidR="008A4E78">
              <w:rPr>
                <w:noProof/>
                <w:webHidden/>
              </w:rPr>
              <w:instrText xml:space="preserve"> PAGEREF _Toc23938246 \h </w:instrText>
            </w:r>
            <w:r w:rsidR="008A4E78">
              <w:rPr>
                <w:noProof/>
                <w:webHidden/>
              </w:rPr>
            </w:r>
            <w:r w:rsidR="008A4E78">
              <w:rPr>
                <w:noProof/>
                <w:webHidden/>
              </w:rPr>
              <w:fldChar w:fldCharType="separate"/>
            </w:r>
            <w:r w:rsidR="008A4E78">
              <w:rPr>
                <w:noProof/>
                <w:webHidden/>
              </w:rPr>
              <w:t>4</w:t>
            </w:r>
            <w:r w:rsidR="008A4E78">
              <w:rPr>
                <w:noProof/>
                <w:webHidden/>
              </w:rPr>
              <w:fldChar w:fldCharType="end"/>
            </w:r>
          </w:hyperlink>
        </w:p>
        <w:p w14:paraId="795BE22A" w14:textId="1D2A9D7B"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47" w:history="1">
            <w:r w:rsidR="008A4E78" w:rsidRPr="007B3D6F">
              <w:rPr>
                <w:rStyle w:val="Hyperlink"/>
                <w:noProof/>
                <w:spacing w:val="-1"/>
              </w:rPr>
              <w:t>B.</w:t>
            </w:r>
            <w:r w:rsidR="008A4E78">
              <w:rPr>
                <w:rFonts w:asciiTheme="minorHAnsi" w:eastAsiaTheme="minorEastAsia" w:hAnsiTheme="minorHAnsi" w:cstheme="minorBidi"/>
                <w:b w:val="0"/>
                <w:bCs w:val="0"/>
                <w:noProof/>
                <w:sz w:val="22"/>
                <w:szCs w:val="22"/>
                <w:lang w:val="en-AU" w:eastAsia="en-AU"/>
              </w:rPr>
              <w:tab/>
            </w:r>
            <w:r w:rsidR="008A4E78" w:rsidRPr="007B3D6F">
              <w:rPr>
                <w:rStyle w:val="Hyperlink"/>
                <w:noProof/>
              </w:rPr>
              <w:t>Description of work and request for</w:t>
            </w:r>
            <w:r w:rsidR="008A4E78" w:rsidRPr="007B3D6F">
              <w:rPr>
                <w:rStyle w:val="Hyperlink"/>
                <w:noProof/>
                <w:spacing w:val="-9"/>
              </w:rPr>
              <w:t xml:space="preserve"> </w:t>
            </w:r>
            <w:r w:rsidR="008A4E78" w:rsidRPr="007B3D6F">
              <w:rPr>
                <w:rStyle w:val="Hyperlink"/>
                <w:noProof/>
              </w:rPr>
              <w:t>approval</w:t>
            </w:r>
            <w:r w:rsidR="008A4E78">
              <w:rPr>
                <w:noProof/>
                <w:webHidden/>
              </w:rPr>
              <w:tab/>
            </w:r>
            <w:r w:rsidR="008A4E78">
              <w:rPr>
                <w:noProof/>
                <w:webHidden/>
              </w:rPr>
              <w:fldChar w:fldCharType="begin"/>
            </w:r>
            <w:r w:rsidR="008A4E78">
              <w:rPr>
                <w:noProof/>
                <w:webHidden/>
              </w:rPr>
              <w:instrText xml:space="preserve"> PAGEREF _Toc23938247 \h </w:instrText>
            </w:r>
            <w:r w:rsidR="008A4E78">
              <w:rPr>
                <w:noProof/>
                <w:webHidden/>
              </w:rPr>
            </w:r>
            <w:r w:rsidR="008A4E78">
              <w:rPr>
                <w:noProof/>
                <w:webHidden/>
              </w:rPr>
              <w:fldChar w:fldCharType="separate"/>
            </w:r>
            <w:r w:rsidR="008A4E78">
              <w:rPr>
                <w:noProof/>
                <w:webHidden/>
              </w:rPr>
              <w:t>6</w:t>
            </w:r>
            <w:r w:rsidR="008A4E78">
              <w:rPr>
                <w:noProof/>
                <w:webHidden/>
              </w:rPr>
              <w:fldChar w:fldCharType="end"/>
            </w:r>
          </w:hyperlink>
        </w:p>
        <w:p w14:paraId="55006742" w14:textId="573BF2FA"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48" w:history="1">
            <w:r w:rsidR="008A4E78" w:rsidRPr="007B3D6F">
              <w:rPr>
                <w:rStyle w:val="Hyperlink"/>
                <w:noProof/>
                <w:spacing w:val="-1"/>
              </w:rPr>
              <w:t>C.</w:t>
            </w:r>
            <w:r w:rsidR="008A4E78">
              <w:rPr>
                <w:rFonts w:asciiTheme="minorHAnsi" w:eastAsiaTheme="minorEastAsia" w:hAnsiTheme="minorHAnsi" w:cstheme="minorBidi"/>
                <w:b w:val="0"/>
                <w:bCs w:val="0"/>
                <w:noProof/>
                <w:sz w:val="22"/>
                <w:szCs w:val="22"/>
                <w:lang w:val="en-AU" w:eastAsia="en-AU"/>
              </w:rPr>
              <w:tab/>
            </w:r>
            <w:r w:rsidR="008A4E78" w:rsidRPr="007B3D6F">
              <w:rPr>
                <w:rStyle w:val="Hyperlink"/>
                <w:noProof/>
              </w:rPr>
              <w:t>Evidence of industry</w:t>
            </w:r>
            <w:r w:rsidR="008A4E78" w:rsidRPr="007B3D6F">
              <w:rPr>
                <w:rStyle w:val="Hyperlink"/>
                <w:noProof/>
                <w:spacing w:val="-6"/>
              </w:rPr>
              <w:t xml:space="preserve"> </w:t>
            </w:r>
            <w:r w:rsidR="008A4E78" w:rsidRPr="007B3D6F">
              <w:rPr>
                <w:rStyle w:val="Hyperlink"/>
                <w:noProof/>
              </w:rPr>
              <w:t>support</w:t>
            </w:r>
            <w:r w:rsidR="008A4E78">
              <w:rPr>
                <w:noProof/>
                <w:webHidden/>
              </w:rPr>
              <w:tab/>
            </w:r>
            <w:r w:rsidR="008A4E78">
              <w:rPr>
                <w:noProof/>
                <w:webHidden/>
              </w:rPr>
              <w:fldChar w:fldCharType="begin"/>
            </w:r>
            <w:r w:rsidR="008A4E78">
              <w:rPr>
                <w:noProof/>
                <w:webHidden/>
              </w:rPr>
              <w:instrText xml:space="preserve"> PAGEREF _Toc23938248 \h </w:instrText>
            </w:r>
            <w:r w:rsidR="008A4E78">
              <w:rPr>
                <w:noProof/>
                <w:webHidden/>
              </w:rPr>
            </w:r>
            <w:r w:rsidR="008A4E78">
              <w:rPr>
                <w:noProof/>
                <w:webHidden/>
              </w:rPr>
              <w:fldChar w:fldCharType="separate"/>
            </w:r>
            <w:r w:rsidR="008A4E78">
              <w:rPr>
                <w:noProof/>
                <w:webHidden/>
              </w:rPr>
              <w:t>19</w:t>
            </w:r>
            <w:r w:rsidR="008A4E78">
              <w:rPr>
                <w:noProof/>
                <w:webHidden/>
              </w:rPr>
              <w:fldChar w:fldCharType="end"/>
            </w:r>
          </w:hyperlink>
        </w:p>
        <w:p w14:paraId="0B862E83" w14:textId="32C5C3BF"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49" w:history="1">
            <w:r w:rsidR="008A4E78" w:rsidRPr="007B3D6F">
              <w:rPr>
                <w:rStyle w:val="Hyperlink"/>
                <w:noProof/>
                <w:spacing w:val="-1"/>
              </w:rPr>
              <w:t>D.</w:t>
            </w:r>
            <w:r w:rsidR="008A4E78">
              <w:rPr>
                <w:rFonts w:asciiTheme="minorHAnsi" w:eastAsiaTheme="minorEastAsia" w:hAnsiTheme="minorHAnsi" w:cstheme="minorBidi"/>
                <w:b w:val="0"/>
                <w:bCs w:val="0"/>
                <w:noProof/>
                <w:sz w:val="22"/>
                <w:szCs w:val="22"/>
                <w:lang w:val="en-AU" w:eastAsia="en-AU"/>
              </w:rPr>
              <w:tab/>
            </w:r>
            <w:r w:rsidR="008A4E78" w:rsidRPr="007B3D6F">
              <w:rPr>
                <w:rStyle w:val="Hyperlink"/>
                <w:noProof/>
              </w:rPr>
              <w:t>Industry expectations about training</w:t>
            </w:r>
            <w:r w:rsidR="008A4E78" w:rsidRPr="007B3D6F">
              <w:rPr>
                <w:rStyle w:val="Hyperlink"/>
                <w:noProof/>
                <w:spacing w:val="-5"/>
              </w:rPr>
              <w:t xml:space="preserve"> </w:t>
            </w:r>
            <w:r w:rsidR="008A4E78" w:rsidRPr="007B3D6F">
              <w:rPr>
                <w:rStyle w:val="Hyperlink"/>
                <w:noProof/>
              </w:rPr>
              <w:t>delivery</w:t>
            </w:r>
            <w:r w:rsidR="008A4E78">
              <w:rPr>
                <w:noProof/>
                <w:webHidden/>
              </w:rPr>
              <w:tab/>
            </w:r>
            <w:r w:rsidR="008A4E78">
              <w:rPr>
                <w:noProof/>
                <w:webHidden/>
              </w:rPr>
              <w:fldChar w:fldCharType="begin"/>
            </w:r>
            <w:r w:rsidR="008A4E78">
              <w:rPr>
                <w:noProof/>
                <w:webHidden/>
              </w:rPr>
              <w:instrText xml:space="preserve"> PAGEREF _Toc23938249 \h </w:instrText>
            </w:r>
            <w:r w:rsidR="008A4E78">
              <w:rPr>
                <w:noProof/>
                <w:webHidden/>
              </w:rPr>
            </w:r>
            <w:r w:rsidR="008A4E78">
              <w:rPr>
                <w:noProof/>
                <w:webHidden/>
              </w:rPr>
              <w:fldChar w:fldCharType="separate"/>
            </w:r>
            <w:r w:rsidR="008A4E78">
              <w:rPr>
                <w:noProof/>
                <w:webHidden/>
              </w:rPr>
              <w:t>20</w:t>
            </w:r>
            <w:r w:rsidR="008A4E78">
              <w:rPr>
                <w:noProof/>
                <w:webHidden/>
              </w:rPr>
              <w:fldChar w:fldCharType="end"/>
            </w:r>
          </w:hyperlink>
        </w:p>
        <w:p w14:paraId="35B321C5" w14:textId="4129E6C3"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50" w:history="1">
            <w:r w:rsidR="008A4E78" w:rsidRPr="007B3D6F">
              <w:rPr>
                <w:rStyle w:val="Hyperlink"/>
                <w:noProof/>
                <w:spacing w:val="-1"/>
              </w:rPr>
              <w:t>E.</w:t>
            </w:r>
            <w:r w:rsidR="008A4E78">
              <w:rPr>
                <w:rFonts w:asciiTheme="minorHAnsi" w:eastAsiaTheme="minorEastAsia" w:hAnsiTheme="minorHAnsi" w:cstheme="minorBidi"/>
                <w:b w:val="0"/>
                <w:bCs w:val="0"/>
                <w:noProof/>
                <w:sz w:val="22"/>
                <w:szCs w:val="22"/>
                <w:lang w:val="en-AU" w:eastAsia="en-AU"/>
              </w:rPr>
              <w:tab/>
            </w:r>
            <w:r w:rsidR="008A4E78" w:rsidRPr="007B3D6F">
              <w:rPr>
                <w:rStyle w:val="Hyperlink"/>
                <w:noProof/>
              </w:rPr>
              <w:t>Implementation of new training</w:t>
            </w:r>
            <w:r w:rsidR="008A4E78" w:rsidRPr="007B3D6F">
              <w:rPr>
                <w:rStyle w:val="Hyperlink"/>
                <w:noProof/>
                <w:spacing w:val="-6"/>
              </w:rPr>
              <w:t xml:space="preserve"> </w:t>
            </w:r>
            <w:r w:rsidR="008A4E78" w:rsidRPr="007B3D6F">
              <w:rPr>
                <w:rStyle w:val="Hyperlink"/>
                <w:noProof/>
              </w:rPr>
              <w:t>packages</w:t>
            </w:r>
            <w:r w:rsidR="008A4E78">
              <w:rPr>
                <w:noProof/>
                <w:webHidden/>
              </w:rPr>
              <w:tab/>
            </w:r>
            <w:r w:rsidR="008A4E78">
              <w:rPr>
                <w:noProof/>
                <w:webHidden/>
              </w:rPr>
              <w:fldChar w:fldCharType="begin"/>
            </w:r>
            <w:r w:rsidR="008A4E78">
              <w:rPr>
                <w:noProof/>
                <w:webHidden/>
              </w:rPr>
              <w:instrText xml:space="preserve"> PAGEREF _Toc23938250 \h </w:instrText>
            </w:r>
            <w:r w:rsidR="008A4E78">
              <w:rPr>
                <w:noProof/>
                <w:webHidden/>
              </w:rPr>
            </w:r>
            <w:r w:rsidR="008A4E78">
              <w:rPr>
                <w:noProof/>
                <w:webHidden/>
              </w:rPr>
              <w:fldChar w:fldCharType="separate"/>
            </w:r>
            <w:r w:rsidR="008A4E78">
              <w:rPr>
                <w:noProof/>
                <w:webHidden/>
              </w:rPr>
              <w:t>22</w:t>
            </w:r>
            <w:r w:rsidR="008A4E78">
              <w:rPr>
                <w:noProof/>
                <w:webHidden/>
              </w:rPr>
              <w:fldChar w:fldCharType="end"/>
            </w:r>
          </w:hyperlink>
        </w:p>
        <w:p w14:paraId="342355AA" w14:textId="562FB504"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51" w:history="1">
            <w:r w:rsidR="008A4E78" w:rsidRPr="007B3D6F">
              <w:rPr>
                <w:rStyle w:val="Hyperlink"/>
                <w:noProof/>
                <w:spacing w:val="-1"/>
              </w:rPr>
              <w:t>F.</w:t>
            </w:r>
            <w:r w:rsidR="008A4E78">
              <w:rPr>
                <w:rFonts w:asciiTheme="minorHAnsi" w:eastAsiaTheme="minorEastAsia" w:hAnsiTheme="minorHAnsi" w:cstheme="minorBidi"/>
                <w:b w:val="0"/>
                <w:bCs w:val="0"/>
                <w:noProof/>
                <w:sz w:val="22"/>
                <w:szCs w:val="22"/>
                <w:lang w:val="en-AU" w:eastAsia="en-AU"/>
              </w:rPr>
              <w:tab/>
            </w:r>
            <w:r w:rsidR="008A4E78" w:rsidRPr="007B3D6F">
              <w:rPr>
                <w:rStyle w:val="Hyperlink"/>
                <w:noProof/>
              </w:rPr>
              <w:t>Quality assurance</w:t>
            </w:r>
            <w:r w:rsidR="008A4E78" w:rsidRPr="007B3D6F">
              <w:rPr>
                <w:rStyle w:val="Hyperlink"/>
                <w:noProof/>
                <w:spacing w:val="-3"/>
              </w:rPr>
              <w:t xml:space="preserve"> </w:t>
            </w:r>
            <w:r w:rsidR="008A4E78" w:rsidRPr="007B3D6F">
              <w:rPr>
                <w:rStyle w:val="Hyperlink"/>
                <w:noProof/>
              </w:rPr>
              <w:t>reports</w:t>
            </w:r>
            <w:r w:rsidR="008A4E78">
              <w:rPr>
                <w:noProof/>
                <w:webHidden/>
              </w:rPr>
              <w:tab/>
            </w:r>
            <w:r w:rsidR="008A4E78">
              <w:rPr>
                <w:noProof/>
                <w:webHidden/>
              </w:rPr>
              <w:fldChar w:fldCharType="begin"/>
            </w:r>
            <w:r w:rsidR="008A4E78">
              <w:rPr>
                <w:noProof/>
                <w:webHidden/>
              </w:rPr>
              <w:instrText xml:space="preserve"> PAGEREF _Toc23938251 \h </w:instrText>
            </w:r>
            <w:r w:rsidR="008A4E78">
              <w:rPr>
                <w:noProof/>
                <w:webHidden/>
              </w:rPr>
            </w:r>
            <w:r w:rsidR="008A4E78">
              <w:rPr>
                <w:noProof/>
                <w:webHidden/>
              </w:rPr>
              <w:fldChar w:fldCharType="separate"/>
            </w:r>
            <w:r w:rsidR="008A4E78">
              <w:rPr>
                <w:noProof/>
                <w:webHidden/>
              </w:rPr>
              <w:t>23</w:t>
            </w:r>
            <w:r w:rsidR="008A4E78">
              <w:rPr>
                <w:noProof/>
                <w:webHidden/>
              </w:rPr>
              <w:fldChar w:fldCharType="end"/>
            </w:r>
          </w:hyperlink>
        </w:p>
        <w:p w14:paraId="4A9A1F18" w14:textId="3D64C2EA"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52" w:history="1">
            <w:r w:rsidR="008A4E78" w:rsidRPr="007B3D6F">
              <w:rPr>
                <w:rStyle w:val="Hyperlink"/>
                <w:noProof/>
                <w:spacing w:val="-1"/>
              </w:rPr>
              <w:t>G.</w:t>
            </w:r>
            <w:r w:rsidR="008A4E78">
              <w:rPr>
                <w:rFonts w:asciiTheme="minorHAnsi" w:eastAsiaTheme="minorEastAsia" w:hAnsiTheme="minorHAnsi" w:cstheme="minorBidi"/>
                <w:b w:val="0"/>
                <w:bCs w:val="0"/>
                <w:noProof/>
                <w:sz w:val="22"/>
                <w:szCs w:val="22"/>
                <w:lang w:val="en-AU" w:eastAsia="en-AU"/>
              </w:rPr>
              <w:tab/>
            </w:r>
            <w:r w:rsidR="008A4E78" w:rsidRPr="007B3D6F">
              <w:rPr>
                <w:rStyle w:val="Hyperlink"/>
                <w:noProof/>
              </w:rPr>
              <w:t>Implementation of the COAG Industry Skills Council reforms to training</w:t>
            </w:r>
            <w:r w:rsidR="008A4E78" w:rsidRPr="007B3D6F">
              <w:rPr>
                <w:rStyle w:val="Hyperlink"/>
                <w:noProof/>
                <w:spacing w:val="-2"/>
              </w:rPr>
              <w:t xml:space="preserve"> </w:t>
            </w:r>
            <w:r w:rsidR="008A4E78" w:rsidRPr="007B3D6F">
              <w:rPr>
                <w:rStyle w:val="Hyperlink"/>
                <w:noProof/>
              </w:rPr>
              <w:t>packages</w:t>
            </w:r>
            <w:r w:rsidR="008A4E78">
              <w:rPr>
                <w:noProof/>
                <w:webHidden/>
              </w:rPr>
              <w:tab/>
            </w:r>
            <w:r w:rsidR="008A4E78">
              <w:rPr>
                <w:noProof/>
                <w:webHidden/>
              </w:rPr>
              <w:fldChar w:fldCharType="begin"/>
            </w:r>
            <w:r w:rsidR="008A4E78">
              <w:rPr>
                <w:noProof/>
                <w:webHidden/>
              </w:rPr>
              <w:instrText xml:space="preserve"> PAGEREF _Toc23938252 \h </w:instrText>
            </w:r>
            <w:r w:rsidR="008A4E78">
              <w:rPr>
                <w:noProof/>
                <w:webHidden/>
              </w:rPr>
            </w:r>
            <w:r w:rsidR="008A4E78">
              <w:rPr>
                <w:noProof/>
                <w:webHidden/>
              </w:rPr>
              <w:fldChar w:fldCharType="separate"/>
            </w:r>
            <w:r w:rsidR="008A4E78">
              <w:rPr>
                <w:noProof/>
                <w:webHidden/>
              </w:rPr>
              <w:t>24</w:t>
            </w:r>
            <w:r w:rsidR="008A4E78">
              <w:rPr>
                <w:noProof/>
                <w:webHidden/>
              </w:rPr>
              <w:fldChar w:fldCharType="end"/>
            </w:r>
          </w:hyperlink>
        </w:p>
        <w:p w14:paraId="15A7A860" w14:textId="28545F8D"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53" w:history="1">
            <w:r w:rsidR="008A4E78" w:rsidRPr="007B3D6F">
              <w:rPr>
                <w:rStyle w:val="Hyperlink"/>
                <w:noProof/>
                <w:spacing w:val="-1"/>
              </w:rPr>
              <w:t>H.</w:t>
            </w:r>
            <w:r w:rsidR="008A4E78">
              <w:rPr>
                <w:rFonts w:asciiTheme="minorHAnsi" w:eastAsiaTheme="minorEastAsia" w:hAnsiTheme="minorHAnsi" w:cstheme="minorBidi"/>
                <w:b w:val="0"/>
                <w:bCs w:val="0"/>
                <w:noProof/>
                <w:sz w:val="22"/>
                <w:szCs w:val="22"/>
                <w:lang w:val="en-AU" w:eastAsia="en-AU"/>
              </w:rPr>
              <w:tab/>
            </w:r>
            <w:r w:rsidR="008A4E78" w:rsidRPr="007B3D6F">
              <w:rPr>
                <w:rStyle w:val="Hyperlink"/>
                <w:noProof/>
              </w:rPr>
              <w:t>Proposed training package</w:t>
            </w:r>
            <w:r w:rsidR="008A4E78" w:rsidRPr="007B3D6F">
              <w:rPr>
                <w:rStyle w:val="Hyperlink"/>
                <w:noProof/>
                <w:spacing w:val="-4"/>
              </w:rPr>
              <w:t xml:space="preserve"> </w:t>
            </w:r>
            <w:r w:rsidR="008A4E78" w:rsidRPr="007B3D6F">
              <w:rPr>
                <w:rStyle w:val="Hyperlink"/>
                <w:noProof/>
              </w:rPr>
              <w:t>components</w:t>
            </w:r>
            <w:r w:rsidR="008A4E78">
              <w:rPr>
                <w:noProof/>
                <w:webHidden/>
              </w:rPr>
              <w:tab/>
            </w:r>
            <w:r w:rsidR="008A4E78">
              <w:rPr>
                <w:noProof/>
                <w:webHidden/>
              </w:rPr>
              <w:fldChar w:fldCharType="begin"/>
            </w:r>
            <w:r w:rsidR="008A4E78">
              <w:rPr>
                <w:noProof/>
                <w:webHidden/>
              </w:rPr>
              <w:instrText xml:space="preserve"> PAGEREF _Toc23938253 \h </w:instrText>
            </w:r>
            <w:r w:rsidR="008A4E78">
              <w:rPr>
                <w:noProof/>
                <w:webHidden/>
              </w:rPr>
            </w:r>
            <w:r w:rsidR="008A4E78">
              <w:rPr>
                <w:noProof/>
                <w:webHidden/>
              </w:rPr>
              <w:fldChar w:fldCharType="separate"/>
            </w:r>
            <w:r w:rsidR="008A4E78">
              <w:rPr>
                <w:noProof/>
                <w:webHidden/>
              </w:rPr>
              <w:t>26</w:t>
            </w:r>
            <w:r w:rsidR="008A4E78">
              <w:rPr>
                <w:noProof/>
                <w:webHidden/>
              </w:rPr>
              <w:fldChar w:fldCharType="end"/>
            </w:r>
          </w:hyperlink>
        </w:p>
        <w:p w14:paraId="5BF31762" w14:textId="6669F28C"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54" w:history="1">
            <w:r w:rsidR="008A4E78" w:rsidRPr="007B3D6F">
              <w:rPr>
                <w:rStyle w:val="Hyperlink"/>
                <w:noProof/>
              </w:rPr>
              <w:t>Appendix A: Industry stakeholders</w:t>
            </w:r>
            <w:r w:rsidR="008A4E78">
              <w:rPr>
                <w:noProof/>
                <w:webHidden/>
              </w:rPr>
              <w:tab/>
            </w:r>
            <w:r w:rsidR="008A4E78">
              <w:rPr>
                <w:noProof/>
                <w:webHidden/>
              </w:rPr>
              <w:fldChar w:fldCharType="begin"/>
            </w:r>
            <w:r w:rsidR="008A4E78">
              <w:rPr>
                <w:noProof/>
                <w:webHidden/>
              </w:rPr>
              <w:instrText xml:space="preserve"> PAGEREF _Toc23938254 \h </w:instrText>
            </w:r>
            <w:r w:rsidR="008A4E78">
              <w:rPr>
                <w:noProof/>
                <w:webHidden/>
              </w:rPr>
            </w:r>
            <w:r w:rsidR="008A4E78">
              <w:rPr>
                <w:noProof/>
                <w:webHidden/>
              </w:rPr>
              <w:fldChar w:fldCharType="separate"/>
            </w:r>
            <w:r w:rsidR="008A4E78">
              <w:rPr>
                <w:noProof/>
                <w:webHidden/>
              </w:rPr>
              <w:t>27</w:t>
            </w:r>
            <w:r w:rsidR="008A4E78">
              <w:rPr>
                <w:noProof/>
                <w:webHidden/>
              </w:rPr>
              <w:fldChar w:fldCharType="end"/>
            </w:r>
          </w:hyperlink>
        </w:p>
        <w:p w14:paraId="17D4E066" w14:textId="2DF97FB4"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55" w:history="1">
            <w:r w:rsidR="008A4E78" w:rsidRPr="007B3D6F">
              <w:rPr>
                <w:rStyle w:val="Hyperlink"/>
                <w:noProof/>
              </w:rPr>
              <w:t>Appendix B: STA concerns on the Carpentry and Joinery Project</w:t>
            </w:r>
            <w:r w:rsidR="008A4E78">
              <w:rPr>
                <w:noProof/>
                <w:webHidden/>
              </w:rPr>
              <w:tab/>
            </w:r>
            <w:r w:rsidR="008A4E78">
              <w:rPr>
                <w:noProof/>
                <w:webHidden/>
              </w:rPr>
              <w:fldChar w:fldCharType="begin"/>
            </w:r>
            <w:r w:rsidR="008A4E78">
              <w:rPr>
                <w:noProof/>
                <w:webHidden/>
              </w:rPr>
              <w:instrText xml:space="preserve"> PAGEREF _Toc23938255 \h </w:instrText>
            </w:r>
            <w:r w:rsidR="008A4E78">
              <w:rPr>
                <w:noProof/>
                <w:webHidden/>
              </w:rPr>
            </w:r>
            <w:r w:rsidR="008A4E78">
              <w:rPr>
                <w:noProof/>
                <w:webHidden/>
              </w:rPr>
              <w:fldChar w:fldCharType="separate"/>
            </w:r>
            <w:r w:rsidR="008A4E78">
              <w:rPr>
                <w:noProof/>
                <w:webHidden/>
              </w:rPr>
              <w:t>38</w:t>
            </w:r>
            <w:r w:rsidR="008A4E78">
              <w:rPr>
                <w:noProof/>
                <w:webHidden/>
              </w:rPr>
              <w:fldChar w:fldCharType="end"/>
            </w:r>
          </w:hyperlink>
        </w:p>
        <w:p w14:paraId="5CB15BB4" w14:textId="7832C420"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56" w:history="1">
            <w:r w:rsidR="008A4E78" w:rsidRPr="007B3D6F">
              <w:rPr>
                <w:rStyle w:val="Hyperlink"/>
                <w:noProof/>
              </w:rPr>
              <w:t>Appendix C: Victorian Building Authority Letter of Support</w:t>
            </w:r>
            <w:r w:rsidR="008A4E78">
              <w:rPr>
                <w:noProof/>
                <w:webHidden/>
              </w:rPr>
              <w:tab/>
            </w:r>
            <w:r w:rsidR="008A4E78">
              <w:rPr>
                <w:noProof/>
                <w:webHidden/>
              </w:rPr>
              <w:fldChar w:fldCharType="begin"/>
            </w:r>
            <w:r w:rsidR="008A4E78">
              <w:rPr>
                <w:noProof/>
                <w:webHidden/>
              </w:rPr>
              <w:instrText xml:space="preserve"> PAGEREF _Toc23938256 \h </w:instrText>
            </w:r>
            <w:r w:rsidR="008A4E78">
              <w:rPr>
                <w:noProof/>
                <w:webHidden/>
              </w:rPr>
            </w:r>
            <w:r w:rsidR="008A4E78">
              <w:rPr>
                <w:noProof/>
                <w:webHidden/>
              </w:rPr>
              <w:fldChar w:fldCharType="separate"/>
            </w:r>
            <w:r w:rsidR="008A4E78">
              <w:rPr>
                <w:noProof/>
                <w:webHidden/>
              </w:rPr>
              <w:t>45</w:t>
            </w:r>
            <w:r w:rsidR="008A4E78">
              <w:rPr>
                <w:noProof/>
                <w:webHidden/>
              </w:rPr>
              <w:fldChar w:fldCharType="end"/>
            </w:r>
          </w:hyperlink>
        </w:p>
        <w:p w14:paraId="1B180081" w14:textId="4ED6598C"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57" w:history="1">
            <w:r w:rsidR="008A4E78" w:rsidRPr="007B3D6F">
              <w:rPr>
                <w:rStyle w:val="Hyperlink"/>
                <w:noProof/>
              </w:rPr>
              <w:t>Appendix D: Carpentry and Joinery New Units of Competency</w:t>
            </w:r>
            <w:r w:rsidR="008A4E78">
              <w:rPr>
                <w:noProof/>
                <w:webHidden/>
              </w:rPr>
              <w:tab/>
            </w:r>
            <w:r w:rsidR="008A4E78">
              <w:rPr>
                <w:noProof/>
                <w:webHidden/>
              </w:rPr>
              <w:fldChar w:fldCharType="begin"/>
            </w:r>
            <w:r w:rsidR="008A4E78">
              <w:rPr>
                <w:noProof/>
                <w:webHidden/>
              </w:rPr>
              <w:instrText xml:space="preserve"> PAGEREF _Toc23938257 \h </w:instrText>
            </w:r>
            <w:r w:rsidR="008A4E78">
              <w:rPr>
                <w:noProof/>
                <w:webHidden/>
              </w:rPr>
            </w:r>
            <w:r w:rsidR="008A4E78">
              <w:rPr>
                <w:noProof/>
                <w:webHidden/>
              </w:rPr>
              <w:fldChar w:fldCharType="separate"/>
            </w:r>
            <w:r w:rsidR="008A4E78">
              <w:rPr>
                <w:noProof/>
                <w:webHidden/>
              </w:rPr>
              <w:t>46</w:t>
            </w:r>
            <w:r w:rsidR="008A4E78">
              <w:rPr>
                <w:noProof/>
                <w:webHidden/>
              </w:rPr>
              <w:fldChar w:fldCharType="end"/>
            </w:r>
          </w:hyperlink>
        </w:p>
        <w:p w14:paraId="02D80EDD" w14:textId="56FD8738" w:rsidR="008A4E78" w:rsidRDefault="00E06CAA">
          <w:pPr>
            <w:pStyle w:val="TOC1"/>
            <w:tabs>
              <w:tab w:val="right" w:leader="dot" w:pos="9050"/>
            </w:tabs>
            <w:rPr>
              <w:rFonts w:asciiTheme="minorHAnsi" w:eastAsiaTheme="minorEastAsia" w:hAnsiTheme="minorHAnsi" w:cstheme="minorBidi"/>
              <w:b w:val="0"/>
              <w:bCs w:val="0"/>
              <w:noProof/>
              <w:sz w:val="22"/>
              <w:szCs w:val="22"/>
              <w:lang w:val="en-AU" w:eastAsia="en-AU"/>
            </w:rPr>
          </w:pPr>
          <w:hyperlink w:anchor="_Toc23938258" w:history="1">
            <w:r w:rsidR="008A4E78" w:rsidRPr="007B3D6F">
              <w:rPr>
                <w:rStyle w:val="Hyperlink"/>
                <w:noProof/>
              </w:rPr>
              <w:t>Appendix E: Carpentry and Joinery Revised Units of Competency</w:t>
            </w:r>
            <w:r w:rsidR="008A4E78">
              <w:rPr>
                <w:noProof/>
                <w:webHidden/>
              </w:rPr>
              <w:tab/>
            </w:r>
            <w:r w:rsidR="008A4E78">
              <w:rPr>
                <w:noProof/>
                <w:webHidden/>
              </w:rPr>
              <w:fldChar w:fldCharType="begin"/>
            </w:r>
            <w:r w:rsidR="008A4E78">
              <w:rPr>
                <w:noProof/>
                <w:webHidden/>
              </w:rPr>
              <w:instrText xml:space="preserve"> PAGEREF _Toc23938258 \h </w:instrText>
            </w:r>
            <w:r w:rsidR="008A4E78">
              <w:rPr>
                <w:noProof/>
                <w:webHidden/>
              </w:rPr>
            </w:r>
            <w:r w:rsidR="008A4E78">
              <w:rPr>
                <w:noProof/>
                <w:webHidden/>
              </w:rPr>
              <w:fldChar w:fldCharType="separate"/>
            </w:r>
            <w:r w:rsidR="008A4E78">
              <w:rPr>
                <w:noProof/>
                <w:webHidden/>
              </w:rPr>
              <w:t>47</w:t>
            </w:r>
            <w:r w:rsidR="008A4E78">
              <w:rPr>
                <w:noProof/>
                <w:webHidden/>
              </w:rPr>
              <w:fldChar w:fldCharType="end"/>
            </w:r>
          </w:hyperlink>
        </w:p>
        <w:p w14:paraId="3C12F52C" w14:textId="13E6A19A" w:rsidR="008A2EDE" w:rsidRDefault="00A50BD3">
          <w:r>
            <w:fldChar w:fldCharType="end"/>
          </w:r>
        </w:p>
      </w:sdtContent>
    </w:sdt>
    <w:p w14:paraId="3E546CC1" w14:textId="77777777" w:rsidR="008A2EDE" w:rsidRDefault="008A2EDE">
      <w:pPr>
        <w:sectPr w:rsidR="008A2EDE">
          <w:pgSz w:w="11900" w:h="16840"/>
          <w:pgMar w:top="1600" w:right="1260" w:bottom="880" w:left="1580" w:header="0" w:footer="686" w:gutter="0"/>
          <w:cols w:space="720"/>
        </w:sectPr>
      </w:pPr>
    </w:p>
    <w:p w14:paraId="47DD04CD" w14:textId="77777777" w:rsidR="008A2EDE" w:rsidRDefault="00A50BD3" w:rsidP="005056E0">
      <w:pPr>
        <w:pStyle w:val="Heading1"/>
        <w:numPr>
          <w:ilvl w:val="0"/>
          <w:numId w:val="3"/>
        </w:numPr>
        <w:tabs>
          <w:tab w:val="left" w:pos="480"/>
        </w:tabs>
      </w:pPr>
      <w:bookmarkStart w:id="1" w:name="_Toc23938246"/>
      <w:r>
        <w:rPr>
          <w:color w:val="A2A9AF"/>
        </w:rPr>
        <w:lastRenderedPageBreak/>
        <w:t>Administrative details of the Case for</w:t>
      </w:r>
      <w:r>
        <w:rPr>
          <w:color w:val="A2A9AF"/>
          <w:spacing w:val="-9"/>
        </w:rPr>
        <w:t xml:space="preserve"> </w:t>
      </w:r>
      <w:r>
        <w:rPr>
          <w:color w:val="A2A9AF"/>
        </w:rPr>
        <w:t>Endorsement</w:t>
      </w:r>
      <w:bookmarkEnd w:id="1"/>
    </w:p>
    <w:p w14:paraId="050DFA67" w14:textId="77777777" w:rsidR="008A2EDE" w:rsidRDefault="008A2EDE">
      <w:pPr>
        <w:pStyle w:val="BodyText"/>
        <w:spacing w:before="4"/>
        <w:rPr>
          <w:sz w:val="38"/>
        </w:rPr>
      </w:pPr>
    </w:p>
    <w:p w14:paraId="044BF14D" w14:textId="77777777" w:rsidR="008A2EDE" w:rsidRDefault="00A50BD3">
      <w:pPr>
        <w:pStyle w:val="Heading7"/>
      </w:pPr>
      <w:r>
        <w:t>Name of allocated IRC</w:t>
      </w:r>
    </w:p>
    <w:p w14:paraId="7074CD11" w14:textId="77777777" w:rsidR="008A2EDE" w:rsidRDefault="008A2EDE">
      <w:pPr>
        <w:pStyle w:val="BodyText"/>
        <w:rPr>
          <w:b/>
        </w:rPr>
      </w:pPr>
    </w:p>
    <w:p w14:paraId="4BEC0AEC" w14:textId="77777777" w:rsidR="008A2EDE" w:rsidRDefault="00A50BD3">
      <w:pPr>
        <w:pStyle w:val="BodyText"/>
        <w:spacing w:before="1"/>
        <w:ind w:left="119"/>
      </w:pPr>
      <w:r>
        <w:t>Construction, Plumbing and Services IRC</w:t>
      </w:r>
    </w:p>
    <w:p w14:paraId="396BE26A" w14:textId="77777777" w:rsidR="008A2EDE" w:rsidRDefault="008A2EDE">
      <w:pPr>
        <w:pStyle w:val="BodyText"/>
      </w:pPr>
    </w:p>
    <w:p w14:paraId="7AD9DECF" w14:textId="77777777" w:rsidR="008A2EDE" w:rsidRDefault="00A50BD3">
      <w:pPr>
        <w:pStyle w:val="Heading7"/>
      </w:pPr>
      <w:r>
        <w:t>Name of SSO</w:t>
      </w:r>
    </w:p>
    <w:p w14:paraId="1345B765" w14:textId="77777777" w:rsidR="008A2EDE" w:rsidRDefault="008A2EDE">
      <w:pPr>
        <w:pStyle w:val="BodyText"/>
        <w:rPr>
          <w:b/>
        </w:rPr>
      </w:pPr>
    </w:p>
    <w:p w14:paraId="74994B78" w14:textId="77777777" w:rsidR="008A2EDE" w:rsidRDefault="00A50BD3">
      <w:pPr>
        <w:pStyle w:val="BodyText"/>
        <w:spacing w:before="1"/>
        <w:ind w:left="119"/>
      </w:pPr>
      <w:r>
        <w:t>Artibus Innovation</w:t>
      </w:r>
    </w:p>
    <w:p w14:paraId="37F13A1F" w14:textId="77777777" w:rsidR="008A2EDE" w:rsidRDefault="008A2EDE">
      <w:pPr>
        <w:pStyle w:val="BodyText"/>
      </w:pPr>
    </w:p>
    <w:p w14:paraId="3C4F9718" w14:textId="77777777" w:rsidR="008A2EDE" w:rsidRDefault="00A50BD3">
      <w:pPr>
        <w:pStyle w:val="Heading7"/>
      </w:pPr>
      <w:r>
        <w:t>Training Package Components submitted for approval</w:t>
      </w:r>
    </w:p>
    <w:p w14:paraId="546459C5" w14:textId="77777777" w:rsidR="008A2EDE" w:rsidRDefault="008A2EDE">
      <w:pPr>
        <w:pStyle w:val="BodyText"/>
        <w:rPr>
          <w:b/>
        </w:rPr>
      </w:pPr>
    </w:p>
    <w:p w14:paraId="28D4C38B" w14:textId="1A626994" w:rsidR="008A2EDE" w:rsidRDefault="00A50BD3">
      <w:pPr>
        <w:pStyle w:val="BodyText"/>
        <w:spacing w:before="1"/>
        <w:ind w:left="119"/>
      </w:pPr>
      <w:r>
        <w:t>This submission puts forward the Case for Endorsement for two qualifications, 4</w:t>
      </w:r>
      <w:r w:rsidR="004C15A8">
        <w:t>2</w:t>
      </w:r>
      <w:r>
        <w:t xml:space="preserve"> unit of competency.</w:t>
      </w:r>
    </w:p>
    <w:p w14:paraId="055E7155" w14:textId="77777777" w:rsidR="008A2EDE" w:rsidRDefault="008A2EDE">
      <w:pPr>
        <w:pStyle w:val="BodyText"/>
      </w:pPr>
    </w:p>
    <w:p w14:paraId="132E8872" w14:textId="77777777" w:rsidR="008A2EDE" w:rsidRDefault="00A50BD3">
      <w:pPr>
        <w:pStyle w:val="Heading7"/>
      </w:pPr>
      <w:r>
        <w:t>Qualifications</w:t>
      </w:r>
    </w:p>
    <w:p w14:paraId="7B354A96" w14:textId="77777777" w:rsidR="008A2EDE" w:rsidRDefault="008A2EDE">
      <w:pPr>
        <w:pStyle w:val="BodyText"/>
        <w:spacing w:before="11"/>
        <w:rPr>
          <w:b/>
          <w:sz w:val="21"/>
        </w:rPr>
      </w:pPr>
    </w:p>
    <w:tbl>
      <w:tblPr>
        <w:tblW w:w="0" w:type="auto"/>
        <w:tblInd w:w="1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555"/>
        <w:gridCol w:w="6931"/>
      </w:tblGrid>
      <w:tr w:rsidR="008A2EDE" w14:paraId="3397A579" w14:textId="77777777">
        <w:trPr>
          <w:trHeight w:val="268"/>
        </w:trPr>
        <w:tc>
          <w:tcPr>
            <w:tcW w:w="1555" w:type="dxa"/>
          </w:tcPr>
          <w:p w14:paraId="467B6024" w14:textId="77777777" w:rsidR="008A2EDE" w:rsidRDefault="00A50BD3">
            <w:pPr>
              <w:pStyle w:val="TableParagraph"/>
              <w:spacing w:before="1" w:line="247" w:lineRule="exact"/>
              <w:ind w:left="110"/>
              <w:rPr>
                <w:b/>
              </w:rPr>
            </w:pPr>
            <w:r>
              <w:rPr>
                <w:b/>
              </w:rPr>
              <w:t>Code</w:t>
            </w:r>
          </w:p>
        </w:tc>
        <w:tc>
          <w:tcPr>
            <w:tcW w:w="6931" w:type="dxa"/>
          </w:tcPr>
          <w:p w14:paraId="06242477" w14:textId="77777777" w:rsidR="008A2EDE" w:rsidRDefault="00A50BD3">
            <w:pPr>
              <w:pStyle w:val="TableParagraph"/>
              <w:spacing w:before="1" w:line="247" w:lineRule="exact"/>
              <w:ind w:left="110"/>
              <w:rPr>
                <w:b/>
              </w:rPr>
            </w:pPr>
            <w:r>
              <w:rPr>
                <w:b/>
              </w:rPr>
              <w:t>Title</w:t>
            </w:r>
          </w:p>
        </w:tc>
      </w:tr>
      <w:tr w:rsidR="008A2EDE" w14:paraId="71A05ADB" w14:textId="77777777">
        <w:trPr>
          <w:trHeight w:val="268"/>
        </w:trPr>
        <w:tc>
          <w:tcPr>
            <w:tcW w:w="1555" w:type="dxa"/>
          </w:tcPr>
          <w:p w14:paraId="5BB3EE4B" w14:textId="4A871F29" w:rsidR="008A2EDE" w:rsidRDefault="00A50BD3">
            <w:pPr>
              <w:pStyle w:val="TableParagraph"/>
              <w:spacing w:before="1" w:line="247" w:lineRule="exact"/>
              <w:ind w:left="110"/>
            </w:pPr>
            <w:r>
              <w:t>CPC302</w:t>
            </w:r>
            <w:r w:rsidR="004C15A8">
              <w:t>20</w:t>
            </w:r>
          </w:p>
        </w:tc>
        <w:tc>
          <w:tcPr>
            <w:tcW w:w="6931" w:type="dxa"/>
          </w:tcPr>
          <w:p w14:paraId="20C99D32" w14:textId="77777777" w:rsidR="008A2EDE" w:rsidRDefault="00A50BD3">
            <w:pPr>
              <w:pStyle w:val="TableParagraph"/>
              <w:spacing w:before="1" w:line="247" w:lineRule="exact"/>
              <w:ind w:left="110"/>
            </w:pPr>
            <w:r>
              <w:t>Certificate III in Carpentry</w:t>
            </w:r>
          </w:p>
        </w:tc>
      </w:tr>
      <w:tr w:rsidR="008A2EDE" w14:paraId="4B7937FE" w14:textId="77777777">
        <w:trPr>
          <w:trHeight w:val="268"/>
        </w:trPr>
        <w:tc>
          <w:tcPr>
            <w:tcW w:w="1555" w:type="dxa"/>
          </w:tcPr>
          <w:p w14:paraId="2FCA7FA4" w14:textId="674176CB" w:rsidR="008A2EDE" w:rsidRDefault="00A50BD3">
            <w:pPr>
              <w:pStyle w:val="TableParagraph"/>
              <w:spacing w:before="1" w:line="247" w:lineRule="exact"/>
              <w:ind w:left="110"/>
            </w:pPr>
            <w:r>
              <w:t>CPC319</w:t>
            </w:r>
            <w:r w:rsidR="004C15A8">
              <w:t>20</w:t>
            </w:r>
          </w:p>
        </w:tc>
        <w:tc>
          <w:tcPr>
            <w:tcW w:w="6931" w:type="dxa"/>
          </w:tcPr>
          <w:p w14:paraId="068F88A1" w14:textId="77777777" w:rsidR="008A2EDE" w:rsidRDefault="00A50BD3">
            <w:pPr>
              <w:pStyle w:val="TableParagraph"/>
              <w:spacing w:before="1" w:line="247" w:lineRule="exact"/>
              <w:ind w:left="110"/>
            </w:pPr>
            <w:r>
              <w:t>Certificate III in Joinery</w:t>
            </w:r>
          </w:p>
        </w:tc>
      </w:tr>
    </w:tbl>
    <w:p w14:paraId="0465EB43" w14:textId="77777777" w:rsidR="008A2EDE" w:rsidRDefault="008A2EDE">
      <w:pPr>
        <w:pStyle w:val="BodyText"/>
        <w:spacing w:before="1"/>
        <w:rPr>
          <w:b/>
        </w:rPr>
      </w:pPr>
    </w:p>
    <w:p w14:paraId="54FF109A" w14:textId="77777777" w:rsidR="008A2EDE" w:rsidRDefault="00A50BD3">
      <w:pPr>
        <w:pStyle w:val="Heading7"/>
        <w:spacing w:before="1"/>
      </w:pPr>
      <w:r>
        <w:t>Units of competency</w:t>
      </w:r>
    </w:p>
    <w:p w14:paraId="582CC4AD" w14:textId="77777777" w:rsidR="008A2EDE" w:rsidRDefault="008A2EDE">
      <w:pPr>
        <w:pStyle w:val="BodyText"/>
        <w:spacing w:before="10"/>
        <w:rPr>
          <w:b/>
          <w:sz w:val="21"/>
        </w:rPr>
      </w:pPr>
    </w:p>
    <w:p w14:paraId="48820DCB" w14:textId="5E92D41E" w:rsidR="008A2EDE" w:rsidRDefault="00A50BD3" w:rsidP="005056E0">
      <w:pPr>
        <w:pStyle w:val="ListParagraph"/>
        <w:numPr>
          <w:ilvl w:val="1"/>
          <w:numId w:val="3"/>
        </w:numPr>
        <w:tabs>
          <w:tab w:val="left" w:pos="839"/>
          <w:tab w:val="left" w:pos="840"/>
        </w:tabs>
        <w:ind w:left="839"/>
        <w:rPr>
          <w:rFonts w:ascii="Symbol" w:hAnsi="Symbol"/>
        </w:rPr>
      </w:pPr>
      <w:r>
        <w:t>4</w:t>
      </w:r>
      <w:r w:rsidR="00B51663">
        <w:t>2</w:t>
      </w:r>
      <w:r>
        <w:t xml:space="preserve"> units of competency (including 5 new units of</w:t>
      </w:r>
      <w:r>
        <w:rPr>
          <w:spacing w:val="-13"/>
        </w:rPr>
        <w:t xml:space="preserve"> </w:t>
      </w:r>
      <w:r>
        <w:t>competency)</w:t>
      </w:r>
    </w:p>
    <w:p w14:paraId="405802A2" w14:textId="77777777" w:rsidR="008A2EDE" w:rsidRDefault="008A2EDE">
      <w:pPr>
        <w:pStyle w:val="BodyText"/>
        <w:spacing w:before="1"/>
      </w:pPr>
    </w:p>
    <w:p w14:paraId="0B69CB2F" w14:textId="5530A528" w:rsidR="008A2EDE" w:rsidRDefault="00A50BD3">
      <w:pPr>
        <w:ind w:left="119" w:right="355"/>
      </w:pPr>
      <w:r>
        <w:t xml:space="preserve">Further mapping information on the units of competency can be located in </w:t>
      </w:r>
      <w:r>
        <w:rPr>
          <w:b/>
        </w:rPr>
        <w:t>Section H: Training package components</w:t>
      </w:r>
      <w:r>
        <w:t>.</w:t>
      </w:r>
    </w:p>
    <w:p w14:paraId="74A484BD" w14:textId="77777777" w:rsidR="008A2EDE" w:rsidRDefault="008A2EDE">
      <w:pPr>
        <w:pStyle w:val="BodyText"/>
      </w:pPr>
    </w:p>
    <w:p w14:paraId="66854F7A" w14:textId="77777777" w:rsidR="008A2EDE" w:rsidRDefault="00A50BD3">
      <w:pPr>
        <w:pStyle w:val="Heading7"/>
      </w:pPr>
      <w:r>
        <w:t>Activity order details</w:t>
      </w:r>
    </w:p>
    <w:p w14:paraId="2346EF3D" w14:textId="77777777" w:rsidR="008A2EDE" w:rsidRDefault="008A2EDE">
      <w:pPr>
        <w:pStyle w:val="BodyText"/>
        <w:spacing w:before="1"/>
        <w:rPr>
          <w:b/>
        </w:rPr>
      </w:pPr>
    </w:p>
    <w:p w14:paraId="7354AA8F" w14:textId="77777777" w:rsidR="008A2EDE" w:rsidRDefault="00A50BD3">
      <w:pPr>
        <w:tabs>
          <w:tab w:val="left" w:pos="2999"/>
        </w:tabs>
        <w:ind w:left="839"/>
      </w:pPr>
      <w:r>
        <w:rPr>
          <w:b/>
        </w:rPr>
        <w:t>Reference</w:t>
      </w:r>
      <w:r>
        <w:rPr>
          <w:b/>
          <w:spacing w:val="-4"/>
        </w:rPr>
        <w:t xml:space="preserve"> </w:t>
      </w:r>
      <w:r>
        <w:rPr>
          <w:b/>
        </w:rPr>
        <w:t>number</w:t>
      </w:r>
      <w:r>
        <w:t>:</w:t>
      </w:r>
      <w:r>
        <w:tab/>
        <w:t>AA/2015-16-001</w:t>
      </w:r>
    </w:p>
    <w:p w14:paraId="12202105" w14:textId="77777777" w:rsidR="008A2EDE" w:rsidRDefault="00A50BD3">
      <w:pPr>
        <w:tabs>
          <w:tab w:val="left" w:pos="2999"/>
        </w:tabs>
        <w:ind w:left="839"/>
      </w:pPr>
      <w:r>
        <w:rPr>
          <w:b/>
        </w:rPr>
        <w:t>Date</w:t>
      </w:r>
      <w:r>
        <w:rPr>
          <w:b/>
          <w:spacing w:val="-3"/>
        </w:rPr>
        <w:t xml:space="preserve"> </w:t>
      </w:r>
      <w:r>
        <w:rPr>
          <w:b/>
        </w:rPr>
        <w:t>executed</w:t>
      </w:r>
      <w:r>
        <w:t>:</w:t>
      </w:r>
      <w:r>
        <w:tab/>
        <w:t>June</w:t>
      </w:r>
      <w:r>
        <w:rPr>
          <w:spacing w:val="-1"/>
        </w:rPr>
        <w:t xml:space="preserve"> </w:t>
      </w:r>
      <w:r>
        <w:t>2016</w:t>
      </w:r>
    </w:p>
    <w:p w14:paraId="759F7409" w14:textId="77777777" w:rsidR="008A2EDE" w:rsidRDefault="008A2EDE">
      <w:pPr>
        <w:pStyle w:val="BodyText"/>
        <w:spacing w:before="1"/>
      </w:pPr>
    </w:p>
    <w:p w14:paraId="01337875" w14:textId="77777777" w:rsidR="008A2EDE" w:rsidRDefault="00A50BD3">
      <w:pPr>
        <w:pStyle w:val="Heading7"/>
      </w:pPr>
      <w:r>
        <w:t>AISC requirements</w:t>
      </w:r>
    </w:p>
    <w:p w14:paraId="2EA0C54C" w14:textId="77777777" w:rsidR="008A2EDE" w:rsidRDefault="008A2EDE">
      <w:pPr>
        <w:pStyle w:val="BodyText"/>
        <w:spacing w:before="7"/>
        <w:rPr>
          <w:b/>
          <w:sz w:val="21"/>
        </w:rPr>
      </w:pPr>
    </w:p>
    <w:p w14:paraId="68BDAF34" w14:textId="77777777" w:rsidR="008A2EDE" w:rsidRDefault="00A50BD3">
      <w:pPr>
        <w:pStyle w:val="BodyText"/>
        <w:spacing w:before="1"/>
        <w:ind w:left="119" w:right="439"/>
        <w:jc w:val="both"/>
      </w:pPr>
      <w:r>
        <w:t>This project was commissioned by the Australian Industry and Skills Committee (AISC) and developed with the support of the Construction, Plumbing and Services Industry Reference Committee (IRC).</w:t>
      </w:r>
    </w:p>
    <w:p w14:paraId="4FF744E1" w14:textId="77777777" w:rsidR="008A2EDE" w:rsidRDefault="008A2EDE">
      <w:pPr>
        <w:pStyle w:val="BodyText"/>
      </w:pPr>
    </w:p>
    <w:p w14:paraId="63F3E194" w14:textId="77777777" w:rsidR="004C15A8" w:rsidRDefault="004C15A8" w:rsidP="002E7999">
      <w:pPr>
        <w:pStyle w:val="BodyText"/>
        <w:spacing w:before="1"/>
        <w:ind w:left="119" w:right="439"/>
        <w:jc w:val="both"/>
      </w:pPr>
      <w:r>
        <w:t xml:space="preserve">The objectives of this project were to update the qualifications to the </w:t>
      </w:r>
      <w:r w:rsidRPr="002E7999">
        <w:t>2012 Standards for Training Packages</w:t>
      </w:r>
      <w:r>
        <w:t xml:space="preserve"> and to:</w:t>
      </w:r>
    </w:p>
    <w:p w14:paraId="1E21D684" w14:textId="77777777" w:rsidR="004C15A8" w:rsidRDefault="004C15A8" w:rsidP="004C15A8"/>
    <w:p w14:paraId="132F4113" w14:textId="77777777" w:rsidR="004C15A8" w:rsidRDefault="004C15A8" w:rsidP="005056E0">
      <w:pPr>
        <w:pStyle w:val="ListParagraph"/>
        <w:keepNext/>
        <w:keepLines/>
        <w:widowControl/>
        <w:numPr>
          <w:ilvl w:val="0"/>
          <w:numId w:val="4"/>
        </w:numPr>
        <w:autoSpaceDE/>
        <w:autoSpaceDN/>
        <w:contextualSpacing/>
      </w:pPr>
      <w:r w:rsidRPr="00CF3550">
        <w:t xml:space="preserve">redesign the Carpentry and Joinery qualifications to minimise potential complications with competency-based wage progression </w:t>
      </w:r>
      <w:r>
        <w:t xml:space="preserve">to </w:t>
      </w:r>
      <w:r w:rsidRPr="00CF3550">
        <w:t>support employment</w:t>
      </w:r>
      <w:r w:rsidRPr="00CF3550">
        <w:rPr>
          <w:spacing w:val="-10"/>
        </w:rPr>
        <w:t xml:space="preserve"> </w:t>
      </w:r>
      <w:r w:rsidRPr="00CF3550">
        <w:t>outcome</w:t>
      </w:r>
      <w:r>
        <w:t>s</w:t>
      </w:r>
    </w:p>
    <w:p w14:paraId="16E03572" w14:textId="77777777" w:rsidR="004C15A8" w:rsidRPr="00CF3550" w:rsidRDefault="004C15A8" w:rsidP="005056E0">
      <w:pPr>
        <w:pStyle w:val="ListParagraph"/>
        <w:keepNext/>
        <w:keepLines/>
        <w:widowControl/>
        <w:numPr>
          <w:ilvl w:val="0"/>
          <w:numId w:val="4"/>
        </w:numPr>
        <w:autoSpaceDE/>
        <w:autoSpaceDN/>
        <w:contextualSpacing/>
      </w:pPr>
      <w:r>
        <w:t>update the qualifications and units of competency to ensure they meet industry’s skilling needs</w:t>
      </w:r>
    </w:p>
    <w:p w14:paraId="7E58B7B0" w14:textId="0387F10B" w:rsidR="008A2EDE" w:rsidRPr="004C15A8" w:rsidRDefault="004C15A8" w:rsidP="005056E0">
      <w:pPr>
        <w:pStyle w:val="ListParagraph"/>
        <w:keepNext/>
        <w:keepLines/>
        <w:widowControl/>
        <w:numPr>
          <w:ilvl w:val="0"/>
          <w:numId w:val="4"/>
        </w:numPr>
        <w:autoSpaceDE/>
        <w:autoSpaceDN/>
        <w:contextualSpacing/>
        <w:sectPr w:rsidR="008A2EDE" w:rsidRPr="004C15A8">
          <w:headerReference w:type="even" r:id="rId18"/>
          <w:headerReference w:type="default" r:id="rId19"/>
          <w:footerReference w:type="default" r:id="rId20"/>
          <w:headerReference w:type="first" r:id="rId21"/>
          <w:pgSz w:w="11900" w:h="16840"/>
          <w:pgMar w:top="1600" w:right="1260" w:bottom="820" w:left="1580" w:header="0" w:footer="638" w:gutter="0"/>
          <w:pgNumType w:start="4"/>
          <w:cols w:space="720"/>
        </w:sectPr>
      </w:pPr>
      <w:r w:rsidRPr="00CF3550">
        <w:t>strengthen the occupational pathways between the ‘Construction Pathways’</w:t>
      </w:r>
      <w:r>
        <w:t xml:space="preserve"> </w:t>
      </w:r>
      <w:r w:rsidRPr="00CF3550">
        <w:t>and the trade- based</w:t>
      </w:r>
      <w:r w:rsidRPr="00CF3550">
        <w:rPr>
          <w:spacing w:val="-2"/>
        </w:rPr>
        <w:t xml:space="preserve"> </w:t>
      </w:r>
      <w:r w:rsidRPr="00CF3550">
        <w:t>qualifications</w:t>
      </w:r>
      <w:r>
        <w:t>.</w:t>
      </w:r>
    </w:p>
    <w:p w14:paraId="2C8BE46F" w14:textId="77777777" w:rsidR="008A2EDE" w:rsidRDefault="00A50BD3">
      <w:pPr>
        <w:pStyle w:val="Heading7"/>
        <w:spacing w:before="81"/>
      </w:pPr>
      <w:r>
        <w:lastRenderedPageBreak/>
        <w:t>Summary of key changes</w:t>
      </w:r>
    </w:p>
    <w:p w14:paraId="0DC735CB" w14:textId="77777777" w:rsidR="008A2EDE" w:rsidRDefault="008A2EDE">
      <w:pPr>
        <w:pStyle w:val="BodyText"/>
        <w:spacing w:before="11"/>
        <w:rPr>
          <w:b/>
          <w:sz w:val="21"/>
        </w:rPr>
      </w:pPr>
    </w:p>
    <w:p w14:paraId="06D9C384" w14:textId="77777777" w:rsidR="008A2EDE" w:rsidRDefault="008A2EDE">
      <w:pPr>
        <w:spacing w:line="270" w:lineRule="atLeast"/>
      </w:pPr>
    </w:p>
    <w:tbl>
      <w:tblPr>
        <w:tblStyle w:val="TableGridLight"/>
        <w:tblW w:w="0" w:type="auto"/>
        <w:tblLook w:val="04A0" w:firstRow="1" w:lastRow="0" w:firstColumn="1" w:lastColumn="0" w:noHBand="0" w:noVBand="1"/>
      </w:tblPr>
      <w:tblGrid>
        <w:gridCol w:w="1413"/>
        <w:gridCol w:w="7597"/>
      </w:tblGrid>
      <w:tr w:rsidR="004C15A8" w:rsidRPr="00910701" w14:paraId="0A16891C" w14:textId="77777777" w:rsidTr="002E7999">
        <w:tc>
          <w:tcPr>
            <w:tcW w:w="1413" w:type="dxa"/>
          </w:tcPr>
          <w:p w14:paraId="41423B2F" w14:textId="77777777" w:rsidR="004C15A8" w:rsidRPr="00910701" w:rsidRDefault="004C15A8" w:rsidP="002E7999">
            <w:pPr>
              <w:rPr>
                <w:b/>
                <w:bCs/>
                <w:color w:val="000000" w:themeColor="text1"/>
              </w:rPr>
            </w:pPr>
            <w:r w:rsidRPr="00910701">
              <w:rPr>
                <w:b/>
                <w:bCs/>
                <w:color w:val="000000" w:themeColor="text1"/>
              </w:rPr>
              <w:t>Key Change</w:t>
            </w:r>
          </w:p>
        </w:tc>
        <w:tc>
          <w:tcPr>
            <w:tcW w:w="7597" w:type="dxa"/>
          </w:tcPr>
          <w:p w14:paraId="24E541B5" w14:textId="77777777" w:rsidR="004C15A8" w:rsidRPr="00910701" w:rsidRDefault="004C15A8" w:rsidP="002E7999">
            <w:pPr>
              <w:rPr>
                <w:b/>
                <w:bCs/>
                <w:color w:val="000000" w:themeColor="text1"/>
              </w:rPr>
            </w:pPr>
            <w:r w:rsidRPr="00910701">
              <w:rPr>
                <w:b/>
                <w:bCs/>
                <w:color w:val="000000" w:themeColor="text1"/>
              </w:rPr>
              <w:t xml:space="preserve">Description </w:t>
            </w:r>
          </w:p>
        </w:tc>
      </w:tr>
      <w:tr w:rsidR="004C15A8" w:rsidRPr="00910701" w14:paraId="1BE48813" w14:textId="77777777" w:rsidTr="002E7999">
        <w:tc>
          <w:tcPr>
            <w:tcW w:w="1413" w:type="dxa"/>
            <w:vAlign w:val="center"/>
          </w:tcPr>
          <w:p w14:paraId="1D96AE2C" w14:textId="77777777" w:rsidR="004C15A8" w:rsidRPr="002E7999" w:rsidRDefault="004C15A8" w:rsidP="002E7999">
            <w:pPr>
              <w:spacing w:line="276" w:lineRule="auto"/>
              <w:jc w:val="center"/>
              <w:rPr>
                <w:sz w:val="22"/>
                <w:szCs w:val="22"/>
              </w:rPr>
            </w:pPr>
            <w:r w:rsidRPr="002E7999">
              <w:rPr>
                <w:sz w:val="22"/>
                <w:szCs w:val="22"/>
              </w:rPr>
              <w:t>KC1</w:t>
            </w:r>
          </w:p>
        </w:tc>
        <w:tc>
          <w:tcPr>
            <w:tcW w:w="7597" w:type="dxa"/>
          </w:tcPr>
          <w:p w14:paraId="38A48DE6" w14:textId="77777777" w:rsidR="004C15A8" w:rsidRPr="002E7999" w:rsidRDefault="004C15A8" w:rsidP="002E7999">
            <w:pPr>
              <w:spacing w:line="276" w:lineRule="auto"/>
              <w:rPr>
                <w:color w:val="000000" w:themeColor="text1"/>
                <w:sz w:val="22"/>
                <w:szCs w:val="22"/>
              </w:rPr>
            </w:pPr>
            <w:r w:rsidRPr="002E7999">
              <w:rPr>
                <w:sz w:val="22"/>
                <w:szCs w:val="22"/>
              </w:rPr>
              <w:t xml:space="preserve">CPC30219 Certificate III in Carpentry </w:t>
            </w:r>
            <w:r w:rsidRPr="002E7999">
              <w:rPr>
                <w:color w:val="000000" w:themeColor="text1"/>
                <w:sz w:val="22"/>
                <w:szCs w:val="22"/>
              </w:rPr>
              <w:t xml:space="preserve">has been developed to support residential and commercial workplaces. </w:t>
            </w:r>
          </w:p>
        </w:tc>
      </w:tr>
      <w:tr w:rsidR="004C15A8" w:rsidRPr="00910701" w14:paraId="54C42149" w14:textId="77777777" w:rsidTr="002E7999">
        <w:tc>
          <w:tcPr>
            <w:tcW w:w="1413" w:type="dxa"/>
            <w:vAlign w:val="center"/>
          </w:tcPr>
          <w:p w14:paraId="2944FA60" w14:textId="77777777" w:rsidR="004C15A8" w:rsidRPr="002E7999" w:rsidRDefault="004C15A8" w:rsidP="002E7999">
            <w:pPr>
              <w:spacing w:line="276" w:lineRule="auto"/>
              <w:jc w:val="center"/>
              <w:rPr>
                <w:sz w:val="22"/>
                <w:szCs w:val="22"/>
              </w:rPr>
            </w:pPr>
            <w:r w:rsidRPr="002E7999">
              <w:rPr>
                <w:sz w:val="22"/>
                <w:szCs w:val="22"/>
              </w:rPr>
              <w:t>KC 2</w:t>
            </w:r>
          </w:p>
        </w:tc>
        <w:tc>
          <w:tcPr>
            <w:tcW w:w="7597" w:type="dxa"/>
          </w:tcPr>
          <w:p w14:paraId="5645F490" w14:textId="77777777" w:rsidR="004C15A8" w:rsidRPr="002E7999" w:rsidRDefault="004C15A8" w:rsidP="002E7999">
            <w:pPr>
              <w:spacing w:line="276" w:lineRule="auto"/>
              <w:rPr>
                <w:b/>
                <w:bCs/>
                <w:sz w:val="22"/>
                <w:szCs w:val="22"/>
              </w:rPr>
            </w:pPr>
            <w:r w:rsidRPr="002E7999">
              <w:rPr>
                <w:sz w:val="22"/>
                <w:szCs w:val="22"/>
              </w:rPr>
              <w:t>CPC30211 Certificate III in Carpentry, CPC32011 Certificate III in Carpentry and Joinery and CPC31511 Certificate III in Formwork/Falsework have all been superseded and are equivalent to CPC30219 Certificate III in Carpentry, as there was significant overlap of the core units in each qualification.</w:t>
            </w:r>
          </w:p>
        </w:tc>
      </w:tr>
      <w:tr w:rsidR="004C15A8" w:rsidRPr="00910701" w14:paraId="108C5754" w14:textId="77777777" w:rsidTr="002E7999">
        <w:tc>
          <w:tcPr>
            <w:tcW w:w="1413" w:type="dxa"/>
            <w:vAlign w:val="center"/>
          </w:tcPr>
          <w:p w14:paraId="033DD9B8" w14:textId="77777777" w:rsidR="004C15A8" w:rsidRPr="002E7999" w:rsidRDefault="004C15A8" w:rsidP="002E7999">
            <w:pPr>
              <w:spacing w:line="276" w:lineRule="auto"/>
              <w:jc w:val="center"/>
              <w:rPr>
                <w:sz w:val="22"/>
                <w:szCs w:val="22"/>
              </w:rPr>
            </w:pPr>
            <w:r w:rsidRPr="002E7999">
              <w:rPr>
                <w:sz w:val="22"/>
                <w:szCs w:val="22"/>
              </w:rPr>
              <w:t>KC 3</w:t>
            </w:r>
          </w:p>
        </w:tc>
        <w:tc>
          <w:tcPr>
            <w:tcW w:w="7597" w:type="dxa"/>
          </w:tcPr>
          <w:p w14:paraId="76D62668" w14:textId="77777777" w:rsidR="004C15A8" w:rsidRPr="002E7999" w:rsidRDefault="004C15A8" w:rsidP="002E7999">
            <w:pPr>
              <w:spacing w:line="276" w:lineRule="auto"/>
              <w:rPr>
                <w:sz w:val="22"/>
                <w:szCs w:val="22"/>
              </w:rPr>
            </w:pPr>
            <w:r w:rsidRPr="002E7999">
              <w:rPr>
                <w:color w:val="000000"/>
                <w:sz w:val="22"/>
                <w:szCs w:val="22"/>
                <w:lang w:eastAsia="en-AU"/>
              </w:rPr>
              <w:t>CPC31919 Certificate III in Joinery</w:t>
            </w:r>
            <w:r w:rsidRPr="002E7999">
              <w:rPr>
                <w:sz w:val="22"/>
                <w:szCs w:val="22"/>
              </w:rPr>
              <w:t xml:space="preserve"> has been developed to support occupational specialist streams. </w:t>
            </w:r>
          </w:p>
        </w:tc>
      </w:tr>
      <w:tr w:rsidR="004C15A8" w:rsidRPr="00910701" w14:paraId="0F128395" w14:textId="77777777" w:rsidTr="002E7999">
        <w:tc>
          <w:tcPr>
            <w:tcW w:w="1413" w:type="dxa"/>
            <w:vAlign w:val="center"/>
          </w:tcPr>
          <w:p w14:paraId="72FED926" w14:textId="77777777" w:rsidR="004C15A8" w:rsidRPr="002E7999" w:rsidRDefault="004C15A8" w:rsidP="002E7999">
            <w:pPr>
              <w:spacing w:line="276" w:lineRule="auto"/>
              <w:jc w:val="center"/>
              <w:rPr>
                <w:sz w:val="22"/>
                <w:szCs w:val="22"/>
              </w:rPr>
            </w:pPr>
            <w:r w:rsidRPr="002E7999">
              <w:rPr>
                <w:sz w:val="22"/>
                <w:szCs w:val="22"/>
              </w:rPr>
              <w:t>KC 4</w:t>
            </w:r>
          </w:p>
        </w:tc>
        <w:tc>
          <w:tcPr>
            <w:tcW w:w="7597" w:type="dxa"/>
          </w:tcPr>
          <w:p w14:paraId="35DD8A61" w14:textId="77777777" w:rsidR="004C15A8" w:rsidRPr="002E7999" w:rsidRDefault="004C15A8" w:rsidP="002E7999">
            <w:pPr>
              <w:spacing w:line="276" w:lineRule="auto"/>
              <w:rPr>
                <w:b/>
                <w:bCs/>
                <w:color w:val="000000"/>
                <w:sz w:val="22"/>
                <w:szCs w:val="22"/>
                <w:lang w:eastAsia="en-AU"/>
              </w:rPr>
            </w:pPr>
            <w:r w:rsidRPr="002E7999">
              <w:rPr>
                <w:sz w:val="22"/>
                <w:szCs w:val="22"/>
              </w:rPr>
              <w:t xml:space="preserve">CPC31912 Certificate III in Joinery and CPC32211 Certificate III in Joinery (Stairs) have both been supersedes and are equivalent to </w:t>
            </w:r>
            <w:r w:rsidRPr="002E7999">
              <w:rPr>
                <w:color w:val="000000"/>
                <w:sz w:val="22"/>
                <w:szCs w:val="22"/>
                <w:lang w:eastAsia="en-AU"/>
              </w:rPr>
              <w:t>CPC31919 Certificate III in Joinery,</w:t>
            </w:r>
            <w:r w:rsidRPr="002E7999">
              <w:rPr>
                <w:b/>
                <w:bCs/>
                <w:color w:val="000000"/>
                <w:sz w:val="22"/>
                <w:szCs w:val="22"/>
                <w:lang w:eastAsia="en-AU"/>
              </w:rPr>
              <w:t xml:space="preserve"> </w:t>
            </w:r>
            <w:r w:rsidRPr="002E7999">
              <w:rPr>
                <w:sz w:val="22"/>
                <w:szCs w:val="22"/>
              </w:rPr>
              <w:t>as there was significant overlap of the core units in each qualification.</w:t>
            </w:r>
          </w:p>
        </w:tc>
      </w:tr>
      <w:tr w:rsidR="004C15A8" w:rsidRPr="00910701" w14:paraId="770730EF" w14:textId="77777777" w:rsidTr="002E7999">
        <w:trPr>
          <w:trHeight w:val="361"/>
        </w:trPr>
        <w:tc>
          <w:tcPr>
            <w:tcW w:w="1413" w:type="dxa"/>
            <w:vAlign w:val="center"/>
          </w:tcPr>
          <w:p w14:paraId="544EA486" w14:textId="77777777" w:rsidR="004C15A8" w:rsidRPr="002E7999" w:rsidRDefault="004C15A8" w:rsidP="002E7999">
            <w:pPr>
              <w:spacing w:line="276" w:lineRule="auto"/>
              <w:jc w:val="center"/>
              <w:rPr>
                <w:sz w:val="22"/>
                <w:szCs w:val="22"/>
              </w:rPr>
            </w:pPr>
            <w:r w:rsidRPr="002E7999">
              <w:rPr>
                <w:sz w:val="22"/>
                <w:szCs w:val="22"/>
              </w:rPr>
              <w:t>KC 5</w:t>
            </w:r>
          </w:p>
        </w:tc>
        <w:tc>
          <w:tcPr>
            <w:tcW w:w="7597" w:type="dxa"/>
          </w:tcPr>
          <w:p w14:paraId="680A87C3" w14:textId="77777777" w:rsidR="004C15A8" w:rsidRPr="002E7999" w:rsidRDefault="004C15A8" w:rsidP="002E7999">
            <w:pPr>
              <w:spacing w:line="276" w:lineRule="auto"/>
              <w:rPr>
                <w:sz w:val="22"/>
                <w:szCs w:val="22"/>
              </w:rPr>
            </w:pPr>
            <w:r w:rsidRPr="002E7999">
              <w:rPr>
                <w:sz w:val="22"/>
                <w:szCs w:val="22"/>
              </w:rPr>
              <w:t>5 new units of competency were developed to address current skills and knowledge gaps in the carpentry industry.</w:t>
            </w:r>
          </w:p>
        </w:tc>
      </w:tr>
    </w:tbl>
    <w:p w14:paraId="6E474B31" w14:textId="67A02C8B" w:rsidR="004C15A8" w:rsidRDefault="004C15A8">
      <w:pPr>
        <w:spacing w:line="270" w:lineRule="atLeast"/>
        <w:sectPr w:rsidR="004C15A8">
          <w:pgSz w:w="11900" w:h="16840"/>
          <w:pgMar w:top="1360" w:right="1260" w:bottom="820" w:left="1580" w:header="0" w:footer="638" w:gutter="0"/>
          <w:cols w:space="720"/>
        </w:sectPr>
      </w:pPr>
    </w:p>
    <w:p w14:paraId="401C901C" w14:textId="77777777" w:rsidR="008A2EDE" w:rsidRDefault="00A50BD3" w:rsidP="005056E0">
      <w:pPr>
        <w:pStyle w:val="Heading1"/>
        <w:numPr>
          <w:ilvl w:val="0"/>
          <w:numId w:val="3"/>
        </w:numPr>
        <w:tabs>
          <w:tab w:val="left" w:pos="480"/>
        </w:tabs>
      </w:pPr>
      <w:bookmarkStart w:id="2" w:name="_Toc23938247"/>
      <w:r>
        <w:rPr>
          <w:color w:val="A2A9AF"/>
        </w:rPr>
        <w:lastRenderedPageBreak/>
        <w:t>Description of work and request for</w:t>
      </w:r>
      <w:r>
        <w:rPr>
          <w:color w:val="A2A9AF"/>
          <w:spacing w:val="-9"/>
        </w:rPr>
        <w:t xml:space="preserve"> </w:t>
      </w:r>
      <w:r>
        <w:rPr>
          <w:color w:val="A2A9AF"/>
        </w:rPr>
        <w:t>approval</w:t>
      </w:r>
      <w:bookmarkEnd w:id="2"/>
    </w:p>
    <w:p w14:paraId="75C4CC09" w14:textId="1D947573" w:rsidR="008A2EDE" w:rsidRDefault="008A2EDE">
      <w:pPr>
        <w:pStyle w:val="BodyText"/>
      </w:pPr>
    </w:p>
    <w:p w14:paraId="29B3CC83" w14:textId="238AE3E1" w:rsidR="002E7999" w:rsidRDefault="002E7999" w:rsidP="002E7999">
      <w:r>
        <w:t xml:space="preserve">An inclusive consultation approach gathered industry feedback and support for the project from a diverse range of stakeholders (geographic locations, industry stakeholder groups) through accessible forums. </w:t>
      </w:r>
    </w:p>
    <w:p w14:paraId="71B982E5" w14:textId="77777777" w:rsidR="002E7999" w:rsidRDefault="002E7999" w:rsidP="002E7999">
      <w:r>
        <w:t xml:space="preserve"> </w:t>
      </w:r>
    </w:p>
    <w:p w14:paraId="74DF8C11" w14:textId="1242E725" w:rsidR="002E7999" w:rsidRDefault="002E7999" w:rsidP="002E7999">
      <w:r>
        <w:t xml:space="preserve">Stakeholders were offered multiple opportunities to participate in general and targeted consultations throughout the packaging, qualification and unit development process, including through TAG member networks, online surveys, industry forums and working groups. </w:t>
      </w:r>
    </w:p>
    <w:p w14:paraId="2BAA21C0" w14:textId="38DD9C24" w:rsidR="0096050F" w:rsidRDefault="0096050F" w:rsidP="002E7999"/>
    <w:p w14:paraId="4EE08F1D" w14:textId="77777777" w:rsidR="0096050F" w:rsidRPr="0096050F" w:rsidRDefault="0096050F" w:rsidP="0096050F">
      <w:pPr>
        <w:spacing w:after="240"/>
      </w:pPr>
      <w:r w:rsidRPr="0096050F">
        <w:t xml:space="preserve">The Construction Industry Reference Committee utilises a multitude of different communication strategies and methodologies to engage with industry to seek feedback on matters relating to training and assessment. </w:t>
      </w:r>
    </w:p>
    <w:p w14:paraId="17DF1C50" w14:textId="77777777" w:rsidR="0096050F" w:rsidRPr="0096050F" w:rsidRDefault="0096050F" w:rsidP="0096050F">
      <w:pPr>
        <w:spacing w:after="240"/>
      </w:pPr>
      <w:r w:rsidRPr="0096050F">
        <w:t>There is no one size fits all approach taken to seeking participation and feedback in the training package design and development processes. Each industry occupation and qualification present with a unique set of conditions that involve deliberation and discussion about how best to engage in order to maximise industry feedback and response.</w:t>
      </w:r>
    </w:p>
    <w:p w14:paraId="654DD531" w14:textId="77777777" w:rsidR="0096050F" w:rsidRPr="0096050F" w:rsidRDefault="0096050F" w:rsidP="0096050F">
      <w:pPr>
        <w:spacing w:after="240"/>
      </w:pPr>
      <w:r w:rsidRPr="0096050F">
        <w:t>The IRC members work closely with countless stakeholders from all levels of the Australian construction industry, which they represent very broadly, to achieve a workable compromise in all qualifications. The IRC appoints a member of its committee to Chair each Technical Advisory Group and that Chair reports back to the IRC meetings by way of a project briefs and verbal reports. The Technical Advisory group members are recommended and selected because of their expertise in specific trades and their connections with industry and/or RTOs.</w:t>
      </w:r>
    </w:p>
    <w:p w14:paraId="75F8B87A" w14:textId="77777777" w:rsidR="0096050F" w:rsidRPr="0096050F" w:rsidRDefault="0096050F" w:rsidP="0096050F">
      <w:pPr>
        <w:spacing w:after="240"/>
      </w:pPr>
      <w:r w:rsidRPr="0096050F">
        <w:t>The IRC has a large network of industry stakeholders; registered training providers, industry associations, builders, contractors, manufacturers, suppliers and group training schemes that provide advice on specific issues in relation to the Construction Training Package.</w:t>
      </w:r>
    </w:p>
    <w:p w14:paraId="61CA0DF0" w14:textId="77777777" w:rsidR="0096050F" w:rsidRPr="0096050F" w:rsidRDefault="0096050F" w:rsidP="0096050F">
      <w:pPr>
        <w:spacing w:after="240"/>
      </w:pPr>
      <w:r w:rsidRPr="0096050F">
        <w:t>Many organisations which are represented by IRC members have significant and robust committee structures made up of industry participants. These organisations also engage industry through regional membership, professional development, technical and policy committees which report to National Service Committees and National Policy Congress. One organisation has over 250 industry representatives on their committees at any one time.</w:t>
      </w:r>
    </w:p>
    <w:p w14:paraId="1F85A680" w14:textId="77777777" w:rsidR="0096050F" w:rsidRPr="0096050F" w:rsidRDefault="0096050F" w:rsidP="0096050F">
      <w:pPr>
        <w:spacing w:after="240"/>
      </w:pPr>
      <w:r w:rsidRPr="0096050F">
        <w:t>IRC members employ a range of strategies to engage their networks, including engagement with:</w:t>
      </w:r>
    </w:p>
    <w:p w14:paraId="65514F12" w14:textId="77777777" w:rsidR="0096050F" w:rsidRPr="0096050F" w:rsidRDefault="0096050F" w:rsidP="0096050F">
      <w:pPr>
        <w:pStyle w:val="ListParagraph"/>
        <w:widowControl/>
        <w:numPr>
          <w:ilvl w:val="0"/>
          <w:numId w:val="34"/>
        </w:numPr>
        <w:autoSpaceDE/>
        <w:autoSpaceDN/>
        <w:spacing w:after="240"/>
        <w:contextualSpacing/>
      </w:pPr>
      <w:r w:rsidRPr="0096050F">
        <w:t>Industry strategy groups</w:t>
      </w:r>
    </w:p>
    <w:p w14:paraId="7B5345D2" w14:textId="77777777" w:rsidR="0096050F" w:rsidRPr="0096050F" w:rsidRDefault="0096050F" w:rsidP="0096050F">
      <w:pPr>
        <w:pStyle w:val="ListParagraph"/>
        <w:widowControl/>
        <w:numPr>
          <w:ilvl w:val="0"/>
          <w:numId w:val="34"/>
        </w:numPr>
        <w:autoSpaceDE/>
        <w:autoSpaceDN/>
        <w:spacing w:after="240"/>
        <w:contextualSpacing/>
      </w:pPr>
      <w:r w:rsidRPr="0096050F">
        <w:t>Major employers</w:t>
      </w:r>
    </w:p>
    <w:p w14:paraId="44AA72CA" w14:textId="77777777" w:rsidR="0096050F" w:rsidRPr="0096050F" w:rsidRDefault="0096050F" w:rsidP="0096050F">
      <w:pPr>
        <w:pStyle w:val="ListParagraph"/>
        <w:widowControl/>
        <w:numPr>
          <w:ilvl w:val="0"/>
          <w:numId w:val="34"/>
        </w:numPr>
        <w:autoSpaceDE/>
        <w:autoSpaceDN/>
        <w:spacing w:after="240"/>
        <w:contextualSpacing/>
      </w:pPr>
      <w:r w:rsidRPr="0096050F">
        <w:t>Industry associations</w:t>
      </w:r>
    </w:p>
    <w:p w14:paraId="5A027FA1" w14:textId="77777777" w:rsidR="0096050F" w:rsidRPr="0096050F" w:rsidRDefault="0096050F" w:rsidP="0096050F">
      <w:pPr>
        <w:pStyle w:val="ListParagraph"/>
        <w:widowControl/>
        <w:numPr>
          <w:ilvl w:val="0"/>
          <w:numId w:val="34"/>
        </w:numPr>
        <w:autoSpaceDE/>
        <w:autoSpaceDN/>
        <w:spacing w:after="240"/>
        <w:contextualSpacing/>
      </w:pPr>
      <w:r w:rsidRPr="0096050F">
        <w:t>Various industry boards</w:t>
      </w:r>
    </w:p>
    <w:p w14:paraId="2CE731EF" w14:textId="77777777" w:rsidR="0096050F" w:rsidRPr="0096050F" w:rsidRDefault="0096050F" w:rsidP="0096050F">
      <w:pPr>
        <w:pStyle w:val="ListParagraph"/>
        <w:widowControl/>
        <w:numPr>
          <w:ilvl w:val="0"/>
          <w:numId w:val="34"/>
        </w:numPr>
        <w:autoSpaceDE/>
        <w:autoSpaceDN/>
        <w:spacing w:after="240"/>
        <w:contextualSpacing/>
      </w:pPr>
      <w:r w:rsidRPr="0096050F">
        <w:t>Commercial construction site personnel;</w:t>
      </w:r>
    </w:p>
    <w:p w14:paraId="3C736DA0" w14:textId="77777777" w:rsidR="0096050F" w:rsidRPr="0096050F" w:rsidRDefault="0096050F" w:rsidP="0096050F">
      <w:pPr>
        <w:pStyle w:val="ListParagraph"/>
        <w:widowControl/>
        <w:numPr>
          <w:ilvl w:val="1"/>
          <w:numId w:val="34"/>
        </w:numPr>
        <w:autoSpaceDE/>
        <w:autoSpaceDN/>
        <w:spacing w:after="240"/>
        <w:contextualSpacing/>
      </w:pPr>
      <w:r w:rsidRPr="0096050F">
        <w:t>Site managers</w:t>
      </w:r>
    </w:p>
    <w:p w14:paraId="334157C3" w14:textId="77777777" w:rsidR="0096050F" w:rsidRPr="0096050F" w:rsidRDefault="0096050F" w:rsidP="0096050F">
      <w:pPr>
        <w:pStyle w:val="ListParagraph"/>
        <w:widowControl/>
        <w:numPr>
          <w:ilvl w:val="1"/>
          <w:numId w:val="34"/>
        </w:numPr>
        <w:autoSpaceDE/>
        <w:autoSpaceDN/>
        <w:spacing w:after="240"/>
        <w:contextualSpacing/>
      </w:pPr>
      <w:r w:rsidRPr="0096050F">
        <w:t>Tradespersons</w:t>
      </w:r>
    </w:p>
    <w:p w14:paraId="6CD09600" w14:textId="77777777" w:rsidR="0096050F" w:rsidRPr="0096050F" w:rsidRDefault="0096050F" w:rsidP="0096050F">
      <w:pPr>
        <w:pStyle w:val="ListParagraph"/>
        <w:widowControl/>
        <w:numPr>
          <w:ilvl w:val="1"/>
          <w:numId w:val="34"/>
        </w:numPr>
        <w:autoSpaceDE/>
        <w:autoSpaceDN/>
        <w:spacing w:after="240"/>
        <w:contextualSpacing/>
      </w:pPr>
      <w:r w:rsidRPr="0096050F">
        <w:t>Foreman</w:t>
      </w:r>
    </w:p>
    <w:p w14:paraId="191766C1" w14:textId="77777777" w:rsidR="0096050F" w:rsidRPr="0096050F" w:rsidRDefault="0096050F" w:rsidP="0096050F">
      <w:pPr>
        <w:pStyle w:val="ListParagraph"/>
        <w:widowControl/>
        <w:numPr>
          <w:ilvl w:val="1"/>
          <w:numId w:val="34"/>
        </w:numPr>
        <w:autoSpaceDE/>
        <w:autoSpaceDN/>
        <w:spacing w:after="240"/>
        <w:contextualSpacing/>
      </w:pPr>
      <w:r w:rsidRPr="0096050F">
        <w:t>Safety managers</w:t>
      </w:r>
    </w:p>
    <w:p w14:paraId="31CDAB31" w14:textId="77777777" w:rsidR="0096050F" w:rsidRPr="0096050F" w:rsidRDefault="0096050F" w:rsidP="0096050F">
      <w:pPr>
        <w:pStyle w:val="ListParagraph"/>
        <w:widowControl/>
        <w:numPr>
          <w:ilvl w:val="1"/>
          <w:numId w:val="34"/>
        </w:numPr>
        <w:autoSpaceDE/>
        <w:autoSpaceDN/>
        <w:spacing w:after="240"/>
        <w:contextualSpacing/>
      </w:pPr>
      <w:r w:rsidRPr="0096050F">
        <w:t>Apprentices</w:t>
      </w:r>
    </w:p>
    <w:p w14:paraId="3A2D4FAB" w14:textId="77777777" w:rsidR="0096050F" w:rsidRPr="0096050F" w:rsidRDefault="0096050F" w:rsidP="0096050F">
      <w:pPr>
        <w:pStyle w:val="ListParagraph"/>
        <w:widowControl/>
        <w:numPr>
          <w:ilvl w:val="0"/>
          <w:numId w:val="34"/>
        </w:numPr>
        <w:autoSpaceDE/>
        <w:autoSpaceDN/>
        <w:spacing w:after="240"/>
        <w:contextualSpacing/>
      </w:pPr>
      <w:r w:rsidRPr="0096050F">
        <w:t>RTO based personnel</w:t>
      </w:r>
    </w:p>
    <w:p w14:paraId="775616EE" w14:textId="77777777" w:rsidR="0096050F" w:rsidRPr="0096050F" w:rsidRDefault="0096050F" w:rsidP="0096050F">
      <w:pPr>
        <w:pStyle w:val="ListParagraph"/>
        <w:widowControl/>
        <w:numPr>
          <w:ilvl w:val="0"/>
          <w:numId w:val="34"/>
        </w:numPr>
        <w:autoSpaceDE/>
        <w:autoSpaceDN/>
        <w:spacing w:after="240"/>
        <w:contextualSpacing/>
      </w:pPr>
      <w:r w:rsidRPr="0096050F">
        <w:t>Schools</w:t>
      </w:r>
    </w:p>
    <w:p w14:paraId="3CBA9110" w14:textId="77777777" w:rsidR="0096050F" w:rsidRPr="0096050F" w:rsidRDefault="0096050F" w:rsidP="0096050F">
      <w:pPr>
        <w:pStyle w:val="ListParagraph"/>
        <w:widowControl/>
        <w:numPr>
          <w:ilvl w:val="1"/>
          <w:numId w:val="34"/>
        </w:numPr>
        <w:autoSpaceDE/>
        <w:autoSpaceDN/>
        <w:spacing w:after="240"/>
        <w:contextualSpacing/>
      </w:pPr>
      <w:r w:rsidRPr="0096050F">
        <w:t>Students</w:t>
      </w:r>
    </w:p>
    <w:p w14:paraId="5C5BDC2A" w14:textId="77777777" w:rsidR="0096050F" w:rsidRPr="0096050F" w:rsidRDefault="0096050F" w:rsidP="0096050F">
      <w:pPr>
        <w:pStyle w:val="ListParagraph"/>
        <w:widowControl/>
        <w:numPr>
          <w:ilvl w:val="1"/>
          <w:numId w:val="34"/>
        </w:numPr>
        <w:autoSpaceDE/>
        <w:autoSpaceDN/>
        <w:spacing w:after="240"/>
        <w:contextualSpacing/>
      </w:pPr>
      <w:r w:rsidRPr="0096050F">
        <w:t>Apprentices</w:t>
      </w:r>
    </w:p>
    <w:p w14:paraId="4B1A30CB" w14:textId="77777777" w:rsidR="0096050F" w:rsidRPr="0096050F" w:rsidRDefault="0096050F" w:rsidP="0096050F">
      <w:pPr>
        <w:pStyle w:val="ListParagraph"/>
        <w:widowControl/>
        <w:numPr>
          <w:ilvl w:val="0"/>
          <w:numId w:val="34"/>
        </w:numPr>
        <w:autoSpaceDE/>
        <w:autoSpaceDN/>
        <w:spacing w:after="240"/>
        <w:contextualSpacing/>
      </w:pPr>
      <w:r w:rsidRPr="0096050F">
        <w:t>Regulators</w:t>
      </w:r>
    </w:p>
    <w:p w14:paraId="46CEA70D" w14:textId="77777777" w:rsidR="0096050F" w:rsidRPr="0096050F" w:rsidRDefault="0096050F" w:rsidP="0096050F">
      <w:pPr>
        <w:pStyle w:val="ListParagraph"/>
        <w:widowControl/>
        <w:numPr>
          <w:ilvl w:val="0"/>
          <w:numId w:val="34"/>
        </w:numPr>
        <w:autoSpaceDE/>
        <w:autoSpaceDN/>
        <w:spacing w:after="240"/>
        <w:contextualSpacing/>
      </w:pPr>
      <w:r w:rsidRPr="0096050F">
        <w:lastRenderedPageBreak/>
        <w:t>Group schemes</w:t>
      </w:r>
    </w:p>
    <w:p w14:paraId="00EB6642" w14:textId="77777777" w:rsidR="0096050F" w:rsidRPr="0096050F" w:rsidRDefault="0096050F" w:rsidP="0096050F">
      <w:pPr>
        <w:spacing w:after="240"/>
      </w:pPr>
      <w:r w:rsidRPr="0096050F">
        <w:t>Forms of engagement to provide progress reports on construction projects include face to face meetings, telephone calls, emails, formal meetings, conferences, professional development seminars, website articles, LinkedIn posts, online meetings and forums.</w:t>
      </w:r>
    </w:p>
    <w:p w14:paraId="61BE9EDB" w14:textId="77777777" w:rsidR="0096050F" w:rsidRPr="0096050F" w:rsidRDefault="0096050F" w:rsidP="0096050F">
      <w:pPr>
        <w:spacing w:after="240"/>
      </w:pPr>
      <w:r w:rsidRPr="0096050F">
        <w:t xml:space="preserve">Construction, Plumbing and Services IRC members encourage their networks to participate in industry surveys and online sessions and hold industry forums. </w:t>
      </w:r>
    </w:p>
    <w:p w14:paraId="68E13031" w14:textId="77777777" w:rsidR="0096050F" w:rsidRDefault="0096050F" w:rsidP="0096050F">
      <w:pPr>
        <w:spacing w:after="240"/>
      </w:pPr>
      <w:r w:rsidRPr="0096050F">
        <w:t xml:space="preserve">Contentious issues are discussed in depth at IRC meetings and, where consensus is not reached, a vote is held to determine the way forward.  It is rare that consensus is not found. </w:t>
      </w:r>
    </w:p>
    <w:p w14:paraId="7D174943" w14:textId="77777777" w:rsidR="002E7999" w:rsidRDefault="002E7999" w:rsidP="002E7999">
      <w:r>
        <w:t>To gain access to a cross-section of industry we utilised a combination of broad-based and targeted consultation techniques, including:</w:t>
      </w:r>
    </w:p>
    <w:p w14:paraId="01628E46" w14:textId="77777777" w:rsidR="002E7999" w:rsidRDefault="002E7999" w:rsidP="002E7999"/>
    <w:p w14:paraId="3CF8BB84" w14:textId="77777777" w:rsidR="002E7999" w:rsidRDefault="002E7999" w:rsidP="005056E0">
      <w:pPr>
        <w:pStyle w:val="ListParagraph"/>
        <w:keepNext/>
        <w:keepLines/>
        <w:widowControl/>
        <w:numPr>
          <w:ilvl w:val="0"/>
          <w:numId w:val="5"/>
        </w:numPr>
        <w:autoSpaceDE/>
        <w:autoSpaceDN/>
        <w:contextualSpacing/>
      </w:pPr>
      <w:r>
        <w:t>general newsletters sent to subscribers (subscriber range: 3975 to 4037)</w:t>
      </w:r>
    </w:p>
    <w:p w14:paraId="2D3E979D" w14:textId="77777777" w:rsidR="002E7999" w:rsidRDefault="002E7999" w:rsidP="005056E0">
      <w:pPr>
        <w:pStyle w:val="ListParagraph"/>
        <w:keepNext/>
        <w:keepLines/>
        <w:widowControl/>
        <w:numPr>
          <w:ilvl w:val="0"/>
          <w:numId w:val="5"/>
        </w:numPr>
        <w:autoSpaceDE/>
        <w:autoSpaceDN/>
        <w:contextualSpacing/>
      </w:pPr>
      <w:r>
        <w:t>targeted communications about surveys (subscriber range: 220 to 1046)</w:t>
      </w:r>
    </w:p>
    <w:p w14:paraId="554B2D1D" w14:textId="77777777" w:rsidR="002E7999" w:rsidRDefault="002E7999" w:rsidP="005056E0">
      <w:pPr>
        <w:pStyle w:val="ListParagraph"/>
        <w:keepNext/>
        <w:keepLines/>
        <w:widowControl/>
        <w:numPr>
          <w:ilvl w:val="0"/>
          <w:numId w:val="5"/>
        </w:numPr>
        <w:autoSpaceDE/>
        <w:autoSpaceDN/>
        <w:contextualSpacing/>
      </w:pPr>
      <w:r>
        <w:t>the formulation of a</w:t>
      </w:r>
      <w:r w:rsidRPr="00404332">
        <w:rPr>
          <w:color w:val="FF0000"/>
        </w:rPr>
        <w:t xml:space="preserve"> </w:t>
      </w:r>
      <w:r>
        <w:t>Technical Advisory Group (TAG) representing key stakeholders</w:t>
      </w:r>
    </w:p>
    <w:p w14:paraId="400E8B86" w14:textId="77777777" w:rsidR="002E7999" w:rsidRDefault="002E7999" w:rsidP="005056E0">
      <w:pPr>
        <w:pStyle w:val="ListParagraph"/>
        <w:keepNext/>
        <w:keepLines/>
        <w:widowControl/>
        <w:numPr>
          <w:ilvl w:val="0"/>
          <w:numId w:val="5"/>
        </w:numPr>
        <w:autoSpaceDE/>
        <w:autoSpaceDN/>
        <w:contextualSpacing/>
      </w:pPr>
      <w:r>
        <w:t>TAG members consulting on the project within their extensive industry networks</w:t>
      </w:r>
    </w:p>
    <w:p w14:paraId="090B734B" w14:textId="77777777" w:rsidR="002E7999" w:rsidRDefault="002E7999" w:rsidP="005056E0">
      <w:pPr>
        <w:pStyle w:val="ListParagraph"/>
        <w:keepNext/>
        <w:keepLines/>
        <w:widowControl/>
        <w:numPr>
          <w:ilvl w:val="0"/>
          <w:numId w:val="5"/>
        </w:numPr>
        <w:autoSpaceDE/>
        <w:autoSpaceDN/>
        <w:contextualSpacing/>
      </w:pPr>
      <w:r>
        <w:t>conducting three online nationwide surveys at key development points in the project</w:t>
      </w:r>
    </w:p>
    <w:p w14:paraId="1752AF08" w14:textId="77777777" w:rsidR="002E7999" w:rsidRDefault="002E7999" w:rsidP="005056E0">
      <w:pPr>
        <w:pStyle w:val="ListParagraph"/>
        <w:keepNext/>
        <w:keepLines/>
        <w:widowControl/>
        <w:numPr>
          <w:ilvl w:val="0"/>
          <w:numId w:val="5"/>
        </w:numPr>
        <w:autoSpaceDE/>
        <w:autoSpaceDN/>
        <w:contextualSpacing/>
      </w:pPr>
      <w:r>
        <w:t>holding eight national forums, held in each state and territory</w:t>
      </w:r>
    </w:p>
    <w:p w14:paraId="5A1194E1" w14:textId="77777777" w:rsidR="002E7999" w:rsidRDefault="002E7999" w:rsidP="005056E0">
      <w:pPr>
        <w:pStyle w:val="ListParagraph"/>
        <w:keepNext/>
        <w:keepLines/>
        <w:widowControl/>
        <w:numPr>
          <w:ilvl w:val="0"/>
          <w:numId w:val="5"/>
        </w:numPr>
        <w:autoSpaceDE/>
        <w:autoSpaceDN/>
        <w:contextualSpacing/>
      </w:pPr>
      <w:r>
        <w:t xml:space="preserve">establishing five online working groups with industry subject-matter experts </w:t>
      </w:r>
    </w:p>
    <w:p w14:paraId="6F8966CF" w14:textId="77777777" w:rsidR="002E7999" w:rsidRDefault="002E7999" w:rsidP="005056E0">
      <w:pPr>
        <w:pStyle w:val="ListParagraph"/>
        <w:keepNext/>
        <w:keepLines/>
        <w:widowControl/>
        <w:numPr>
          <w:ilvl w:val="0"/>
          <w:numId w:val="5"/>
        </w:numPr>
        <w:autoSpaceDE/>
        <w:autoSpaceDN/>
        <w:contextualSpacing/>
      </w:pPr>
      <w:r>
        <w:t>having a project page on the Artibus Innovation website</w:t>
      </w:r>
    </w:p>
    <w:p w14:paraId="053A02B2" w14:textId="77777777" w:rsidR="002E7999" w:rsidRDefault="002E7999" w:rsidP="005056E0">
      <w:pPr>
        <w:pStyle w:val="ListParagraph"/>
        <w:keepNext/>
        <w:keepLines/>
        <w:widowControl/>
        <w:numPr>
          <w:ilvl w:val="0"/>
          <w:numId w:val="5"/>
        </w:numPr>
        <w:autoSpaceDE/>
        <w:autoSpaceDN/>
        <w:contextualSpacing/>
      </w:pPr>
      <w:r>
        <w:t>maintaining a project register of all project consultations, including emails and phone calls about the project. At completion of the project, the register has 521 entries.</w:t>
      </w:r>
    </w:p>
    <w:p w14:paraId="1D8624EF" w14:textId="77777777" w:rsidR="002E7999" w:rsidRDefault="002E7999" w:rsidP="002E7999"/>
    <w:p w14:paraId="3E439621" w14:textId="77777777" w:rsidR="002E7999" w:rsidRDefault="002E7999" w:rsidP="002E7999">
      <w:r>
        <w:t>The project timeline of industry and stakeholder engagement and consultation opportunities is outlined below.</w:t>
      </w:r>
    </w:p>
    <w:p w14:paraId="41E33765" w14:textId="77777777" w:rsidR="002E7999" w:rsidRDefault="002E7999" w:rsidP="002E7999"/>
    <w:p w14:paraId="44D0FB80" w14:textId="77777777" w:rsidR="002E7999" w:rsidRPr="00AD24BA" w:rsidRDefault="002E7999" w:rsidP="002E7999">
      <w:pPr>
        <w:rPr>
          <w:b/>
        </w:rPr>
      </w:pPr>
      <w:r w:rsidRPr="00AD24BA">
        <w:rPr>
          <w:b/>
        </w:rPr>
        <w:t>Table 1: Project Timeline: Industry Engagement and Consultation Processes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279"/>
        <w:gridCol w:w="3131"/>
      </w:tblGrid>
      <w:tr w:rsidR="002E7999" w14:paraId="36D2B349" w14:textId="77777777" w:rsidTr="002E7999">
        <w:tc>
          <w:tcPr>
            <w:tcW w:w="1606" w:type="dxa"/>
            <w:shd w:val="clear" w:color="auto" w:fill="EEECE1" w:themeFill="background2"/>
          </w:tcPr>
          <w:p w14:paraId="204D473A" w14:textId="77777777" w:rsidR="002E7999" w:rsidRPr="008E0D2F" w:rsidRDefault="002E7999" w:rsidP="002E7999">
            <w:pPr>
              <w:rPr>
                <w:b/>
                <w:sz w:val="20"/>
                <w:szCs w:val="20"/>
              </w:rPr>
            </w:pPr>
            <w:r w:rsidRPr="008E0D2F">
              <w:rPr>
                <w:b/>
                <w:sz w:val="20"/>
                <w:szCs w:val="20"/>
              </w:rPr>
              <w:t>Timeframe</w:t>
            </w:r>
          </w:p>
        </w:tc>
        <w:tc>
          <w:tcPr>
            <w:tcW w:w="4279" w:type="dxa"/>
            <w:shd w:val="clear" w:color="auto" w:fill="EEECE1" w:themeFill="background2"/>
          </w:tcPr>
          <w:p w14:paraId="4FB23ADC" w14:textId="77777777" w:rsidR="002E7999" w:rsidRPr="008E0D2F" w:rsidRDefault="002E7999" w:rsidP="002E7999">
            <w:pPr>
              <w:rPr>
                <w:b/>
                <w:sz w:val="20"/>
                <w:szCs w:val="20"/>
              </w:rPr>
            </w:pPr>
            <w:r w:rsidRPr="008E0D2F">
              <w:rPr>
                <w:b/>
                <w:sz w:val="20"/>
                <w:szCs w:val="20"/>
              </w:rPr>
              <w:t>Major Task</w:t>
            </w:r>
          </w:p>
        </w:tc>
        <w:tc>
          <w:tcPr>
            <w:tcW w:w="3131" w:type="dxa"/>
            <w:shd w:val="clear" w:color="auto" w:fill="EEECE1" w:themeFill="background2"/>
          </w:tcPr>
          <w:p w14:paraId="0388EC02" w14:textId="77777777" w:rsidR="002E7999" w:rsidRPr="008E0D2F" w:rsidRDefault="002E7999" w:rsidP="002E7999">
            <w:pPr>
              <w:rPr>
                <w:b/>
                <w:sz w:val="20"/>
                <w:szCs w:val="20"/>
              </w:rPr>
            </w:pPr>
            <w:r w:rsidRPr="008E0D2F">
              <w:rPr>
                <w:b/>
                <w:sz w:val="20"/>
                <w:szCs w:val="20"/>
              </w:rPr>
              <w:t>Industry Engagement</w:t>
            </w:r>
          </w:p>
        </w:tc>
      </w:tr>
      <w:tr w:rsidR="002E7999" w14:paraId="4D4E161C" w14:textId="77777777" w:rsidTr="002E7999">
        <w:tc>
          <w:tcPr>
            <w:tcW w:w="1606" w:type="dxa"/>
          </w:tcPr>
          <w:p w14:paraId="58794747" w14:textId="77777777" w:rsidR="002E7999" w:rsidRPr="008E0D2F" w:rsidRDefault="002E7999" w:rsidP="002E7999">
            <w:pPr>
              <w:rPr>
                <w:sz w:val="20"/>
                <w:szCs w:val="20"/>
              </w:rPr>
            </w:pPr>
            <w:r w:rsidRPr="008E0D2F">
              <w:rPr>
                <w:b/>
                <w:sz w:val="20"/>
                <w:szCs w:val="20"/>
              </w:rPr>
              <w:t>July – September 2017</w:t>
            </w:r>
          </w:p>
        </w:tc>
        <w:tc>
          <w:tcPr>
            <w:tcW w:w="4279" w:type="dxa"/>
          </w:tcPr>
          <w:p w14:paraId="3FB056F2" w14:textId="77777777" w:rsidR="002E7999" w:rsidRPr="008E0D2F" w:rsidRDefault="002E7999" w:rsidP="002E7999">
            <w:pPr>
              <w:rPr>
                <w:sz w:val="20"/>
                <w:szCs w:val="20"/>
              </w:rPr>
            </w:pPr>
            <w:r w:rsidRPr="008E0D2F">
              <w:rPr>
                <w:sz w:val="20"/>
                <w:szCs w:val="20"/>
              </w:rPr>
              <w:t>Artibus Innovation commences project:</w:t>
            </w:r>
          </w:p>
          <w:p w14:paraId="6B0447D2" w14:textId="77777777" w:rsidR="002E7999" w:rsidRPr="008E0D2F" w:rsidRDefault="002E7999" w:rsidP="005056E0">
            <w:pPr>
              <w:pStyle w:val="ListParagraph"/>
              <w:keepNext/>
              <w:keepLines/>
              <w:numPr>
                <w:ilvl w:val="0"/>
                <w:numId w:val="6"/>
              </w:numPr>
              <w:contextualSpacing/>
              <w:rPr>
                <w:sz w:val="20"/>
              </w:rPr>
            </w:pPr>
            <w:r w:rsidRPr="008E0D2F">
              <w:rPr>
                <w:sz w:val="20"/>
              </w:rPr>
              <w:t xml:space="preserve">Establishment of Technical Advisory Group (TAG) </w:t>
            </w:r>
          </w:p>
          <w:p w14:paraId="1E442F30" w14:textId="77777777" w:rsidR="002E7999" w:rsidRPr="008E0D2F" w:rsidRDefault="002E7999" w:rsidP="005056E0">
            <w:pPr>
              <w:pStyle w:val="ListParagraph"/>
              <w:keepNext/>
              <w:keepLines/>
              <w:numPr>
                <w:ilvl w:val="0"/>
                <w:numId w:val="6"/>
              </w:numPr>
              <w:contextualSpacing/>
              <w:rPr>
                <w:sz w:val="20"/>
              </w:rPr>
            </w:pPr>
            <w:r w:rsidRPr="008E0D2F">
              <w:rPr>
                <w:sz w:val="20"/>
              </w:rPr>
              <w:t>Issues Briefing Paper identified concerns with CPSISC’s development consultation processes</w:t>
            </w:r>
          </w:p>
          <w:p w14:paraId="38D30D7E" w14:textId="77777777" w:rsidR="002E7999" w:rsidRPr="008E0D2F" w:rsidRDefault="002E7999" w:rsidP="002E7999">
            <w:pPr>
              <w:rPr>
                <w:sz w:val="20"/>
                <w:szCs w:val="20"/>
              </w:rPr>
            </w:pPr>
          </w:p>
        </w:tc>
        <w:tc>
          <w:tcPr>
            <w:tcW w:w="3131" w:type="dxa"/>
          </w:tcPr>
          <w:p w14:paraId="13B97870" w14:textId="77777777" w:rsidR="002E7999" w:rsidRPr="008E0D2F" w:rsidRDefault="002E7999" w:rsidP="002E7999">
            <w:pPr>
              <w:rPr>
                <w:sz w:val="20"/>
                <w:szCs w:val="20"/>
              </w:rPr>
            </w:pPr>
            <w:r w:rsidRPr="008E0D2F">
              <w:rPr>
                <w:sz w:val="20"/>
                <w:szCs w:val="20"/>
              </w:rPr>
              <w:t>Identified need to engage small to medium-sized enterprises</w:t>
            </w:r>
          </w:p>
        </w:tc>
      </w:tr>
      <w:tr w:rsidR="002E7999" w14:paraId="1AC2A45E" w14:textId="77777777" w:rsidTr="002E7999">
        <w:tc>
          <w:tcPr>
            <w:tcW w:w="1606" w:type="dxa"/>
          </w:tcPr>
          <w:p w14:paraId="47B31D91" w14:textId="77777777" w:rsidR="002E7999" w:rsidRPr="008E0D2F" w:rsidRDefault="002E7999" w:rsidP="002E7999">
            <w:pPr>
              <w:rPr>
                <w:b/>
                <w:sz w:val="20"/>
                <w:szCs w:val="20"/>
              </w:rPr>
            </w:pPr>
            <w:r w:rsidRPr="008E0D2F">
              <w:rPr>
                <w:b/>
                <w:sz w:val="20"/>
                <w:szCs w:val="20"/>
              </w:rPr>
              <w:t>July 2017</w:t>
            </w:r>
          </w:p>
        </w:tc>
        <w:tc>
          <w:tcPr>
            <w:tcW w:w="4279" w:type="dxa"/>
          </w:tcPr>
          <w:p w14:paraId="3D822502" w14:textId="77777777" w:rsidR="002E7999" w:rsidRPr="008E0D2F" w:rsidRDefault="002E7999" w:rsidP="002E7999">
            <w:pPr>
              <w:rPr>
                <w:sz w:val="20"/>
                <w:szCs w:val="20"/>
              </w:rPr>
            </w:pPr>
            <w:r w:rsidRPr="008E0D2F">
              <w:rPr>
                <w:sz w:val="20"/>
                <w:szCs w:val="20"/>
              </w:rPr>
              <w:t>Project Page established</w:t>
            </w:r>
            <w:r>
              <w:rPr>
                <w:sz w:val="20"/>
                <w:szCs w:val="20"/>
              </w:rPr>
              <w:t xml:space="preserve"> </w:t>
            </w:r>
            <w:r w:rsidRPr="008E0D2F">
              <w:rPr>
                <w:sz w:val="20"/>
                <w:szCs w:val="20"/>
              </w:rPr>
              <w:t>on the Artibus Innovation website with stakeholder communication links.</w:t>
            </w:r>
          </w:p>
        </w:tc>
        <w:tc>
          <w:tcPr>
            <w:tcW w:w="3131" w:type="dxa"/>
          </w:tcPr>
          <w:p w14:paraId="44D295B1" w14:textId="77777777" w:rsidR="002E7999" w:rsidRDefault="002E7999" w:rsidP="002E7999">
            <w:pPr>
              <w:rPr>
                <w:sz w:val="20"/>
                <w:szCs w:val="20"/>
              </w:rPr>
            </w:pPr>
            <w:r>
              <w:rPr>
                <w:sz w:val="20"/>
                <w:szCs w:val="20"/>
              </w:rPr>
              <w:t>2083 visitors</w:t>
            </w:r>
          </w:p>
          <w:p w14:paraId="5DC58A94" w14:textId="77777777" w:rsidR="002E7999" w:rsidRDefault="002E7999" w:rsidP="002E7999">
            <w:pPr>
              <w:rPr>
                <w:sz w:val="20"/>
                <w:szCs w:val="20"/>
              </w:rPr>
            </w:pPr>
          </w:p>
          <w:p w14:paraId="7E624374" w14:textId="77777777" w:rsidR="002E7999" w:rsidRPr="008E0D2F" w:rsidRDefault="002E7999" w:rsidP="002E7999">
            <w:pPr>
              <w:rPr>
                <w:sz w:val="20"/>
                <w:szCs w:val="20"/>
              </w:rPr>
            </w:pPr>
          </w:p>
        </w:tc>
      </w:tr>
      <w:tr w:rsidR="002E7999" w14:paraId="2C40C881" w14:textId="77777777" w:rsidTr="002E7999">
        <w:tc>
          <w:tcPr>
            <w:tcW w:w="1606" w:type="dxa"/>
          </w:tcPr>
          <w:p w14:paraId="38285AED" w14:textId="77777777" w:rsidR="002E7999" w:rsidRPr="008E0D2F" w:rsidRDefault="002E7999" w:rsidP="002E7999">
            <w:pPr>
              <w:rPr>
                <w:b/>
                <w:sz w:val="20"/>
                <w:szCs w:val="20"/>
              </w:rPr>
            </w:pPr>
            <w:r w:rsidRPr="008E0D2F">
              <w:rPr>
                <w:b/>
                <w:sz w:val="20"/>
                <w:szCs w:val="20"/>
              </w:rPr>
              <w:t>October 2017</w:t>
            </w:r>
          </w:p>
        </w:tc>
        <w:tc>
          <w:tcPr>
            <w:tcW w:w="4279" w:type="dxa"/>
          </w:tcPr>
          <w:p w14:paraId="7F351973" w14:textId="77777777" w:rsidR="002E7999" w:rsidRPr="008E0D2F" w:rsidRDefault="002E7999" w:rsidP="002E7999">
            <w:pPr>
              <w:rPr>
                <w:sz w:val="20"/>
                <w:szCs w:val="20"/>
              </w:rPr>
            </w:pPr>
            <w:r w:rsidRPr="008E0D2F">
              <w:rPr>
                <w:sz w:val="20"/>
                <w:szCs w:val="20"/>
              </w:rPr>
              <w:t>White Card Survey link emailed to subscribers</w:t>
            </w:r>
          </w:p>
        </w:tc>
        <w:tc>
          <w:tcPr>
            <w:tcW w:w="3131" w:type="dxa"/>
          </w:tcPr>
          <w:p w14:paraId="331E4B70" w14:textId="77777777" w:rsidR="002E7999" w:rsidRPr="008E0D2F" w:rsidRDefault="002E7999" w:rsidP="002E7999">
            <w:pPr>
              <w:rPr>
                <w:sz w:val="20"/>
                <w:szCs w:val="20"/>
              </w:rPr>
            </w:pPr>
            <w:r w:rsidRPr="008E0D2F">
              <w:rPr>
                <w:sz w:val="20"/>
                <w:szCs w:val="20"/>
              </w:rPr>
              <w:t>1046 subscribers</w:t>
            </w:r>
          </w:p>
        </w:tc>
      </w:tr>
      <w:tr w:rsidR="002E7999" w14:paraId="5290C1AB" w14:textId="77777777" w:rsidTr="002E7999">
        <w:tc>
          <w:tcPr>
            <w:tcW w:w="1606" w:type="dxa"/>
          </w:tcPr>
          <w:p w14:paraId="4C58B4E9" w14:textId="77777777" w:rsidR="002E7999" w:rsidRPr="008E0D2F" w:rsidRDefault="002E7999" w:rsidP="002E7999">
            <w:pPr>
              <w:rPr>
                <w:b/>
                <w:sz w:val="20"/>
                <w:szCs w:val="20"/>
              </w:rPr>
            </w:pPr>
            <w:r w:rsidRPr="008E0D2F">
              <w:rPr>
                <w:b/>
                <w:sz w:val="20"/>
                <w:szCs w:val="20"/>
              </w:rPr>
              <w:t>March 2018</w:t>
            </w:r>
          </w:p>
        </w:tc>
        <w:tc>
          <w:tcPr>
            <w:tcW w:w="4279" w:type="dxa"/>
          </w:tcPr>
          <w:p w14:paraId="02212364" w14:textId="77777777" w:rsidR="002E7999" w:rsidRPr="008E0D2F" w:rsidRDefault="002E7999" w:rsidP="002E7999">
            <w:pPr>
              <w:rPr>
                <w:sz w:val="20"/>
                <w:szCs w:val="20"/>
              </w:rPr>
            </w:pPr>
            <w:r w:rsidRPr="008E0D2F">
              <w:rPr>
                <w:sz w:val="20"/>
                <w:szCs w:val="20"/>
              </w:rPr>
              <w:t>General newsletter: Carpentry survey and TAG nominations</w:t>
            </w:r>
          </w:p>
        </w:tc>
        <w:tc>
          <w:tcPr>
            <w:tcW w:w="3131" w:type="dxa"/>
          </w:tcPr>
          <w:p w14:paraId="4C577783" w14:textId="77777777" w:rsidR="002E7999" w:rsidRPr="008E0D2F" w:rsidRDefault="002E7999" w:rsidP="002E7999">
            <w:pPr>
              <w:rPr>
                <w:sz w:val="20"/>
                <w:szCs w:val="20"/>
              </w:rPr>
            </w:pPr>
            <w:r w:rsidRPr="008E0D2F">
              <w:rPr>
                <w:sz w:val="20"/>
                <w:szCs w:val="20"/>
              </w:rPr>
              <w:t>4,037 subscribers</w:t>
            </w:r>
          </w:p>
        </w:tc>
      </w:tr>
      <w:tr w:rsidR="002E7999" w14:paraId="6D61E019" w14:textId="77777777" w:rsidTr="002E7999">
        <w:tc>
          <w:tcPr>
            <w:tcW w:w="1606" w:type="dxa"/>
          </w:tcPr>
          <w:p w14:paraId="1662AF3D" w14:textId="77777777" w:rsidR="002E7999" w:rsidRPr="008E0D2F" w:rsidRDefault="002E7999" w:rsidP="002E7999">
            <w:pPr>
              <w:rPr>
                <w:b/>
                <w:sz w:val="20"/>
                <w:szCs w:val="20"/>
              </w:rPr>
            </w:pPr>
            <w:r w:rsidRPr="008E0D2F">
              <w:rPr>
                <w:b/>
                <w:sz w:val="20"/>
                <w:szCs w:val="20"/>
              </w:rPr>
              <w:t>April – May 2018</w:t>
            </w:r>
          </w:p>
        </w:tc>
        <w:tc>
          <w:tcPr>
            <w:tcW w:w="4279" w:type="dxa"/>
          </w:tcPr>
          <w:p w14:paraId="62E98323" w14:textId="77777777" w:rsidR="002E7999" w:rsidRPr="008E0D2F" w:rsidRDefault="002E7999" w:rsidP="002E7999">
            <w:pPr>
              <w:rPr>
                <w:sz w:val="20"/>
                <w:szCs w:val="20"/>
              </w:rPr>
            </w:pPr>
            <w:r w:rsidRPr="008E0D2F">
              <w:rPr>
                <w:sz w:val="20"/>
                <w:szCs w:val="20"/>
              </w:rPr>
              <w:t>Stakeholder survey on qualifications and packaging options (Draft pack 1)</w:t>
            </w:r>
          </w:p>
        </w:tc>
        <w:tc>
          <w:tcPr>
            <w:tcW w:w="3131" w:type="dxa"/>
          </w:tcPr>
          <w:p w14:paraId="3358B699" w14:textId="77777777" w:rsidR="002E7999" w:rsidRPr="008E0D2F" w:rsidRDefault="002E7999" w:rsidP="002E7999">
            <w:pPr>
              <w:rPr>
                <w:sz w:val="20"/>
                <w:szCs w:val="20"/>
              </w:rPr>
            </w:pPr>
            <w:r w:rsidRPr="008E0D2F">
              <w:rPr>
                <w:sz w:val="20"/>
                <w:szCs w:val="20"/>
              </w:rPr>
              <w:t>135 responses</w:t>
            </w:r>
          </w:p>
        </w:tc>
      </w:tr>
      <w:tr w:rsidR="002E7999" w14:paraId="6BB9BE8F" w14:textId="77777777" w:rsidTr="002E7999">
        <w:tc>
          <w:tcPr>
            <w:tcW w:w="1606" w:type="dxa"/>
          </w:tcPr>
          <w:p w14:paraId="5EDF1B16" w14:textId="77777777" w:rsidR="002E7999" w:rsidRPr="008E0D2F" w:rsidRDefault="002E7999" w:rsidP="002E7999">
            <w:pPr>
              <w:rPr>
                <w:b/>
                <w:sz w:val="20"/>
                <w:szCs w:val="20"/>
              </w:rPr>
            </w:pPr>
            <w:r w:rsidRPr="008E0D2F">
              <w:rPr>
                <w:b/>
                <w:sz w:val="20"/>
                <w:szCs w:val="20"/>
              </w:rPr>
              <w:t>May 2018 – April 2019</w:t>
            </w:r>
          </w:p>
        </w:tc>
        <w:tc>
          <w:tcPr>
            <w:tcW w:w="4279" w:type="dxa"/>
          </w:tcPr>
          <w:p w14:paraId="301F0C83" w14:textId="77777777" w:rsidR="002E7999" w:rsidRPr="008E0D2F" w:rsidRDefault="002E7999" w:rsidP="002E7999">
            <w:pPr>
              <w:rPr>
                <w:sz w:val="20"/>
                <w:szCs w:val="20"/>
              </w:rPr>
            </w:pPr>
            <w:r w:rsidRPr="008E0D2F">
              <w:rPr>
                <w:sz w:val="20"/>
                <w:szCs w:val="20"/>
              </w:rPr>
              <w:t>TAG meetings held regularly to direct industry engagement and to evaluate stakeholder consultation feedback</w:t>
            </w:r>
          </w:p>
        </w:tc>
        <w:tc>
          <w:tcPr>
            <w:tcW w:w="3131" w:type="dxa"/>
          </w:tcPr>
          <w:p w14:paraId="322FB82F" w14:textId="77777777" w:rsidR="002E7999" w:rsidRPr="008E0D2F" w:rsidRDefault="002E7999" w:rsidP="002E7999">
            <w:pPr>
              <w:rPr>
                <w:sz w:val="20"/>
                <w:szCs w:val="20"/>
              </w:rPr>
            </w:pPr>
            <w:r w:rsidRPr="008E0D2F">
              <w:rPr>
                <w:sz w:val="20"/>
                <w:szCs w:val="20"/>
              </w:rPr>
              <w:t>TAG membership described below</w:t>
            </w:r>
          </w:p>
        </w:tc>
      </w:tr>
      <w:tr w:rsidR="002E7999" w14:paraId="620C31DA" w14:textId="77777777" w:rsidTr="002E7999">
        <w:tc>
          <w:tcPr>
            <w:tcW w:w="1606" w:type="dxa"/>
          </w:tcPr>
          <w:p w14:paraId="4FD06BD5" w14:textId="77777777" w:rsidR="002E7999" w:rsidRPr="008E0D2F" w:rsidRDefault="002E7999" w:rsidP="002E7999">
            <w:pPr>
              <w:rPr>
                <w:b/>
                <w:sz w:val="20"/>
                <w:szCs w:val="20"/>
              </w:rPr>
            </w:pPr>
            <w:r w:rsidRPr="008E0D2F">
              <w:rPr>
                <w:b/>
                <w:sz w:val="20"/>
                <w:szCs w:val="20"/>
              </w:rPr>
              <w:t>May 2018</w:t>
            </w:r>
          </w:p>
        </w:tc>
        <w:tc>
          <w:tcPr>
            <w:tcW w:w="4279" w:type="dxa"/>
          </w:tcPr>
          <w:p w14:paraId="09C5BC33" w14:textId="77777777" w:rsidR="002E7999" w:rsidRPr="008E0D2F" w:rsidRDefault="002E7999" w:rsidP="002E7999">
            <w:pPr>
              <w:rPr>
                <w:sz w:val="20"/>
                <w:szCs w:val="20"/>
              </w:rPr>
            </w:pPr>
            <w:r w:rsidRPr="008E0D2F">
              <w:rPr>
                <w:sz w:val="20"/>
                <w:szCs w:val="20"/>
              </w:rPr>
              <w:t>General newsletter: Perth Carpentry Forum</w:t>
            </w:r>
          </w:p>
        </w:tc>
        <w:tc>
          <w:tcPr>
            <w:tcW w:w="3131" w:type="dxa"/>
          </w:tcPr>
          <w:p w14:paraId="01D1A0A3" w14:textId="77777777" w:rsidR="002E7999" w:rsidRPr="008E0D2F" w:rsidRDefault="002E7999" w:rsidP="002E7999">
            <w:pPr>
              <w:rPr>
                <w:sz w:val="20"/>
                <w:szCs w:val="20"/>
              </w:rPr>
            </w:pPr>
            <w:r w:rsidRPr="008E0D2F">
              <w:rPr>
                <w:sz w:val="20"/>
                <w:szCs w:val="20"/>
              </w:rPr>
              <w:t>4,026 subscribers</w:t>
            </w:r>
          </w:p>
        </w:tc>
      </w:tr>
      <w:tr w:rsidR="002E7999" w14:paraId="3F06BF93" w14:textId="77777777" w:rsidTr="002E7999">
        <w:tc>
          <w:tcPr>
            <w:tcW w:w="1606" w:type="dxa"/>
          </w:tcPr>
          <w:p w14:paraId="08E17196" w14:textId="77777777" w:rsidR="002E7999" w:rsidRPr="008E0D2F" w:rsidRDefault="002E7999" w:rsidP="002E7999">
            <w:pPr>
              <w:rPr>
                <w:b/>
                <w:sz w:val="20"/>
                <w:szCs w:val="20"/>
              </w:rPr>
            </w:pPr>
            <w:r w:rsidRPr="008E0D2F">
              <w:rPr>
                <w:b/>
                <w:sz w:val="20"/>
                <w:szCs w:val="20"/>
              </w:rPr>
              <w:t>May – July 2018</w:t>
            </w:r>
          </w:p>
        </w:tc>
        <w:tc>
          <w:tcPr>
            <w:tcW w:w="4279" w:type="dxa"/>
          </w:tcPr>
          <w:p w14:paraId="4BCF357F" w14:textId="77777777" w:rsidR="002E7999" w:rsidRPr="008E0D2F" w:rsidRDefault="002E7999" w:rsidP="002E7999">
            <w:pPr>
              <w:rPr>
                <w:sz w:val="20"/>
                <w:szCs w:val="20"/>
              </w:rPr>
            </w:pPr>
            <w:r w:rsidRPr="008E0D2F">
              <w:rPr>
                <w:sz w:val="20"/>
                <w:szCs w:val="20"/>
              </w:rPr>
              <w:t>Industry forums held in each state/territory</w:t>
            </w:r>
          </w:p>
        </w:tc>
        <w:tc>
          <w:tcPr>
            <w:tcW w:w="3131" w:type="dxa"/>
          </w:tcPr>
          <w:p w14:paraId="67443734" w14:textId="77777777" w:rsidR="002E7999" w:rsidRPr="008E0D2F" w:rsidRDefault="002E7999" w:rsidP="002E7999">
            <w:pPr>
              <w:rPr>
                <w:sz w:val="20"/>
                <w:szCs w:val="20"/>
              </w:rPr>
            </w:pPr>
            <w:r w:rsidRPr="008E0D2F">
              <w:rPr>
                <w:sz w:val="20"/>
                <w:szCs w:val="20"/>
              </w:rPr>
              <w:t>131 participants</w:t>
            </w:r>
          </w:p>
        </w:tc>
      </w:tr>
      <w:tr w:rsidR="002E7999" w14:paraId="1CE68AB1" w14:textId="77777777" w:rsidTr="002E7999">
        <w:tc>
          <w:tcPr>
            <w:tcW w:w="1606" w:type="dxa"/>
          </w:tcPr>
          <w:p w14:paraId="00F043A5" w14:textId="77777777" w:rsidR="002E7999" w:rsidRPr="008E0D2F" w:rsidRDefault="002E7999" w:rsidP="002E7999">
            <w:pPr>
              <w:rPr>
                <w:b/>
                <w:sz w:val="20"/>
                <w:szCs w:val="20"/>
              </w:rPr>
            </w:pPr>
            <w:r w:rsidRPr="008E0D2F">
              <w:rPr>
                <w:b/>
                <w:sz w:val="20"/>
                <w:szCs w:val="20"/>
              </w:rPr>
              <w:t>June 2018</w:t>
            </w:r>
          </w:p>
        </w:tc>
        <w:tc>
          <w:tcPr>
            <w:tcW w:w="4279" w:type="dxa"/>
          </w:tcPr>
          <w:p w14:paraId="1C5FD13B" w14:textId="77777777" w:rsidR="002E7999" w:rsidRPr="008E0D2F" w:rsidRDefault="002E7999" w:rsidP="002E7999">
            <w:pPr>
              <w:rPr>
                <w:sz w:val="20"/>
                <w:szCs w:val="20"/>
              </w:rPr>
            </w:pPr>
            <w:r w:rsidRPr="008E0D2F">
              <w:rPr>
                <w:sz w:val="20"/>
                <w:szCs w:val="20"/>
              </w:rPr>
              <w:t>General newsletter: Melbourne and Tasmania Carpentry forums</w:t>
            </w:r>
          </w:p>
        </w:tc>
        <w:tc>
          <w:tcPr>
            <w:tcW w:w="3131" w:type="dxa"/>
          </w:tcPr>
          <w:p w14:paraId="22EA986E" w14:textId="77777777" w:rsidR="002E7999" w:rsidRPr="008E0D2F" w:rsidRDefault="002E7999" w:rsidP="002E7999">
            <w:pPr>
              <w:jc w:val="both"/>
              <w:rPr>
                <w:sz w:val="20"/>
                <w:szCs w:val="20"/>
              </w:rPr>
            </w:pPr>
            <w:r w:rsidRPr="008E0D2F">
              <w:rPr>
                <w:sz w:val="20"/>
                <w:szCs w:val="20"/>
              </w:rPr>
              <w:t>3,999 subscribers</w:t>
            </w:r>
          </w:p>
        </w:tc>
      </w:tr>
      <w:tr w:rsidR="002E7999" w14:paraId="40A73450" w14:textId="77777777" w:rsidTr="002E7999">
        <w:tc>
          <w:tcPr>
            <w:tcW w:w="1606" w:type="dxa"/>
          </w:tcPr>
          <w:p w14:paraId="53637883" w14:textId="77777777" w:rsidR="002E7999" w:rsidRPr="008E0D2F" w:rsidRDefault="002E7999" w:rsidP="002E7999">
            <w:pPr>
              <w:rPr>
                <w:b/>
                <w:sz w:val="20"/>
                <w:szCs w:val="20"/>
              </w:rPr>
            </w:pPr>
            <w:r w:rsidRPr="008E0D2F">
              <w:rPr>
                <w:b/>
                <w:sz w:val="20"/>
                <w:szCs w:val="20"/>
              </w:rPr>
              <w:t>June 2018</w:t>
            </w:r>
          </w:p>
        </w:tc>
        <w:tc>
          <w:tcPr>
            <w:tcW w:w="4279" w:type="dxa"/>
          </w:tcPr>
          <w:p w14:paraId="2A13115F" w14:textId="77777777" w:rsidR="002E7999" w:rsidRPr="008E0D2F" w:rsidRDefault="002E7999" w:rsidP="002E7999">
            <w:pPr>
              <w:rPr>
                <w:sz w:val="20"/>
                <w:szCs w:val="20"/>
              </w:rPr>
            </w:pPr>
            <w:r w:rsidRPr="008E0D2F">
              <w:rPr>
                <w:sz w:val="20"/>
                <w:szCs w:val="20"/>
              </w:rPr>
              <w:t>General newsletter: Mt Druitt carpentry forum</w:t>
            </w:r>
          </w:p>
        </w:tc>
        <w:tc>
          <w:tcPr>
            <w:tcW w:w="3131" w:type="dxa"/>
          </w:tcPr>
          <w:p w14:paraId="388E2827" w14:textId="77777777" w:rsidR="002E7999" w:rsidRPr="008E0D2F" w:rsidRDefault="002E7999" w:rsidP="002E7999">
            <w:pPr>
              <w:jc w:val="both"/>
              <w:rPr>
                <w:sz w:val="20"/>
                <w:szCs w:val="20"/>
              </w:rPr>
            </w:pPr>
            <w:r w:rsidRPr="008E0D2F">
              <w:rPr>
                <w:sz w:val="20"/>
                <w:szCs w:val="20"/>
              </w:rPr>
              <w:t>3,973 subscribers</w:t>
            </w:r>
          </w:p>
        </w:tc>
      </w:tr>
      <w:tr w:rsidR="002E7999" w14:paraId="77C643F7" w14:textId="77777777" w:rsidTr="002E7999">
        <w:tc>
          <w:tcPr>
            <w:tcW w:w="1606" w:type="dxa"/>
          </w:tcPr>
          <w:p w14:paraId="698EBA3A" w14:textId="77777777" w:rsidR="002E7999" w:rsidRPr="008E0D2F" w:rsidRDefault="002E7999" w:rsidP="002E7999">
            <w:pPr>
              <w:rPr>
                <w:b/>
                <w:sz w:val="20"/>
                <w:szCs w:val="20"/>
              </w:rPr>
            </w:pPr>
            <w:r w:rsidRPr="008E0D2F">
              <w:rPr>
                <w:b/>
                <w:sz w:val="20"/>
                <w:szCs w:val="20"/>
              </w:rPr>
              <w:lastRenderedPageBreak/>
              <w:t>June 2018</w:t>
            </w:r>
          </w:p>
        </w:tc>
        <w:tc>
          <w:tcPr>
            <w:tcW w:w="4279" w:type="dxa"/>
          </w:tcPr>
          <w:p w14:paraId="238B22C1" w14:textId="77777777" w:rsidR="002E7999" w:rsidRPr="008E0D2F" w:rsidRDefault="002E7999" w:rsidP="002E7999">
            <w:pPr>
              <w:rPr>
                <w:sz w:val="20"/>
                <w:szCs w:val="20"/>
              </w:rPr>
            </w:pPr>
            <w:r w:rsidRPr="008E0D2F">
              <w:rPr>
                <w:sz w:val="20"/>
                <w:szCs w:val="20"/>
              </w:rPr>
              <w:t>General newsletter: SA Carpentry forum announced</w:t>
            </w:r>
          </w:p>
        </w:tc>
        <w:tc>
          <w:tcPr>
            <w:tcW w:w="3131" w:type="dxa"/>
          </w:tcPr>
          <w:p w14:paraId="2BC11E3B" w14:textId="77777777" w:rsidR="002E7999" w:rsidRPr="008E0D2F" w:rsidRDefault="002E7999" w:rsidP="002E7999">
            <w:pPr>
              <w:jc w:val="both"/>
              <w:rPr>
                <w:sz w:val="20"/>
                <w:szCs w:val="20"/>
              </w:rPr>
            </w:pPr>
            <w:r w:rsidRPr="008E0D2F">
              <w:rPr>
                <w:sz w:val="20"/>
                <w:szCs w:val="20"/>
              </w:rPr>
              <w:t>3,953 subscribers</w:t>
            </w:r>
          </w:p>
          <w:p w14:paraId="2AB1884A" w14:textId="77777777" w:rsidR="002E7999" w:rsidRPr="008E0D2F" w:rsidRDefault="002E7999" w:rsidP="002E7999">
            <w:pPr>
              <w:jc w:val="both"/>
              <w:rPr>
                <w:sz w:val="20"/>
                <w:szCs w:val="20"/>
              </w:rPr>
            </w:pPr>
          </w:p>
        </w:tc>
      </w:tr>
      <w:tr w:rsidR="002E7999" w14:paraId="44D28D69" w14:textId="77777777" w:rsidTr="002E7999">
        <w:tc>
          <w:tcPr>
            <w:tcW w:w="1606" w:type="dxa"/>
          </w:tcPr>
          <w:p w14:paraId="0C2A46B5" w14:textId="77777777" w:rsidR="002E7999" w:rsidRPr="008E0D2F" w:rsidRDefault="002E7999" w:rsidP="002E7999">
            <w:pPr>
              <w:rPr>
                <w:b/>
                <w:sz w:val="20"/>
                <w:szCs w:val="20"/>
              </w:rPr>
            </w:pPr>
            <w:r w:rsidRPr="008E0D2F">
              <w:rPr>
                <w:b/>
                <w:sz w:val="20"/>
                <w:szCs w:val="20"/>
              </w:rPr>
              <w:t>July 2018</w:t>
            </w:r>
          </w:p>
        </w:tc>
        <w:tc>
          <w:tcPr>
            <w:tcW w:w="4279" w:type="dxa"/>
          </w:tcPr>
          <w:p w14:paraId="4CE7377D" w14:textId="77777777" w:rsidR="002E7999" w:rsidRPr="008E0D2F" w:rsidRDefault="002E7999" w:rsidP="002E7999">
            <w:pPr>
              <w:rPr>
                <w:sz w:val="20"/>
                <w:szCs w:val="20"/>
              </w:rPr>
            </w:pPr>
            <w:r w:rsidRPr="008E0D2F">
              <w:rPr>
                <w:sz w:val="20"/>
                <w:szCs w:val="20"/>
              </w:rPr>
              <w:t>General newsletter (and reminder): Carpentry forum Qld</w:t>
            </w:r>
          </w:p>
        </w:tc>
        <w:tc>
          <w:tcPr>
            <w:tcW w:w="3131" w:type="dxa"/>
          </w:tcPr>
          <w:p w14:paraId="5D4896EB" w14:textId="77777777" w:rsidR="002E7999" w:rsidRPr="008E0D2F" w:rsidRDefault="002E7999" w:rsidP="002E7999">
            <w:pPr>
              <w:jc w:val="both"/>
              <w:rPr>
                <w:sz w:val="20"/>
                <w:szCs w:val="20"/>
              </w:rPr>
            </w:pPr>
            <w:r w:rsidRPr="008E0D2F">
              <w:rPr>
                <w:sz w:val="20"/>
                <w:szCs w:val="20"/>
              </w:rPr>
              <w:t>3,922 subscribers</w:t>
            </w:r>
          </w:p>
        </w:tc>
      </w:tr>
      <w:tr w:rsidR="002E7999" w14:paraId="7A85C2ED" w14:textId="77777777" w:rsidTr="002E7999">
        <w:tc>
          <w:tcPr>
            <w:tcW w:w="1606" w:type="dxa"/>
          </w:tcPr>
          <w:p w14:paraId="5C87DF64" w14:textId="77777777" w:rsidR="002E7999" w:rsidRPr="008E0D2F" w:rsidRDefault="002E7999" w:rsidP="002E7999">
            <w:pPr>
              <w:rPr>
                <w:b/>
                <w:sz w:val="20"/>
                <w:szCs w:val="20"/>
              </w:rPr>
            </w:pPr>
            <w:r w:rsidRPr="008E0D2F">
              <w:rPr>
                <w:b/>
                <w:sz w:val="20"/>
                <w:szCs w:val="20"/>
              </w:rPr>
              <w:t>September 2018</w:t>
            </w:r>
          </w:p>
        </w:tc>
        <w:tc>
          <w:tcPr>
            <w:tcW w:w="4279" w:type="dxa"/>
          </w:tcPr>
          <w:p w14:paraId="6391EEE5" w14:textId="77777777" w:rsidR="002E7999" w:rsidRPr="008E0D2F" w:rsidRDefault="002E7999" w:rsidP="002E7999">
            <w:pPr>
              <w:rPr>
                <w:sz w:val="20"/>
                <w:szCs w:val="20"/>
              </w:rPr>
            </w:pPr>
            <w:r w:rsidRPr="008E0D2F">
              <w:rPr>
                <w:sz w:val="20"/>
                <w:szCs w:val="20"/>
              </w:rPr>
              <w:t>Newsletter: Survey for Certificate III in Carpentry and Certificate III in Joinery</w:t>
            </w:r>
          </w:p>
        </w:tc>
        <w:tc>
          <w:tcPr>
            <w:tcW w:w="3131" w:type="dxa"/>
          </w:tcPr>
          <w:p w14:paraId="7086B2C9" w14:textId="77777777" w:rsidR="002E7999" w:rsidRPr="008E0D2F" w:rsidRDefault="002E7999" w:rsidP="002E7999">
            <w:pPr>
              <w:jc w:val="both"/>
              <w:rPr>
                <w:sz w:val="20"/>
                <w:szCs w:val="20"/>
              </w:rPr>
            </w:pPr>
            <w:r w:rsidRPr="008E0D2F">
              <w:rPr>
                <w:sz w:val="20"/>
                <w:szCs w:val="20"/>
              </w:rPr>
              <w:t>3,993 subscribers</w:t>
            </w:r>
          </w:p>
        </w:tc>
      </w:tr>
      <w:tr w:rsidR="002E7999" w14:paraId="5BF27433" w14:textId="77777777" w:rsidTr="002E7999">
        <w:tc>
          <w:tcPr>
            <w:tcW w:w="1606" w:type="dxa"/>
          </w:tcPr>
          <w:p w14:paraId="7893EC50" w14:textId="77777777" w:rsidR="002E7999" w:rsidRPr="008E0D2F" w:rsidRDefault="002E7999" w:rsidP="002E7999">
            <w:pPr>
              <w:rPr>
                <w:b/>
                <w:sz w:val="20"/>
                <w:szCs w:val="20"/>
              </w:rPr>
            </w:pPr>
            <w:r w:rsidRPr="008E0D2F">
              <w:rPr>
                <w:b/>
                <w:sz w:val="20"/>
                <w:szCs w:val="20"/>
              </w:rPr>
              <w:t>September 2018</w:t>
            </w:r>
          </w:p>
        </w:tc>
        <w:tc>
          <w:tcPr>
            <w:tcW w:w="4279" w:type="dxa"/>
          </w:tcPr>
          <w:p w14:paraId="5DDDC0C2" w14:textId="77777777" w:rsidR="002E7999" w:rsidRPr="008E0D2F" w:rsidRDefault="002E7999" w:rsidP="002E7999">
            <w:pPr>
              <w:rPr>
                <w:sz w:val="20"/>
                <w:szCs w:val="20"/>
              </w:rPr>
            </w:pPr>
            <w:r w:rsidRPr="008E0D2F">
              <w:rPr>
                <w:sz w:val="20"/>
                <w:szCs w:val="20"/>
              </w:rPr>
              <w:t>Call for stakeholder submissions</w:t>
            </w:r>
          </w:p>
        </w:tc>
        <w:tc>
          <w:tcPr>
            <w:tcW w:w="3131" w:type="dxa"/>
          </w:tcPr>
          <w:p w14:paraId="1F38AA85" w14:textId="77777777" w:rsidR="002E7999" w:rsidRPr="008E0D2F" w:rsidRDefault="002E7999" w:rsidP="002E7999">
            <w:pPr>
              <w:jc w:val="both"/>
              <w:rPr>
                <w:sz w:val="20"/>
                <w:szCs w:val="20"/>
              </w:rPr>
            </w:pPr>
            <w:r w:rsidRPr="008E0D2F">
              <w:rPr>
                <w:sz w:val="20"/>
                <w:szCs w:val="20"/>
              </w:rPr>
              <w:t>222 subscribers</w:t>
            </w:r>
          </w:p>
        </w:tc>
      </w:tr>
      <w:tr w:rsidR="002E7999" w14:paraId="49D6B23D" w14:textId="77777777" w:rsidTr="002E7999">
        <w:tc>
          <w:tcPr>
            <w:tcW w:w="1606" w:type="dxa"/>
          </w:tcPr>
          <w:p w14:paraId="7F60B818" w14:textId="77777777" w:rsidR="002E7999" w:rsidRPr="008E0D2F" w:rsidRDefault="002E7999" w:rsidP="002E7999">
            <w:pPr>
              <w:rPr>
                <w:b/>
                <w:sz w:val="20"/>
                <w:szCs w:val="20"/>
              </w:rPr>
            </w:pPr>
            <w:r w:rsidRPr="008E0D2F">
              <w:rPr>
                <w:b/>
                <w:sz w:val="20"/>
                <w:szCs w:val="20"/>
              </w:rPr>
              <w:t>October 2018</w:t>
            </w:r>
          </w:p>
        </w:tc>
        <w:tc>
          <w:tcPr>
            <w:tcW w:w="4279" w:type="dxa"/>
          </w:tcPr>
          <w:p w14:paraId="3C835C51" w14:textId="77777777" w:rsidR="002E7999" w:rsidRPr="008E0D2F" w:rsidRDefault="002E7999" w:rsidP="002E7999">
            <w:pPr>
              <w:rPr>
                <w:sz w:val="20"/>
                <w:szCs w:val="20"/>
              </w:rPr>
            </w:pPr>
            <w:r w:rsidRPr="008E0D2F">
              <w:rPr>
                <w:sz w:val="20"/>
                <w:szCs w:val="20"/>
              </w:rPr>
              <w:t>Carpentry and Joinery Surveys and Submissions on revised qualifications (Draft pack 2)</w:t>
            </w:r>
          </w:p>
        </w:tc>
        <w:tc>
          <w:tcPr>
            <w:tcW w:w="3131" w:type="dxa"/>
          </w:tcPr>
          <w:p w14:paraId="167962F9" w14:textId="77777777" w:rsidR="002E7999" w:rsidRPr="008E0D2F" w:rsidRDefault="002E7999" w:rsidP="005056E0">
            <w:pPr>
              <w:pStyle w:val="ListParagraph"/>
              <w:keepNext/>
              <w:keepLines/>
              <w:numPr>
                <w:ilvl w:val="0"/>
                <w:numId w:val="8"/>
              </w:numPr>
              <w:contextualSpacing/>
              <w:jc w:val="both"/>
              <w:rPr>
                <w:sz w:val="20"/>
              </w:rPr>
            </w:pPr>
            <w:r w:rsidRPr="008E0D2F">
              <w:rPr>
                <w:sz w:val="20"/>
              </w:rPr>
              <w:t>responses</w:t>
            </w:r>
          </w:p>
        </w:tc>
      </w:tr>
      <w:tr w:rsidR="002E7999" w14:paraId="63BA64E4" w14:textId="77777777" w:rsidTr="002E7999">
        <w:tc>
          <w:tcPr>
            <w:tcW w:w="1606" w:type="dxa"/>
          </w:tcPr>
          <w:p w14:paraId="4C80A873" w14:textId="77777777" w:rsidR="002E7999" w:rsidRPr="008E0D2F" w:rsidRDefault="002E7999" w:rsidP="002E7999">
            <w:pPr>
              <w:rPr>
                <w:b/>
                <w:sz w:val="20"/>
                <w:szCs w:val="20"/>
              </w:rPr>
            </w:pPr>
            <w:r w:rsidRPr="008E0D2F">
              <w:rPr>
                <w:b/>
                <w:sz w:val="20"/>
                <w:szCs w:val="20"/>
              </w:rPr>
              <w:t>February 2019</w:t>
            </w:r>
          </w:p>
        </w:tc>
        <w:tc>
          <w:tcPr>
            <w:tcW w:w="4279" w:type="dxa"/>
          </w:tcPr>
          <w:p w14:paraId="7ECB18E4" w14:textId="77777777" w:rsidR="002E7999" w:rsidRPr="008E0D2F" w:rsidRDefault="002E7999" w:rsidP="002E7999">
            <w:pPr>
              <w:rPr>
                <w:sz w:val="20"/>
                <w:szCs w:val="20"/>
              </w:rPr>
            </w:pPr>
            <w:r>
              <w:rPr>
                <w:sz w:val="20"/>
                <w:szCs w:val="20"/>
              </w:rPr>
              <w:t>Unanimous d</w:t>
            </w:r>
            <w:r w:rsidRPr="008E0D2F">
              <w:rPr>
                <w:sz w:val="20"/>
                <w:szCs w:val="20"/>
              </w:rPr>
              <w:t xml:space="preserve">ecision of the Construction, Plumbing and Services IRC that the unit </w:t>
            </w:r>
            <w:r w:rsidRPr="008E0D2F">
              <w:rPr>
                <w:i/>
                <w:sz w:val="20"/>
                <w:szCs w:val="20"/>
              </w:rPr>
              <w:t>CPCCWHS1001 Prepare to work safely in the construction industry</w:t>
            </w:r>
            <w:r w:rsidRPr="008E0D2F">
              <w:rPr>
                <w:sz w:val="20"/>
                <w:szCs w:val="20"/>
              </w:rPr>
              <w:t xml:space="preserve"> be a core unit in all CPC qualifications.</w:t>
            </w:r>
          </w:p>
        </w:tc>
        <w:tc>
          <w:tcPr>
            <w:tcW w:w="3131" w:type="dxa"/>
          </w:tcPr>
          <w:p w14:paraId="5086F038" w14:textId="77777777" w:rsidR="002E7999" w:rsidRPr="008E0D2F" w:rsidRDefault="002E7999" w:rsidP="002E7999">
            <w:pPr>
              <w:rPr>
                <w:sz w:val="20"/>
                <w:szCs w:val="20"/>
              </w:rPr>
            </w:pPr>
          </w:p>
        </w:tc>
      </w:tr>
      <w:tr w:rsidR="002E7999" w14:paraId="1D54E5DB" w14:textId="77777777" w:rsidTr="002E7999">
        <w:tc>
          <w:tcPr>
            <w:tcW w:w="1606" w:type="dxa"/>
          </w:tcPr>
          <w:p w14:paraId="00BD62C9" w14:textId="77777777" w:rsidR="002E7999" w:rsidRPr="008E0D2F" w:rsidRDefault="002E7999" w:rsidP="002E7999">
            <w:pPr>
              <w:rPr>
                <w:b/>
                <w:sz w:val="20"/>
                <w:szCs w:val="20"/>
              </w:rPr>
            </w:pPr>
            <w:r w:rsidRPr="008E0D2F">
              <w:rPr>
                <w:b/>
                <w:sz w:val="20"/>
                <w:szCs w:val="20"/>
              </w:rPr>
              <w:t>March 2019</w:t>
            </w:r>
          </w:p>
        </w:tc>
        <w:tc>
          <w:tcPr>
            <w:tcW w:w="4279" w:type="dxa"/>
          </w:tcPr>
          <w:p w14:paraId="7C837855" w14:textId="77777777" w:rsidR="002E7999" w:rsidRPr="008E0D2F" w:rsidRDefault="002E7999" w:rsidP="002E7999">
            <w:pPr>
              <w:rPr>
                <w:sz w:val="20"/>
                <w:szCs w:val="20"/>
              </w:rPr>
            </w:pPr>
            <w:r w:rsidRPr="008E0D2F">
              <w:rPr>
                <w:sz w:val="20"/>
                <w:szCs w:val="20"/>
              </w:rPr>
              <w:t>General newsletter: March project update</w:t>
            </w:r>
          </w:p>
        </w:tc>
        <w:tc>
          <w:tcPr>
            <w:tcW w:w="3131" w:type="dxa"/>
          </w:tcPr>
          <w:p w14:paraId="5AAC4160" w14:textId="77777777" w:rsidR="002E7999" w:rsidRPr="008E0D2F" w:rsidRDefault="002E7999" w:rsidP="002E7999">
            <w:pPr>
              <w:rPr>
                <w:sz w:val="20"/>
                <w:szCs w:val="20"/>
              </w:rPr>
            </w:pPr>
            <w:r w:rsidRPr="008E0D2F">
              <w:rPr>
                <w:sz w:val="20"/>
                <w:szCs w:val="20"/>
              </w:rPr>
              <w:t>3,995 subscribers</w:t>
            </w:r>
          </w:p>
        </w:tc>
      </w:tr>
      <w:tr w:rsidR="002E7999" w14:paraId="16E43E45" w14:textId="77777777" w:rsidTr="002E7999">
        <w:tc>
          <w:tcPr>
            <w:tcW w:w="1606" w:type="dxa"/>
          </w:tcPr>
          <w:p w14:paraId="5D02BE33" w14:textId="77777777" w:rsidR="002E7999" w:rsidRPr="008E0D2F" w:rsidRDefault="002E7999" w:rsidP="002E7999">
            <w:pPr>
              <w:rPr>
                <w:b/>
                <w:sz w:val="20"/>
                <w:szCs w:val="20"/>
              </w:rPr>
            </w:pPr>
            <w:r w:rsidRPr="008E0D2F">
              <w:rPr>
                <w:b/>
                <w:sz w:val="20"/>
                <w:szCs w:val="20"/>
              </w:rPr>
              <w:t>March 2019</w:t>
            </w:r>
          </w:p>
        </w:tc>
        <w:tc>
          <w:tcPr>
            <w:tcW w:w="4279" w:type="dxa"/>
          </w:tcPr>
          <w:p w14:paraId="4D479AD8" w14:textId="77777777" w:rsidR="002E7999" w:rsidRPr="008E0D2F" w:rsidRDefault="002E7999" w:rsidP="005056E0">
            <w:pPr>
              <w:pStyle w:val="ListParagraph"/>
              <w:keepNext/>
              <w:keepLines/>
              <w:numPr>
                <w:ilvl w:val="0"/>
                <w:numId w:val="7"/>
              </w:numPr>
              <w:contextualSpacing/>
              <w:rPr>
                <w:sz w:val="20"/>
                <w:lang w:val="en-AU"/>
              </w:rPr>
            </w:pPr>
            <w:r w:rsidRPr="008E0D2F">
              <w:rPr>
                <w:sz w:val="20"/>
                <w:lang w:val="en-AU"/>
              </w:rPr>
              <w:t>Invitation to participate in Carpentry and Joinery qualification workshops</w:t>
            </w:r>
            <w:r w:rsidRPr="008E0D2F">
              <w:rPr>
                <w:sz w:val="20"/>
              </w:rPr>
              <w:t xml:space="preserve"> sent to stakeholders</w:t>
            </w:r>
          </w:p>
          <w:p w14:paraId="4F0C3506" w14:textId="77777777" w:rsidR="002E7999" w:rsidRPr="008E0D2F" w:rsidRDefault="002E7999" w:rsidP="002E7999">
            <w:pPr>
              <w:pStyle w:val="ListParagraph"/>
              <w:ind w:left="360"/>
              <w:rPr>
                <w:sz w:val="20"/>
                <w:lang w:val="en-AU"/>
              </w:rPr>
            </w:pPr>
          </w:p>
        </w:tc>
        <w:tc>
          <w:tcPr>
            <w:tcW w:w="3131" w:type="dxa"/>
          </w:tcPr>
          <w:p w14:paraId="225AF7E1" w14:textId="77777777" w:rsidR="002E7999" w:rsidRPr="008E0D2F" w:rsidRDefault="002E7999" w:rsidP="002E7999">
            <w:pPr>
              <w:rPr>
                <w:sz w:val="20"/>
                <w:szCs w:val="20"/>
              </w:rPr>
            </w:pPr>
            <w:r w:rsidRPr="008E0D2F">
              <w:rPr>
                <w:sz w:val="20"/>
                <w:szCs w:val="20"/>
              </w:rPr>
              <w:t>253 subscribers</w:t>
            </w:r>
          </w:p>
        </w:tc>
      </w:tr>
      <w:tr w:rsidR="002E7999" w14:paraId="7605B00B" w14:textId="77777777" w:rsidTr="002E7999">
        <w:tc>
          <w:tcPr>
            <w:tcW w:w="1606" w:type="dxa"/>
          </w:tcPr>
          <w:p w14:paraId="4D359423" w14:textId="77777777" w:rsidR="002E7999" w:rsidRPr="008E0D2F" w:rsidRDefault="002E7999" w:rsidP="002E7999">
            <w:pPr>
              <w:rPr>
                <w:b/>
                <w:sz w:val="20"/>
                <w:szCs w:val="20"/>
              </w:rPr>
            </w:pPr>
            <w:r w:rsidRPr="008E0D2F">
              <w:rPr>
                <w:b/>
                <w:sz w:val="20"/>
                <w:szCs w:val="20"/>
              </w:rPr>
              <w:t>March 2019</w:t>
            </w:r>
          </w:p>
        </w:tc>
        <w:tc>
          <w:tcPr>
            <w:tcW w:w="4279" w:type="dxa"/>
          </w:tcPr>
          <w:p w14:paraId="1B80EFF6" w14:textId="77777777" w:rsidR="002E7999" w:rsidRPr="008E0D2F" w:rsidRDefault="002E7999" w:rsidP="002E7999">
            <w:pPr>
              <w:rPr>
                <w:sz w:val="20"/>
                <w:szCs w:val="20"/>
              </w:rPr>
            </w:pPr>
            <w:r w:rsidRPr="008E0D2F">
              <w:rPr>
                <w:sz w:val="20"/>
                <w:szCs w:val="20"/>
              </w:rPr>
              <w:t>Industry stakeholder workshops</w:t>
            </w:r>
          </w:p>
        </w:tc>
        <w:tc>
          <w:tcPr>
            <w:tcW w:w="3131" w:type="dxa"/>
          </w:tcPr>
          <w:p w14:paraId="3C8283C3" w14:textId="77777777" w:rsidR="002E7999" w:rsidRPr="008E0D2F" w:rsidRDefault="002E7999" w:rsidP="002E7999">
            <w:pPr>
              <w:rPr>
                <w:sz w:val="20"/>
                <w:szCs w:val="20"/>
              </w:rPr>
            </w:pPr>
            <w:r w:rsidRPr="008E0D2F">
              <w:rPr>
                <w:sz w:val="20"/>
                <w:szCs w:val="20"/>
              </w:rPr>
              <w:t>60 participants</w:t>
            </w:r>
          </w:p>
        </w:tc>
      </w:tr>
      <w:tr w:rsidR="002E7999" w14:paraId="40A6C402" w14:textId="77777777" w:rsidTr="002E7999">
        <w:tc>
          <w:tcPr>
            <w:tcW w:w="1606" w:type="dxa"/>
          </w:tcPr>
          <w:p w14:paraId="533F9EE4" w14:textId="77777777" w:rsidR="002E7999" w:rsidRPr="008E0D2F" w:rsidRDefault="002E7999" w:rsidP="002E7999">
            <w:pPr>
              <w:rPr>
                <w:b/>
                <w:sz w:val="20"/>
                <w:szCs w:val="20"/>
              </w:rPr>
            </w:pPr>
            <w:r w:rsidRPr="008E0D2F">
              <w:rPr>
                <w:b/>
                <w:sz w:val="20"/>
                <w:szCs w:val="20"/>
              </w:rPr>
              <w:t>April 2019</w:t>
            </w:r>
          </w:p>
        </w:tc>
        <w:tc>
          <w:tcPr>
            <w:tcW w:w="4279" w:type="dxa"/>
          </w:tcPr>
          <w:p w14:paraId="4ABF6546" w14:textId="77777777" w:rsidR="002E7999" w:rsidRPr="008E0D2F" w:rsidRDefault="002E7999" w:rsidP="002E7999">
            <w:pPr>
              <w:rPr>
                <w:sz w:val="20"/>
                <w:szCs w:val="20"/>
              </w:rPr>
            </w:pPr>
            <w:r w:rsidRPr="008E0D2F">
              <w:rPr>
                <w:sz w:val="20"/>
                <w:szCs w:val="20"/>
              </w:rPr>
              <w:t>General newsletter: Project Validation April 2019</w:t>
            </w:r>
          </w:p>
        </w:tc>
        <w:tc>
          <w:tcPr>
            <w:tcW w:w="3131" w:type="dxa"/>
          </w:tcPr>
          <w:p w14:paraId="2B9CFD1B" w14:textId="77777777" w:rsidR="002E7999" w:rsidRPr="008E0D2F" w:rsidRDefault="002E7999" w:rsidP="002E7999">
            <w:pPr>
              <w:rPr>
                <w:sz w:val="20"/>
                <w:szCs w:val="20"/>
              </w:rPr>
            </w:pPr>
            <w:r w:rsidRPr="008E0D2F">
              <w:rPr>
                <w:sz w:val="20"/>
                <w:szCs w:val="20"/>
              </w:rPr>
              <w:t>3,975 subscribers</w:t>
            </w:r>
          </w:p>
        </w:tc>
      </w:tr>
      <w:tr w:rsidR="002E7999" w14:paraId="103057D4" w14:textId="77777777" w:rsidTr="002E7999">
        <w:tc>
          <w:tcPr>
            <w:tcW w:w="1606" w:type="dxa"/>
          </w:tcPr>
          <w:p w14:paraId="58BA5A57" w14:textId="77777777" w:rsidR="002E7999" w:rsidRPr="008E0D2F" w:rsidRDefault="002E7999" w:rsidP="002E7999">
            <w:pPr>
              <w:rPr>
                <w:b/>
                <w:sz w:val="20"/>
                <w:szCs w:val="20"/>
              </w:rPr>
            </w:pPr>
            <w:r w:rsidRPr="008E0D2F">
              <w:rPr>
                <w:b/>
                <w:sz w:val="20"/>
                <w:szCs w:val="20"/>
              </w:rPr>
              <w:t>April 2019</w:t>
            </w:r>
          </w:p>
        </w:tc>
        <w:tc>
          <w:tcPr>
            <w:tcW w:w="4279" w:type="dxa"/>
          </w:tcPr>
          <w:p w14:paraId="00289EBD" w14:textId="77777777" w:rsidR="002E7999" w:rsidRPr="008E0D2F" w:rsidRDefault="002E7999" w:rsidP="002E7999">
            <w:pPr>
              <w:rPr>
                <w:sz w:val="20"/>
                <w:szCs w:val="20"/>
              </w:rPr>
            </w:pPr>
            <w:r w:rsidRPr="008E0D2F">
              <w:rPr>
                <w:sz w:val="20"/>
                <w:szCs w:val="20"/>
              </w:rPr>
              <w:t xml:space="preserve">Revised </w:t>
            </w:r>
            <w:r>
              <w:rPr>
                <w:sz w:val="20"/>
                <w:szCs w:val="20"/>
              </w:rPr>
              <w:t>unanimous</w:t>
            </w:r>
            <w:r w:rsidRPr="008E0D2F">
              <w:rPr>
                <w:sz w:val="20"/>
                <w:szCs w:val="20"/>
              </w:rPr>
              <w:t xml:space="preserve"> decision of the Construction, Plumbing and Services IRC that the unit </w:t>
            </w:r>
            <w:r w:rsidRPr="008E0D2F">
              <w:rPr>
                <w:i/>
                <w:sz w:val="20"/>
                <w:szCs w:val="20"/>
              </w:rPr>
              <w:t>CPCCWHS1001 Prepare to work safely in the construction industry</w:t>
            </w:r>
            <w:r w:rsidRPr="008E0D2F">
              <w:rPr>
                <w:sz w:val="20"/>
                <w:szCs w:val="20"/>
              </w:rPr>
              <w:t xml:space="preserve"> be an entry requirement of all CPC AQF I-III qualifications.</w:t>
            </w:r>
          </w:p>
        </w:tc>
        <w:tc>
          <w:tcPr>
            <w:tcW w:w="3131" w:type="dxa"/>
          </w:tcPr>
          <w:p w14:paraId="315E780D" w14:textId="77777777" w:rsidR="002E7999" w:rsidRPr="008E0D2F" w:rsidRDefault="002E7999" w:rsidP="002E7999">
            <w:pPr>
              <w:rPr>
                <w:sz w:val="20"/>
                <w:szCs w:val="20"/>
              </w:rPr>
            </w:pPr>
          </w:p>
        </w:tc>
      </w:tr>
      <w:tr w:rsidR="002E7999" w14:paraId="3CB97A76" w14:textId="77777777" w:rsidTr="002E7999">
        <w:tc>
          <w:tcPr>
            <w:tcW w:w="1606" w:type="dxa"/>
          </w:tcPr>
          <w:p w14:paraId="29A61E5C" w14:textId="77777777" w:rsidR="002E7999" w:rsidRPr="008E0D2F" w:rsidRDefault="002E7999" w:rsidP="002E7999">
            <w:pPr>
              <w:rPr>
                <w:b/>
                <w:sz w:val="20"/>
                <w:szCs w:val="20"/>
              </w:rPr>
            </w:pPr>
            <w:r w:rsidRPr="008E0D2F">
              <w:rPr>
                <w:b/>
                <w:sz w:val="20"/>
                <w:szCs w:val="20"/>
              </w:rPr>
              <w:t>April – May 2019</w:t>
            </w:r>
          </w:p>
        </w:tc>
        <w:tc>
          <w:tcPr>
            <w:tcW w:w="4279" w:type="dxa"/>
          </w:tcPr>
          <w:p w14:paraId="64E767B1" w14:textId="77777777" w:rsidR="002E7999" w:rsidRPr="008E0D2F" w:rsidRDefault="002E7999" w:rsidP="002E7999">
            <w:pPr>
              <w:rPr>
                <w:sz w:val="20"/>
                <w:szCs w:val="20"/>
              </w:rPr>
            </w:pPr>
            <w:r w:rsidRPr="008E0D2F">
              <w:rPr>
                <w:sz w:val="20"/>
                <w:szCs w:val="20"/>
              </w:rPr>
              <w:t>Final survey (Draft pack 3)</w:t>
            </w:r>
          </w:p>
        </w:tc>
        <w:tc>
          <w:tcPr>
            <w:tcW w:w="3131" w:type="dxa"/>
          </w:tcPr>
          <w:p w14:paraId="1C81DAF4" w14:textId="77777777" w:rsidR="002E7999" w:rsidRPr="008E0D2F" w:rsidRDefault="002E7999" w:rsidP="002E7999">
            <w:pPr>
              <w:rPr>
                <w:sz w:val="20"/>
                <w:szCs w:val="20"/>
              </w:rPr>
            </w:pPr>
            <w:r w:rsidRPr="008E0D2F">
              <w:rPr>
                <w:sz w:val="20"/>
                <w:szCs w:val="20"/>
              </w:rPr>
              <w:t>13 responses</w:t>
            </w:r>
          </w:p>
        </w:tc>
      </w:tr>
      <w:tr w:rsidR="002E7999" w14:paraId="75749A97" w14:textId="77777777" w:rsidTr="002E7999">
        <w:tc>
          <w:tcPr>
            <w:tcW w:w="1606" w:type="dxa"/>
          </w:tcPr>
          <w:p w14:paraId="329BE712" w14:textId="77777777" w:rsidR="002E7999" w:rsidRPr="008E0D2F" w:rsidRDefault="002E7999" w:rsidP="002E7999">
            <w:pPr>
              <w:rPr>
                <w:b/>
                <w:sz w:val="20"/>
                <w:szCs w:val="20"/>
              </w:rPr>
            </w:pPr>
            <w:r w:rsidRPr="008E0D2F">
              <w:rPr>
                <w:b/>
                <w:sz w:val="20"/>
                <w:szCs w:val="20"/>
              </w:rPr>
              <w:t>June 2019</w:t>
            </w:r>
          </w:p>
        </w:tc>
        <w:tc>
          <w:tcPr>
            <w:tcW w:w="4279" w:type="dxa"/>
          </w:tcPr>
          <w:p w14:paraId="21FC6E17" w14:textId="77777777" w:rsidR="002E7999" w:rsidRPr="008E0D2F" w:rsidRDefault="002E7999" w:rsidP="002E7999">
            <w:pPr>
              <w:rPr>
                <w:sz w:val="20"/>
                <w:szCs w:val="20"/>
              </w:rPr>
            </w:pPr>
            <w:r w:rsidRPr="008E0D2F">
              <w:rPr>
                <w:sz w:val="20"/>
                <w:szCs w:val="20"/>
              </w:rPr>
              <w:t>IRC sign-off support for the project</w:t>
            </w:r>
          </w:p>
        </w:tc>
        <w:tc>
          <w:tcPr>
            <w:tcW w:w="3131" w:type="dxa"/>
          </w:tcPr>
          <w:p w14:paraId="6C1825F2" w14:textId="77777777" w:rsidR="002E7999" w:rsidRPr="008E0D2F" w:rsidRDefault="002E7999" w:rsidP="002E7999">
            <w:pPr>
              <w:rPr>
                <w:sz w:val="20"/>
                <w:szCs w:val="20"/>
              </w:rPr>
            </w:pPr>
          </w:p>
        </w:tc>
      </w:tr>
    </w:tbl>
    <w:p w14:paraId="155B7F6E" w14:textId="77777777" w:rsidR="002E7999" w:rsidRDefault="002E7999" w:rsidP="002E7999">
      <w:pPr>
        <w:rPr>
          <w:color w:val="FF0000"/>
        </w:rPr>
      </w:pPr>
    </w:p>
    <w:p w14:paraId="72345A14" w14:textId="77777777" w:rsidR="002E7999" w:rsidRDefault="002E7999" w:rsidP="002E7999"/>
    <w:p w14:paraId="5901B69F" w14:textId="77777777" w:rsidR="002E7999" w:rsidRPr="008E0D2F" w:rsidRDefault="002E7999" w:rsidP="002E7999">
      <w:pPr>
        <w:rPr>
          <w:b/>
        </w:rPr>
      </w:pPr>
      <w:r w:rsidRPr="008E0D2F">
        <w:rPr>
          <w:b/>
        </w:rPr>
        <w:t>Prepare to work safely in the construction industry</w:t>
      </w:r>
    </w:p>
    <w:p w14:paraId="31C7D5DE" w14:textId="67286424" w:rsidR="002E7999" w:rsidRPr="00025AC7" w:rsidRDefault="002E7999" w:rsidP="002E7999">
      <w:r>
        <w:t xml:space="preserve">This project was impacted by a unanimous decision of the Construction, Plumbing and Services IRC in April 2019 to include the unit </w:t>
      </w:r>
      <w:r w:rsidRPr="00025AC7">
        <w:rPr>
          <w:i/>
        </w:rPr>
        <w:t>CPCCWHS1001 Prepare to work safely in the construction industry</w:t>
      </w:r>
      <w:r>
        <w:t xml:space="preserve"> as an entry requirement for all CPC AQF I-III qualifications. The rationale for this decision is that the unit covers vital safety skills and knowledge required for all workers in the industry. All TAGs were informed of this change and the qualifications in the Carpentry and Joinery project were amended to include the </w:t>
      </w:r>
      <w:r w:rsidRPr="00025AC7">
        <w:rPr>
          <w:i/>
        </w:rPr>
        <w:t>CPCCWHS1001 Prepare to work safely in the construction industry</w:t>
      </w:r>
      <w:r>
        <w:rPr>
          <w:i/>
        </w:rPr>
        <w:t xml:space="preserve"> </w:t>
      </w:r>
      <w:r>
        <w:t xml:space="preserve">as an entry requirement. </w:t>
      </w:r>
    </w:p>
    <w:p w14:paraId="5A6472E6" w14:textId="77777777" w:rsidR="002E7999" w:rsidRDefault="002E7999" w:rsidP="002E7999"/>
    <w:p w14:paraId="5A98C5CF" w14:textId="77777777" w:rsidR="002E7999" w:rsidRPr="00FA31CC" w:rsidRDefault="002E7999" w:rsidP="002E7999">
      <w:pPr>
        <w:keepNext/>
        <w:rPr>
          <w:b/>
          <w:bCs/>
        </w:rPr>
      </w:pPr>
      <w:r w:rsidRPr="00FA31CC">
        <w:rPr>
          <w:b/>
          <w:bCs/>
        </w:rPr>
        <w:t xml:space="preserve">Project </w:t>
      </w:r>
      <w:r>
        <w:rPr>
          <w:b/>
          <w:bCs/>
        </w:rPr>
        <w:t xml:space="preserve">Stakeholder Engagement and Consultation </w:t>
      </w:r>
      <w:r w:rsidRPr="00FA31CC">
        <w:rPr>
          <w:b/>
          <w:bCs/>
        </w:rPr>
        <w:t>Opportunities</w:t>
      </w:r>
      <w:r>
        <w:rPr>
          <w:b/>
          <w:bCs/>
        </w:rPr>
        <w:t xml:space="preserve"> and Uptake</w:t>
      </w:r>
    </w:p>
    <w:p w14:paraId="31E97163" w14:textId="77777777" w:rsidR="002E7999" w:rsidRDefault="002E7999" w:rsidP="002E7999">
      <w:pPr>
        <w:keepNext/>
      </w:pPr>
      <w:r>
        <w:t xml:space="preserve">This section describes the strategies used to promote the project to industry and key stakeholders, the specific methods used to gather and analyse feedback, and how the Technical Advisory Group made informed decisions to ensure the qualifications were fit to meet the current and future needs of industry and key stakeholders.  </w:t>
      </w:r>
    </w:p>
    <w:p w14:paraId="63AFBEFA" w14:textId="77777777" w:rsidR="002E7999" w:rsidRDefault="002E7999" w:rsidP="002E7999">
      <w:pPr>
        <w:keepNext/>
      </w:pPr>
    </w:p>
    <w:p w14:paraId="683E58C1" w14:textId="77777777" w:rsidR="002E7999" w:rsidRDefault="002E7999" w:rsidP="002E7999">
      <w:pPr>
        <w:pStyle w:val="ArtibusCfE2"/>
        <w:spacing w:before="0"/>
      </w:pPr>
      <w:r>
        <w:t xml:space="preserve">Project page </w:t>
      </w:r>
    </w:p>
    <w:p w14:paraId="3ADFDF72" w14:textId="77777777" w:rsidR="002E7999" w:rsidRDefault="002E7999" w:rsidP="002E7999">
      <w:pPr>
        <w:rPr>
          <w:color w:val="000000" w:themeColor="text1"/>
        </w:rPr>
      </w:pPr>
      <w:r w:rsidRPr="00E75A6C">
        <w:rPr>
          <w:color w:val="000000" w:themeColor="text1"/>
        </w:rPr>
        <w:t>In July 2017 a project page was developed on the Artibus Innovation website. The project page provided industry stakeholders with information on</w:t>
      </w:r>
      <w:r w:rsidRPr="00EB0F20">
        <w:rPr>
          <w:color w:val="000000" w:themeColor="text1"/>
        </w:rPr>
        <w:t xml:space="preserve"> </w:t>
      </w:r>
      <w:r w:rsidRPr="00E75A6C">
        <w:rPr>
          <w:color w:val="000000" w:themeColor="text1"/>
        </w:rPr>
        <w:t>the status of the project and opportunities to provide input on the components</w:t>
      </w:r>
      <w:r>
        <w:rPr>
          <w:color w:val="000000" w:themeColor="text1"/>
        </w:rPr>
        <w:t>, including:</w:t>
      </w:r>
    </w:p>
    <w:p w14:paraId="398BF181" w14:textId="77777777" w:rsidR="002E7999" w:rsidRDefault="002E7999" w:rsidP="005056E0">
      <w:pPr>
        <w:pStyle w:val="ListParagraph"/>
        <w:keepNext/>
        <w:keepLines/>
        <w:widowControl/>
        <w:numPr>
          <w:ilvl w:val="0"/>
          <w:numId w:val="9"/>
        </w:numPr>
        <w:autoSpaceDE/>
        <w:autoSpaceDN/>
        <w:contextualSpacing/>
        <w:rPr>
          <w:color w:val="000000" w:themeColor="text1"/>
        </w:rPr>
      </w:pPr>
      <w:r>
        <w:rPr>
          <w:color w:val="000000" w:themeColor="text1"/>
        </w:rPr>
        <w:t>TAG nominations</w:t>
      </w:r>
    </w:p>
    <w:p w14:paraId="48BCBA94" w14:textId="77777777" w:rsidR="002E7999" w:rsidRDefault="002E7999" w:rsidP="005056E0">
      <w:pPr>
        <w:pStyle w:val="ListParagraph"/>
        <w:keepNext/>
        <w:keepLines/>
        <w:widowControl/>
        <w:numPr>
          <w:ilvl w:val="0"/>
          <w:numId w:val="9"/>
        </w:numPr>
        <w:autoSpaceDE/>
        <w:autoSpaceDN/>
        <w:contextualSpacing/>
        <w:rPr>
          <w:color w:val="000000" w:themeColor="text1"/>
        </w:rPr>
      </w:pPr>
      <w:r w:rsidRPr="00E75A6C">
        <w:rPr>
          <w:color w:val="000000" w:themeColor="text1"/>
        </w:rPr>
        <w:t>national forums</w:t>
      </w:r>
      <w:r>
        <w:rPr>
          <w:color w:val="000000" w:themeColor="text1"/>
        </w:rPr>
        <w:t xml:space="preserve"> held in each state and territory</w:t>
      </w:r>
    </w:p>
    <w:p w14:paraId="0B4E9C02" w14:textId="77777777" w:rsidR="002E7999" w:rsidRDefault="002E7999" w:rsidP="005056E0">
      <w:pPr>
        <w:pStyle w:val="ListParagraph"/>
        <w:keepNext/>
        <w:keepLines/>
        <w:widowControl/>
        <w:numPr>
          <w:ilvl w:val="0"/>
          <w:numId w:val="9"/>
        </w:numPr>
        <w:autoSpaceDE/>
        <w:autoSpaceDN/>
        <w:contextualSpacing/>
        <w:rPr>
          <w:color w:val="000000" w:themeColor="text1"/>
        </w:rPr>
      </w:pPr>
      <w:r>
        <w:rPr>
          <w:color w:val="000000" w:themeColor="text1"/>
        </w:rPr>
        <w:t>online nationwide surveys</w:t>
      </w:r>
    </w:p>
    <w:p w14:paraId="61C39CD7" w14:textId="77777777" w:rsidR="002E7999" w:rsidRDefault="002E7999" w:rsidP="002E7999">
      <w:pPr>
        <w:rPr>
          <w:color w:val="000000" w:themeColor="text1"/>
        </w:rPr>
      </w:pPr>
    </w:p>
    <w:p w14:paraId="2864D313" w14:textId="140D61D8" w:rsidR="002E7999" w:rsidRPr="00EB0F20" w:rsidRDefault="002E7999" w:rsidP="002E7999">
      <w:pPr>
        <w:rPr>
          <w:color w:val="000000" w:themeColor="text1"/>
        </w:rPr>
      </w:pPr>
      <w:r w:rsidRPr="00EB0F20">
        <w:rPr>
          <w:color w:val="000000" w:themeColor="text1"/>
        </w:rPr>
        <w:t>It was frequently updated throughout the duration of the project</w:t>
      </w:r>
      <w:r>
        <w:rPr>
          <w:color w:val="000000" w:themeColor="text1"/>
        </w:rPr>
        <w:t>. This page had 2083 visitors</w:t>
      </w:r>
      <w:r w:rsidR="00FA5F11">
        <w:rPr>
          <w:color w:val="000000" w:themeColor="text1"/>
        </w:rPr>
        <w:t>.</w:t>
      </w:r>
    </w:p>
    <w:p w14:paraId="3F025A1E" w14:textId="77777777" w:rsidR="002E7999" w:rsidRDefault="002E7999" w:rsidP="002E7999">
      <w:pPr>
        <w:rPr>
          <w:color w:val="000000" w:themeColor="text1"/>
        </w:rPr>
      </w:pPr>
    </w:p>
    <w:p w14:paraId="5D105A81" w14:textId="77777777" w:rsidR="002E7999" w:rsidRDefault="002E7999" w:rsidP="002E7999"/>
    <w:p w14:paraId="576CFD53" w14:textId="77777777" w:rsidR="002E7999" w:rsidRDefault="002E7999" w:rsidP="002E7999">
      <w:pPr>
        <w:pStyle w:val="ArtibusCfE2"/>
        <w:spacing w:before="0"/>
      </w:pPr>
      <w:r>
        <w:t xml:space="preserve">Technical Advisory Group (TAG) </w:t>
      </w:r>
    </w:p>
    <w:p w14:paraId="0B3F39AA" w14:textId="77777777" w:rsidR="002E7999" w:rsidRDefault="002E7999" w:rsidP="002E7999">
      <w:pPr>
        <w:spacing w:before="120" w:after="120"/>
      </w:pPr>
      <w:r>
        <w:t xml:space="preserve">The Construction, Plumbing and Services IRC endorsed the establishment of a TAG to provide strategic input on, and oversight of, the review of the training package components throughout the project. Nominations for the formation of the TAG were published on the project page. </w:t>
      </w:r>
    </w:p>
    <w:p w14:paraId="1393E070" w14:textId="77777777" w:rsidR="002E7999" w:rsidRDefault="002E7999" w:rsidP="002E7999">
      <w:pPr>
        <w:spacing w:before="120" w:after="120"/>
        <w:rPr>
          <w:color w:val="4F81BD" w:themeColor="accent1"/>
        </w:rPr>
      </w:pPr>
      <w:r>
        <w:t xml:space="preserve">TAG membership included representatives from: </w:t>
      </w:r>
      <w:r w:rsidRPr="004E7BBE">
        <w:rPr>
          <w:color w:val="4F81BD" w:themeColor="accent1"/>
        </w:rPr>
        <w:t xml:space="preserve"> </w:t>
      </w:r>
    </w:p>
    <w:p w14:paraId="2B15EC93" w14:textId="77777777" w:rsidR="002E7999" w:rsidRDefault="002E7999" w:rsidP="005056E0">
      <w:pPr>
        <w:pStyle w:val="ListParagraph"/>
        <w:keepNext/>
        <w:keepLines/>
        <w:widowControl/>
        <w:numPr>
          <w:ilvl w:val="0"/>
          <w:numId w:val="9"/>
        </w:numPr>
        <w:autoSpaceDE/>
        <w:autoSpaceDN/>
        <w:spacing w:before="120" w:after="120"/>
        <w:contextualSpacing/>
      </w:pPr>
      <w:r>
        <w:t>employers and business, including:</w:t>
      </w:r>
    </w:p>
    <w:p w14:paraId="03218C9C" w14:textId="77777777" w:rsidR="002E7999" w:rsidRDefault="002E7999" w:rsidP="005056E0">
      <w:pPr>
        <w:pStyle w:val="ListParagraph"/>
        <w:keepNext/>
        <w:keepLines/>
        <w:widowControl/>
        <w:numPr>
          <w:ilvl w:val="1"/>
          <w:numId w:val="9"/>
        </w:numPr>
        <w:autoSpaceDE/>
        <w:autoSpaceDN/>
        <w:spacing w:before="120" w:after="120"/>
        <w:contextualSpacing/>
      </w:pPr>
      <w:r>
        <w:t xml:space="preserve">a small home builder, Fernbrooke Homes, </w:t>
      </w:r>
    </w:p>
    <w:p w14:paraId="391C01E8" w14:textId="77777777" w:rsidR="002E7999" w:rsidRDefault="002E7999" w:rsidP="005056E0">
      <w:pPr>
        <w:pStyle w:val="ListParagraph"/>
        <w:keepNext/>
        <w:keepLines/>
        <w:widowControl/>
        <w:numPr>
          <w:ilvl w:val="1"/>
          <w:numId w:val="9"/>
        </w:numPr>
        <w:autoSpaceDE/>
        <w:autoSpaceDN/>
        <w:spacing w:before="120" w:after="120"/>
        <w:contextualSpacing/>
      </w:pPr>
      <w:r>
        <w:t xml:space="preserve">a medium builder, Mead Construction, and </w:t>
      </w:r>
    </w:p>
    <w:p w14:paraId="0281F4D5" w14:textId="77777777" w:rsidR="002E7999" w:rsidRDefault="002E7999" w:rsidP="005056E0">
      <w:pPr>
        <w:pStyle w:val="ListParagraph"/>
        <w:keepNext/>
        <w:keepLines/>
        <w:widowControl/>
        <w:numPr>
          <w:ilvl w:val="1"/>
          <w:numId w:val="9"/>
        </w:numPr>
        <w:autoSpaceDE/>
        <w:autoSpaceDN/>
        <w:spacing w:before="120" w:after="120"/>
        <w:contextualSpacing/>
      </w:pPr>
      <w:r>
        <w:t>a large construction business, Hutchinson Builders, one of Australia’s largest privately-owned construction companies operating nationally</w:t>
      </w:r>
    </w:p>
    <w:p w14:paraId="4E9A47CD" w14:textId="77777777" w:rsidR="002E7999" w:rsidRDefault="002E7999" w:rsidP="005056E0">
      <w:pPr>
        <w:pStyle w:val="ListParagraph"/>
        <w:keepNext/>
        <w:keepLines/>
        <w:widowControl/>
        <w:numPr>
          <w:ilvl w:val="0"/>
          <w:numId w:val="9"/>
        </w:numPr>
        <w:autoSpaceDE/>
        <w:autoSpaceDN/>
        <w:spacing w:before="120" w:after="120"/>
        <w:contextualSpacing/>
      </w:pPr>
      <w:r>
        <w:t xml:space="preserve">employees through the </w:t>
      </w:r>
      <w:r w:rsidRPr="00212529">
        <w:t>Construction, Forestry, Maritime, Mining and Energy Union</w:t>
      </w:r>
      <w:r>
        <w:t xml:space="preserve"> (CFMMEU)</w:t>
      </w:r>
    </w:p>
    <w:p w14:paraId="0FC154B3" w14:textId="77777777" w:rsidR="002E7999" w:rsidRDefault="002E7999" w:rsidP="005056E0">
      <w:pPr>
        <w:pStyle w:val="ListParagraph"/>
        <w:keepNext/>
        <w:keepLines/>
        <w:widowControl/>
        <w:numPr>
          <w:ilvl w:val="0"/>
          <w:numId w:val="9"/>
        </w:numPr>
        <w:autoSpaceDE/>
        <w:autoSpaceDN/>
        <w:spacing w:before="120" w:after="120"/>
        <w:contextualSpacing/>
      </w:pPr>
      <w:r>
        <w:t>industry associations through the Master Builders of Queensland</w:t>
      </w:r>
    </w:p>
    <w:p w14:paraId="06DB1D9D" w14:textId="77777777" w:rsidR="002E7999" w:rsidRDefault="002E7999" w:rsidP="005056E0">
      <w:pPr>
        <w:pStyle w:val="ListParagraph"/>
        <w:keepNext/>
        <w:keepLines/>
        <w:widowControl/>
        <w:numPr>
          <w:ilvl w:val="0"/>
          <w:numId w:val="9"/>
        </w:numPr>
        <w:autoSpaceDE/>
        <w:autoSpaceDN/>
        <w:spacing w:before="120" w:after="120"/>
        <w:contextualSpacing/>
      </w:pPr>
      <w:r>
        <w:t>training providers, including TAFE and enterprise RTOs</w:t>
      </w:r>
      <w:r w:rsidRPr="00FF6EB0">
        <w:t xml:space="preserve"> </w:t>
      </w:r>
      <w:r>
        <w:t>and teaching staff from the Department of Education of Victoria</w:t>
      </w:r>
    </w:p>
    <w:p w14:paraId="1F0BC78F" w14:textId="77777777" w:rsidR="002E7999" w:rsidRDefault="002E7999" w:rsidP="005056E0">
      <w:pPr>
        <w:pStyle w:val="ListParagraph"/>
        <w:keepNext/>
        <w:keepLines/>
        <w:widowControl/>
        <w:numPr>
          <w:ilvl w:val="0"/>
          <w:numId w:val="9"/>
        </w:numPr>
        <w:autoSpaceDE/>
        <w:autoSpaceDN/>
        <w:spacing w:before="120" w:after="120"/>
        <w:contextualSpacing/>
      </w:pPr>
      <w:r>
        <w:t xml:space="preserve">regulators, through the Construction Training Council of Western Australia. </w:t>
      </w:r>
    </w:p>
    <w:p w14:paraId="21F38348" w14:textId="77777777" w:rsidR="002E7999" w:rsidRDefault="002E7999" w:rsidP="002E7999">
      <w:pPr>
        <w:spacing w:before="120" w:after="120"/>
      </w:pPr>
      <w:r>
        <w:t>The TAG held eight meetings and met in person or by videoconference over the course of the project. They discussed and made unanimous or majority decisions on the following matters:</w:t>
      </w:r>
    </w:p>
    <w:p w14:paraId="16001BD4" w14:textId="77777777" w:rsidR="002E7999" w:rsidRDefault="002E7999" w:rsidP="005056E0">
      <w:pPr>
        <w:pStyle w:val="ListParagraph"/>
        <w:keepNext/>
        <w:keepLines/>
        <w:widowControl/>
        <w:numPr>
          <w:ilvl w:val="0"/>
          <w:numId w:val="9"/>
        </w:numPr>
        <w:autoSpaceDE/>
        <w:autoSpaceDN/>
        <w:spacing w:before="120" w:after="120"/>
        <w:contextualSpacing/>
      </w:pPr>
      <w:r>
        <w:t>the existing training package components and future packaging models</w:t>
      </w:r>
    </w:p>
    <w:p w14:paraId="1D38501C" w14:textId="77777777" w:rsidR="002E7999" w:rsidRDefault="002E7999" w:rsidP="005056E0">
      <w:pPr>
        <w:pStyle w:val="ListParagraph"/>
        <w:keepNext/>
        <w:keepLines/>
        <w:widowControl/>
        <w:numPr>
          <w:ilvl w:val="0"/>
          <w:numId w:val="9"/>
        </w:numPr>
        <w:autoSpaceDE/>
        <w:autoSpaceDN/>
        <w:spacing w:before="120" w:after="120"/>
        <w:contextualSpacing/>
      </w:pPr>
      <w:r>
        <w:t>interpreting divided stakeholder feedback, using their subject-matter expertise</w:t>
      </w:r>
      <w:r w:rsidRPr="003A52B2">
        <w:t xml:space="preserve"> </w:t>
      </w:r>
      <w:r>
        <w:t>and industry knowledge to identify models of best practice</w:t>
      </w:r>
    </w:p>
    <w:p w14:paraId="14660F93" w14:textId="77777777" w:rsidR="002E7999" w:rsidRDefault="002E7999" w:rsidP="005056E0">
      <w:pPr>
        <w:pStyle w:val="ListParagraph"/>
        <w:keepNext/>
        <w:keepLines/>
        <w:widowControl/>
        <w:numPr>
          <w:ilvl w:val="0"/>
          <w:numId w:val="9"/>
        </w:numPr>
        <w:autoSpaceDE/>
        <w:autoSpaceDN/>
        <w:spacing w:before="120" w:after="120"/>
        <w:contextualSpacing/>
      </w:pPr>
      <w:r>
        <w:t>assisting with the development of</w:t>
      </w:r>
      <w:r w:rsidRPr="003A52B2">
        <w:t xml:space="preserve"> draft components</w:t>
      </w:r>
    </w:p>
    <w:p w14:paraId="2A70463B" w14:textId="77777777" w:rsidR="002E7999" w:rsidRDefault="002E7999" w:rsidP="005056E0">
      <w:pPr>
        <w:pStyle w:val="ListParagraph"/>
        <w:keepNext/>
        <w:keepLines/>
        <w:widowControl/>
        <w:numPr>
          <w:ilvl w:val="0"/>
          <w:numId w:val="9"/>
        </w:numPr>
        <w:autoSpaceDE/>
        <w:autoSpaceDN/>
        <w:spacing w:before="120" w:after="120"/>
        <w:contextualSpacing/>
      </w:pPr>
      <w:r>
        <w:t>engaging industry and other stakeholders to provide input into unit development</w:t>
      </w:r>
      <w:r w:rsidRPr="003A52B2">
        <w:t xml:space="preserve">. </w:t>
      </w:r>
    </w:p>
    <w:p w14:paraId="30431861" w14:textId="606F69D8" w:rsidR="002E7999" w:rsidRDefault="002E7999" w:rsidP="002E7999">
      <w:r>
        <w:t xml:space="preserve">TAG meetings are outlined in the following table, including key actions taken to engage industry and stakeholders and how the TAG reached decisions on key project issues. </w:t>
      </w:r>
    </w:p>
    <w:p w14:paraId="2D3C5D29" w14:textId="77777777" w:rsidR="00FA5F11" w:rsidRDefault="00FA5F11" w:rsidP="002E7999"/>
    <w:p w14:paraId="190B1E01" w14:textId="77777777" w:rsidR="002E7999" w:rsidRPr="00F97B58" w:rsidRDefault="002E7999" w:rsidP="002E7999">
      <w:pPr>
        <w:rPr>
          <w:b/>
        </w:rPr>
      </w:pPr>
      <w:r>
        <w:rPr>
          <w:b/>
        </w:rPr>
        <w:t xml:space="preserve">Table 2: </w:t>
      </w:r>
      <w:r w:rsidRPr="00F97B58">
        <w:rPr>
          <w:b/>
        </w:rPr>
        <w:t>TAG Meetings and Actions</w:t>
      </w:r>
    </w:p>
    <w:tbl>
      <w:tblPr>
        <w:tblStyle w:val="TableGrid"/>
        <w:tblW w:w="0" w:type="auto"/>
        <w:tblLook w:val="04A0" w:firstRow="1" w:lastRow="0" w:firstColumn="1" w:lastColumn="0" w:noHBand="0" w:noVBand="1"/>
      </w:tblPr>
      <w:tblGrid>
        <w:gridCol w:w="913"/>
        <w:gridCol w:w="2506"/>
        <w:gridCol w:w="5631"/>
      </w:tblGrid>
      <w:tr w:rsidR="002E7999" w14:paraId="594B456A" w14:textId="77777777" w:rsidTr="002E7999">
        <w:tc>
          <w:tcPr>
            <w:tcW w:w="846" w:type="dxa"/>
            <w:shd w:val="clear" w:color="auto" w:fill="EEECE1" w:themeFill="background2"/>
          </w:tcPr>
          <w:p w14:paraId="5A8ABAE4" w14:textId="77777777" w:rsidR="002E7999" w:rsidRPr="008E0D2F" w:rsidRDefault="002E7999" w:rsidP="002E7999">
            <w:pPr>
              <w:rPr>
                <w:b/>
                <w:sz w:val="20"/>
                <w:szCs w:val="20"/>
              </w:rPr>
            </w:pPr>
            <w:r w:rsidRPr="008E0D2F">
              <w:rPr>
                <w:b/>
                <w:sz w:val="20"/>
                <w:szCs w:val="20"/>
              </w:rPr>
              <w:t>Meeting</w:t>
            </w:r>
          </w:p>
        </w:tc>
        <w:tc>
          <w:tcPr>
            <w:tcW w:w="2516" w:type="dxa"/>
            <w:shd w:val="clear" w:color="auto" w:fill="EEECE1" w:themeFill="background2"/>
          </w:tcPr>
          <w:p w14:paraId="1730B551" w14:textId="77777777" w:rsidR="002E7999" w:rsidRPr="008E0D2F" w:rsidRDefault="002E7999" w:rsidP="002E7999">
            <w:pPr>
              <w:rPr>
                <w:b/>
                <w:sz w:val="20"/>
                <w:szCs w:val="20"/>
              </w:rPr>
            </w:pPr>
            <w:r w:rsidRPr="008E0D2F">
              <w:rPr>
                <w:b/>
                <w:sz w:val="20"/>
                <w:szCs w:val="20"/>
              </w:rPr>
              <w:t>Date</w:t>
            </w:r>
          </w:p>
        </w:tc>
        <w:tc>
          <w:tcPr>
            <w:tcW w:w="5654" w:type="dxa"/>
            <w:shd w:val="clear" w:color="auto" w:fill="EEECE1" w:themeFill="background2"/>
          </w:tcPr>
          <w:p w14:paraId="42A89AE6" w14:textId="77777777" w:rsidR="002E7999" w:rsidRPr="008E0D2F" w:rsidRDefault="002E7999" w:rsidP="002E7999">
            <w:pPr>
              <w:rPr>
                <w:b/>
                <w:sz w:val="20"/>
                <w:szCs w:val="20"/>
              </w:rPr>
            </w:pPr>
            <w:r w:rsidRPr="008E0D2F">
              <w:rPr>
                <w:b/>
                <w:sz w:val="20"/>
                <w:szCs w:val="20"/>
              </w:rPr>
              <w:t>Key actions</w:t>
            </w:r>
          </w:p>
        </w:tc>
      </w:tr>
      <w:tr w:rsidR="002E7999" w14:paraId="348294EA" w14:textId="77777777" w:rsidTr="002E7999">
        <w:tc>
          <w:tcPr>
            <w:tcW w:w="846" w:type="dxa"/>
          </w:tcPr>
          <w:p w14:paraId="37B2E7DF" w14:textId="77777777" w:rsidR="002E7999" w:rsidRPr="008E0D2F" w:rsidRDefault="002E7999" w:rsidP="002E7999">
            <w:pPr>
              <w:rPr>
                <w:color w:val="000000" w:themeColor="text1"/>
                <w:sz w:val="20"/>
                <w:szCs w:val="20"/>
              </w:rPr>
            </w:pPr>
            <w:r w:rsidRPr="008E0D2F">
              <w:rPr>
                <w:color w:val="000000" w:themeColor="text1"/>
                <w:sz w:val="20"/>
                <w:szCs w:val="20"/>
              </w:rPr>
              <w:t>1</w:t>
            </w:r>
          </w:p>
        </w:tc>
        <w:tc>
          <w:tcPr>
            <w:tcW w:w="2516" w:type="dxa"/>
          </w:tcPr>
          <w:p w14:paraId="65763338" w14:textId="77777777" w:rsidR="002E7999" w:rsidRPr="008E0D2F" w:rsidRDefault="002E7999" w:rsidP="002E7999">
            <w:pPr>
              <w:rPr>
                <w:color w:val="000000" w:themeColor="text1"/>
                <w:sz w:val="20"/>
                <w:szCs w:val="20"/>
              </w:rPr>
            </w:pPr>
            <w:r w:rsidRPr="008E0D2F">
              <w:rPr>
                <w:color w:val="000000" w:themeColor="text1"/>
                <w:sz w:val="20"/>
                <w:szCs w:val="20"/>
              </w:rPr>
              <w:t xml:space="preserve">16 May 2018 </w:t>
            </w:r>
          </w:p>
          <w:p w14:paraId="0297EA0D" w14:textId="77777777" w:rsidR="002E7999" w:rsidRPr="008E0D2F" w:rsidRDefault="002E7999" w:rsidP="002E7999">
            <w:pPr>
              <w:rPr>
                <w:color w:val="000000" w:themeColor="text1"/>
                <w:sz w:val="20"/>
                <w:szCs w:val="20"/>
              </w:rPr>
            </w:pPr>
          </w:p>
        </w:tc>
        <w:tc>
          <w:tcPr>
            <w:tcW w:w="5654" w:type="dxa"/>
          </w:tcPr>
          <w:p w14:paraId="18FAAE1F" w14:textId="77777777" w:rsidR="002E7999" w:rsidRPr="008E0D2F" w:rsidRDefault="002E7999" w:rsidP="005056E0">
            <w:pPr>
              <w:pStyle w:val="ListParagraph"/>
              <w:keepNext/>
              <w:keepLines/>
              <w:numPr>
                <w:ilvl w:val="0"/>
                <w:numId w:val="11"/>
              </w:numPr>
              <w:contextualSpacing/>
              <w:rPr>
                <w:color w:val="000000" w:themeColor="text1"/>
                <w:sz w:val="20"/>
              </w:rPr>
            </w:pPr>
            <w:r w:rsidRPr="008E0D2F">
              <w:rPr>
                <w:color w:val="000000" w:themeColor="text1"/>
                <w:sz w:val="20"/>
              </w:rPr>
              <w:t>TAG members advised on how to invite key stakeholders to attend forums</w:t>
            </w:r>
          </w:p>
          <w:p w14:paraId="63F693FC" w14:textId="77777777" w:rsidR="002E7999" w:rsidRPr="008E0D2F" w:rsidRDefault="002E7999" w:rsidP="005056E0">
            <w:pPr>
              <w:pStyle w:val="ListParagraph"/>
              <w:keepNext/>
              <w:keepLines/>
              <w:numPr>
                <w:ilvl w:val="0"/>
                <w:numId w:val="11"/>
              </w:numPr>
              <w:contextualSpacing/>
              <w:rPr>
                <w:color w:val="000000" w:themeColor="text1"/>
                <w:sz w:val="20"/>
              </w:rPr>
            </w:pPr>
            <w:r w:rsidRPr="008E0D2F">
              <w:rPr>
                <w:color w:val="000000" w:themeColor="text1"/>
                <w:sz w:val="20"/>
              </w:rPr>
              <w:t xml:space="preserve">Plan for national forums to be held in each state/territory to offer opportunities for stakeholders to participate in each jurisdiction, with forum feedback provided to the TAG. </w:t>
            </w:r>
          </w:p>
          <w:p w14:paraId="05980849" w14:textId="77777777" w:rsidR="002E7999" w:rsidRPr="008E0D2F" w:rsidRDefault="002E7999" w:rsidP="002E7999">
            <w:pPr>
              <w:rPr>
                <w:color w:val="000000" w:themeColor="text1"/>
                <w:sz w:val="20"/>
                <w:szCs w:val="20"/>
              </w:rPr>
            </w:pPr>
          </w:p>
        </w:tc>
      </w:tr>
      <w:tr w:rsidR="002E7999" w14:paraId="0F3E2BB6" w14:textId="77777777" w:rsidTr="002E7999">
        <w:tc>
          <w:tcPr>
            <w:tcW w:w="846" w:type="dxa"/>
          </w:tcPr>
          <w:p w14:paraId="109797EC" w14:textId="77777777" w:rsidR="002E7999" w:rsidRPr="008E0D2F" w:rsidRDefault="002E7999" w:rsidP="002E7999">
            <w:pPr>
              <w:rPr>
                <w:sz w:val="20"/>
                <w:szCs w:val="20"/>
              </w:rPr>
            </w:pPr>
            <w:r w:rsidRPr="008E0D2F">
              <w:rPr>
                <w:sz w:val="20"/>
                <w:szCs w:val="20"/>
              </w:rPr>
              <w:lastRenderedPageBreak/>
              <w:t>2</w:t>
            </w:r>
          </w:p>
        </w:tc>
        <w:tc>
          <w:tcPr>
            <w:tcW w:w="2516" w:type="dxa"/>
          </w:tcPr>
          <w:p w14:paraId="22ABF414" w14:textId="77777777" w:rsidR="002E7999" w:rsidRPr="008E0D2F" w:rsidRDefault="002E7999" w:rsidP="002E7999">
            <w:pPr>
              <w:rPr>
                <w:sz w:val="20"/>
                <w:szCs w:val="20"/>
              </w:rPr>
            </w:pPr>
            <w:r w:rsidRPr="008E0D2F">
              <w:rPr>
                <w:sz w:val="20"/>
                <w:szCs w:val="20"/>
              </w:rPr>
              <w:t>16 August 2018</w:t>
            </w:r>
          </w:p>
          <w:p w14:paraId="39BF77B6" w14:textId="77777777" w:rsidR="002E7999" w:rsidRPr="008E0D2F" w:rsidRDefault="002E7999" w:rsidP="002E7999">
            <w:pPr>
              <w:rPr>
                <w:sz w:val="20"/>
                <w:szCs w:val="20"/>
              </w:rPr>
            </w:pPr>
          </w:p>
        </w:tc>
        <w:tc>
          <w:tcPr>
            <w:tcW w:w="5654" w:type="dxa"/>
          </w:tcPr>
          <w:p w14:paraId="01604FCC" w14:textId="77777777" w:rsidR="002E7999" w:rsidRPr="008E0D2F" w:rsidRDefault="002E7999" w:rsidP="005056E0">
            <w:pPr>
              <w:pStyle w:val="ListParagraph"/>
              <w:keepNext/>
              <w:keepLines/>
              <w:numPr>
                <w:ilvl w:val="0"/>
                <w:numId w:val="12"/>
              </w:numPr>
              <w:contextualSpacing/>
              <w:rPr>
                <w:sz w:val="20"/>
              </w:rPr>
            </w:pPr>
            <w:r w:rsidRPr="008E0D2F">
              <w:rPr>
                <w:sz w:val="20"/>
              </w:rPr>
              <w:t>Survey and forum results on packaging options presented and considered</w:t>
            </w:r>
          </w:p>
          <w:p w14:paraId="66E1EDF1" w14:textId="77777777" w:rsidR="002E7999" w:rsidRPr="008E0D2F" w:rsidRDefault="002E7999" w:rsidP="005056E0">
            <w:pPr>
              <w:pStyle w:val="ListParagraph"/>
              <w:keepNext/>
              <w:keepLines/>
              <w:numPr>
                <w:ilvl w:val="0"/>
                <w:numId w:val="12"/>
              </w:numPr>
              <w:contextualSpacing/>
              <w:rPr>
                <w:sz w:val="20"/>
              </w:rPr>
            </w:pPr>
            <w:r w:rsidRPr="008E0D2F">
              <w:rPr>
                <w:sz w:val="20"/>
              </w:rPr>
              <w:t>TAG focused on unresolved items</w:t>
            </w:r>
          </w:p>
          <w:p w14:paraId="04723689" w14:textId="77777777" w:rsidR="002E7999" w:rsidRPr="008E0D2F" w:rsidRDefault="002E7999" w:rsidP="005056E0">
            <w:pPr>
              <w:pStyle w:val="ListParagraph"/>
              <w:keepNext/>
              <w:keepLines/>
              <w:numPr>
                <w:ilvl w:val="0"/>
                <w:numId w:val="12"/>
              </w:numPr>
              <w:contextualSpacing/>
              <w:rPr>
                <w:sz w:val="20"/>
              </w:rPr>
            </w:pPr>
            <w:r w:rsidRPr="008E0D2F">
              <w:rPr>
                <w:sz w:val="20"/>
              </w:rPr>
              <w:t>Qualification Packaging rules:</w:t>
            </w:r>
          </w:p>
          <w:p w14:paraId="2CA2C7A3" w14:textId="77777777" w:rsidR="002E7999" w:rsidRPr="008E0D2F" w:rsidRDefault="002E7999" w:rsidP="005056E0">
            <w:pPr>
              <w:pStyle w:val="ListParagraph"/>
              <w:keepNext/>
              <w:keepLines/>
              <w:numPr>
                <w:ilvl w:val="1"/>
                <w:numId w:val="12"/>
              </w:numPr>
              <w:contextualSpacing/>
              <w:rPr>
                <w:sz w:val="20"/>
              </w:rPr>
            </w:pPr>
            <w:r w:rsidRPr="008E0D2F">
              <w:rPr>
                <w:sz w:val="20"/>
              </w:rPr>
              <w:t xml:space="preserve">Survey responses on qualification packaging options were divided by a slim margin (52%/48%). </w:t>
            </w:r>
          </w:p>
          <w:p w14:paraId="7BD195F2" w14:textId="77777777" w:rsidR="002E7999" w:rsidRPr="008E0D2F" w:rsidRDefault="002E7999" w:rsidP="005056E0">
            <w:pPr>
              <w:pStyle w:val="ListParagraph"/>
              <w:keepNext/>
              <w:keepLines/>
              <w:numPr>
                <w:ilvl w:val="1"/>
                <w:numId w:val="12"/>
              </w:numPr>
              <w:contextualSpacing/>
              <w:rPr>
                <w:sz w:val="20"/>
              </w:rPr>
            </w:pPr>
            <w:r w:rsidRPr="008E0D2F">
              <w:rPr>
                <w:sz w:val="20"/>
              </w:rPr>
              <w:t xml:space="preserve">The TAG had robust discussion of the options from all members. </w:t>
            </w:r>
          </w:p>
          <w:p w14:paraId="32726E09" w14:textId="77777777" w:rsidR="002E7999" w:rsidRPr="008E0D2F" w:rsidRDefault="002E7999" w:rsidP="005056E0">
            <w:pPr>
              <w:pStyle w:val="ListParagraph"/>
              <w:keepNext/>
              <w:keepLines/>
              <w:numPr>
                <w:ilvl w:val="1"/>
                <w:numId w:val="12"/>
              </w:numPr>
              <w:contextualSpacing/>
              <w:rPr>
                <w:sz w:val="20"/>
              </w:rPr>
            </w:pPr>
            <w:r w:rsidRPr="008E0D2F">
              <w:rPr>
                <w:sz w:val="20"/>
              </w:rPr>
              <w:t>The core plus a mandatory stream option was unanimously endorsed as providing a better vocational outcome while still offering flexibility</w:t>
            </w:r>
          </w:p>
          <w:p w14:paraId="6AF41254" w14:textId="77777777" w:rsidR="002E7999" w:rsidRPr="008E0D2F" w:rsidRDefault="002E7999" w:rsidP="005056E0">
            <w:pPr>
              <w:pStyle w:val="ListParagraph"/>
              <w:keepNext/>
              <w:keepLines/>
              <w:numPr>
                <w:ilvl w:val="0"/>
                <w:numId w:val="12"/>
              </w:numPr>
              <w:contextualSpacing/>
              <w:rPr>
                <w:sz w:val="20"/>
              </w:rPr>
            </w:pPr>
            <w:r w:rsidRPr="008E0D2F">
              <w:rPr>
                <w:sz w:val="20"/>
              </w:rPr>
              <w:t xml:space="preserve">TAG agreement that Certificate III in Carpentry will contain three streams: </w:t>
            </w:r>
          </w:p>
          <w:p w14:paraId="30701029" w14:textId="77777777" w:rsidR="002E7999" w:rsidRPr="008E0D2F" w:rsidRDefault="002E7999" w:rsidP="005056E0">
            <w:pPr>
              <w:pStyle w:val="ListParagraph"/>
              <w:keepNext/>
              <w:keepLines/>
              <w:numPr>
                <w:ilvl w:val="1"/>
                <w:numId w:val="12"/>
              </w:numPr>
              <w:contextualSpacing/>
              <w:rPr>
                <w:sz w:val="20"/>
              </w:rPr>
            </w:pPr>
            <w:r w:rsidRPr="008E0D2F">
              <w:rPr>
                <w:sz w:val="20"/>
              </w:rPr>
              <w:t>Residential</w:t>
            </w:r>
          </w:p>
          <w:p w14:paraId="5628C13F" w14:textId="77777777" w:rsidR="002E7999" w:rsidRPr="008E0D2F" w:rsidRDefault="002E7999" w:rsidP="005056E0">
            <w:pPr>
              <w:pStyle w:val="ListParagraph"/>
              <w:keepNext/>
              <w:keepLines/>
              <w:numPr>
                <w:ilvl w:val="1"/>
                <w:numId w:val="12"/>
              </w:numPr>
              <w:contextualSpacing/>
              <w:rPr>
                <w:sz w:val="20"/>
              </w:rPr>
            </w:pPr>
            <w:r w:rsidRPr="008E0D2F">
              <w:rPr>
                <w:sz w:val="20"/>
              </w:rPr>
              <w:t xml:space="preserve">Commercial </w:t>
            </w:r>
          </w:p>
          <w:p w14:paraId="748A6B3F" w14:textId="77777777" w:rsidR="002E7999" w:rsidRPr="008E0D2F" w:rsidRDefault="002E7999" w:rsidP="005056E0">
            <w:pPr>
              <w:pStyle w:val="ListParagraph"/>
              <w:keepNext/>
              <w:keepLines/>
              <w:numPr>
                <w:ilvl w:val="1"/>
                <w:numId w:val="12"/>
              </w:numPr>
              <w:contextualSpacing/>
              <w:rPr>
                <w:sz w:val="20"/>
              </w:rPr>
            </w:pPr>
            <w:r w:rsidRPr="008E0D2F">
              <w:rPr>
                <w:sz w:val="20"/>
              </w:rPr>
              <w:t>Form Work</w:t>
            </w:r>
          </w:p>
          <w:p w14:paraId="7D413629" w14:textId="77777777" w:rsidR="002E7999" w:rsidRPr="008E0D2F" w:rsidRDefault="002E7999" w:rsidP="005056E0">
            <w:pPr>
              <w:pStyle w:val="ListParagraph"/>
              <w:keepNext/>
              <w:keepLines/>
              <w:numPr>
                <w:ilvl w:val="0"/>
                <w:numId w:val="12"/>
              </w:numPr>
              <w:contextualSpacing/>
              <w:rPr>
                <w:sz w:val="20"/>
              </w:rPr>
            </w:pPr>
            <w:r w:rsidRPr="008E0D2F">
              <w:rPr>
                <w:sz w:val="20"/>
              </w:rPr>
              <w:t>TAG directed unit development to begin</w:t>
            </w:r>
          </w:p>
          <w:p w14:paraId="49C7C0D9" w14:textId="77777777" w:rsidR="002E7999" w:rsidRPr="008E0D2F" w:rsidRDefault="002E7999" w:rsidP="002E7999">
            <w:pPr>
              <w:pStyle w:val="ListParagraph"/>
              <w:ind w:left="360"/>
              <w:rPr>
                <w:sz w:val="20"/>
              </w:rPr>
            </w:pPr>
          </w:p>
        </w:tc>
      </w:tr>
      <w:tr w:rsidR="002E7999" w14:paraId="2C274E23" w14:textId="77777777" w:rsidTr="002E7999">
        <w:tc>
          <w:tcPr>
            <w:tcW w:w="846" w:type="dxa"/>
          </w:tcPr>
          <w:p w14:paraId="5F1FA7A7" w14:textId="77777777" w:rsidR="002E7999" w:rsidRPr="008E0D2F" w:rsidRDefault="002E7999" w:rsidP="002E7999">
            <w:pPr>
              <w:rPr>
                <w:color w:val="000000" w:themeColor="text1"/>
                <w:sz w:val="20"/>
                <w:szCs w:val="20"/>
              </w:rPr>
            </w:pPr>
            <w:r w:rsidRPr="008E0D2F">
              <w:rPr>
                <w:color w:val="000000" w:themeColor="text1"/>
                <w:sz w:val="20"/>
                <w:szCs w:val="20"/>
              </w:rPr>
              <w:t>3</w:t>
            </w:r>
          </w:p>
        </w:tc>
        <w:tc>
          <w:tcPr>
            <w:tcW w:w="2516" w:type="dxa"/>
          </w:tcPr>
          <w:p w14:paraId="5C6F96E5" w14:textId="77777777" w:rsidR="002E7999" w:rsidRPr="008E0D2F" w:rsidRDefault="002E7999" w:rsidP="002E7999">
            <w:pPr>
              <w:rPr>
                <w:color w:val="000000" w:themeColor="text1"/>
                <w:sz w:val="20"/>
                <w:szCs w:val="20"/>
              </w:rPr>
            </w:pPr>
            <w:r w:rsidRPr="008E0D2F">
              <w:rPr>
                <w:color w:val="000000" w:themeColor="text1"/>
                <w:sz w:val="20"/>
                <w:szCs w:val="20"/>
              </w:rPr>
              <w:t>14 September 2018</w:t>
            </w:r>
          </w:p>
          <w:p w14:paraId="3FFCB83E" w14:textId="77777777" w:rsidR="002E7999" w:rsidRPr="008E0D2F" w:rsidRDefault="002E7999" w:rsidP="002E7999">
            <w:pPr>
              <w:rPr>
                <w:color w:val="000000" w:themeColor="text1"/>
                <w:sz w:val="20"/>
                <w:szCs w:val="20"/>
              </w:rPr>
            </w:pPr>
          </w:p>
        </w:tc>
        <w:tc>
          <w:tcPr>
            <w:tcW w:w="5654" w:type="dxa"/>
          </w:tcPr>
          <w:p w14:paraId="5D34EF53" w14:textId="77777777" w:rsidR="002E7999" w:rsidRPr="008E0D2F" w:rsidRDefault="002E7999" w:rsidP="005056E0">
            <w:pPr>
              <w:pStyle w:val="ListParagraph"/>
              <w:keepNext/>
              <w:keepLines/>
              <w:numPr>
                <w:ilvl w:val="0"/>
                <w:numId w:val="12"/>
              </w:numPr>
              <w:contextualSpacing/>
              <w:rPr>
                <w:color w:val="000000" w:themeColor="text1"/>
                <w:sz w:val="20"/>
              </w:rPr>
            </w:pPr>
            <w:r w:rsidRPr="008E0D2F">
              <w:rPr>
                <w:color w:val="000000" w:themeColor="text1"/>
                <w:sz w:val="20"/>
              </w:rPr>
              <w:t>Finalised the qualification template for the Certificate III in Carpentry, including:</w:t>
            </w:r>
          </w:p>
          <w:p w14:paraId="52CE23F5" w14:textId="77777777" w:rsidR="002E7999" w:rsidRPr="008E0D2F" w:rsidRDefault="002E7999" w:rsidP="005056E0">
            <w:pPr>
              <w:pStyle w:val="ListParagraph"/>
              <w:keepNext/>
              <w:keepLines/>
              <w:numPr>
                <w:ilvl w:val="1"/>
                <w:numId w:val="12"/>
              </w:numPr>
              <w:contextualSpacing/>
              <w:rPr>
                <w:color w:val="000000" w:themeColor="text1"/>
                <w:sz w:val="20"/>
              </w:rPr>
            </w:pPr>
            <w:r w:rsidRPr="008E0D2F">
              <w:rPr>
                <w:color w:val="000000" w:themeColor="text1"/>
                <w:sz w:val="20"/>
              </w:rPr>
              <w:t>Unanimous or majority decisions, such as additions to the core and stream for draft pack 1 public consultation.</w:t>
            </w:r>
          </w:p>
          <w:p w14:paraId="494661EB" w14:textId="77777777" w:rsidR="002E7999" w:rsidRPr="008E0D2F" w:rsidRDefault="002E7999" w:rsidP="002E7999">
            <w:pPr>
              <w:rPr>
                <w:color w:val="000000" w:themeColor="text1"/>
                <w:sz w:val="20"/>
                <w:szCs w:val="20"/>
              </w:rPr>
            </w:pPr>
          </w:p>
        </w:tc>
      </w:tr>
      <w:tr w:rsidR="002E7999" w14:paraId="1388E51E" w14:textId="77777777" w:rsidTr="002E7999">
        <w:tc>
          <w:tcPr>
            <w:tcW w:w="846" w:type="dxa"/>
          </w:tcPr>
          <w:p w14:paraId="7AED5F6A" w14:textId="77777777" w:rsidR="002E7999" w:rsidRPr="008E0D2F" w:rsidRDefault="002E7999" w:rsidP="002E7999">
            <w:pPr>
              <w:rPr>
                <w:color w:val="000000" w:themeColor="text1"/>
                <w:sz w:val="20"/>
                <w:szCs w:val="20"/>
              </w:rPr>
            </w:pPr>
            <w:r w:rsidRPr="008E0D2F">
              <w:rPr>
                <w:color w:val="000000" w:themeColor="text1"/>
                <w:sz w:val="20"/>
                <w:szCs w:val="20"/>
              </w:rPr>
              <w:t>4</w:t>
            </w:r>
          </w:p>
        </w:tc>
        <w:tc>
          <w:tcPr>
            <w:tcW w:w="2516" w:type="dxa"/>
          </w:tcPr>
          <w:p w14:paraId="7F726961" w14:textId="77777777" w:rsidR="002E7999" w:rsidRPr="008E0D2F" w:rsidRDefault="002E7999" w:rsidP="002E7999">
            <w:pPr>
              <w:rPr>
                <w:color w:val="000000" w:themeColor="text1"/>
                <w:sz w:val="20"/>
                <w:szCs w:val="20"/>
              </w:rPr>
            </w:pPr>
            <w:r w:rsidRPr="008E0D2F">
              <w:rPr>
                <w:color w:val="000000" w:themeColor="text1"/>
                <w:sz w:val="20"/>
                <w:szCs w:val="20"/>
              </w:rPr>
              <w:t>30 November 2018</w:t>
            </w:r>
          </w:p>
        </w:tc>
        <w:tc>
          <w:tcPr>
            <w:tcW w:w="5654" w:type="dxa"/>
          </w:tcPr>
          <w:p w14:paraId="6341A273" w14:textId="77777777" w:rsidR="002E7999" w:rsidRPr="008E0D2F" w:rsidRDefault="002E7999" w:rsidP="005056E0">
            <w:pPr>
              <w:pStyle w:val="ListParagraph"/>
              <w:keepNext/>
              <w:keepLines/>
              <w:numPr>
                <w:ilvl w:val="0"/>
                <w:numId w:val="12"/>
              </w:numPr>
              <w:contextualSpacing/>
              <w:rPr>
                <w:color w:val="000000" w:themeColor="text1"/>
                <w:sz w:val="20"/>
              </w:rPr>
            </w:pPr>
            <w:r w:rsidRPr="008E0D2F">
              <w:rPr>
                <w:color w:val="000000" w:themeColor="text1"/>
                <w:sz w:val="20"/>
              </w:rPr>
              <w:t>Majority decision to proceed with streamed qualification structure, except CFM</w:t>
            </w:r>
            <w:r>
              <w:rPr>
                <w:color w:val="000000" w:themeColor="text1"/>
                <w:sz w:val="20"/>
              </w:rPr>
              <w:t>M</w:t>
            </w:r>
            <w:r w:rsidRPr="008E0D2F">
              <w:rPr>
                <w:color w:val="000000" w:themeColor="text1"/>
                <w:sz w:val="20"/>
              </w:rPr>
              <w:t>EU member</w:t>
            </w:r>
          </w:p>
          <w:p w14:paraId="68020B7D" w14:textId="77777777" w:rsidR="002E7999" w:rsidRPr="008E0D2F" w:rsidRDefault="002E7999" w:rsidP="005056E0">
            <w:pPr>
              <w:pStyle w:val="ListParagraph"/>
              <w:keepNext/>
              <w:keepLines/>
              <w:numPr>
                <w:ilvl w:val="0"/>
                <w:numId w:val="12"/>
              </w:numPr>
              <w:contextualSpacing/>
              <w:rPr>
                <w:color w:val="000000" w:themeColor="text1"/>
                <w:sz w:val="20"/>
              </w:rPr>
            </w:pPr>
            <w:r w:rsidRPr="008E0D2F">
              <w:rPr>
                <w:color w:val="000000" w:themeColor="text1"/>
                <w:sz w:val="20"/>
              </w:rPr>
              <w:t>All other decisions of TAG by consensus agreement</w:t>
            </w:r>
          </w:p>
          <w:p w14:paraId="317FA1F6" w14:textId="77777777" w:rsidR="002E7999" w:rsidRPr="008E0D2F" w:rsidRDefault="002E7999" w:rsidP="005056E0">
            <w:pPr>
              <w:pStyle w:val="ListParagraph"/>
              <w:keepNext/>
              <w:keepLines/>
              <w:numPr>
                <w:ilvl w:val="0"/>
                <w:numId w:val="12"/>
              </w:numPr>
              <w:contextualSpacing/>
              <w:rPr>
                <w:color w:val="000000" w:themeColor="text1"/>
                <w:sz w:val="20"/>
              </w:rPr>
            </w:pPr>
            <w:r w:rsidRPr="008E0D2F">
              <w:rPr>
                <w:color w:val="000000" w:themeColor="text1"/>
                <w:sz w:val="20"/>
              </w:rPr>
              <w:t>Proposal for unit content workshops.</w:t>
            </w:r>
          </w:p>
          <w:p w14:paraId="08753542" w14:textId="77777777" w:rsidR="002E7999" w:rsidRPr="008E0D2F" w:rsidRDefault="002E7999" w:rsidP="002E7999">
            <w:pPr>
              <w:pStyle w:val="ListParagraph"/>
              <w:ind w:left="360"/>
              <w:rPr>
                <w:color w:val="000000" w:themeColor="text1"/>
                <w:sz w:val="20"/>
              </w:rPr>
            </w:pPr>
          </w:p>
        </w:tc>
      </w:tr>
      <w:tr w:rsidR="002E7999" w14:paraId="0A4EE2EE" w14:textId="77777777" w:rsidTr="002E7999">
        <w:tc>
          <w:tcPr>
            <w:tcW w:w="846" w:type="dxa"/>
          </w:tcPr>
          <w:p w14:paraId="05CA75F6" w14:textId="77777777" w:rsidR="002E7999" w:rsidRPr="008E0D2F" w:rsidRDefault="002E7999" w:rsidP="002E7999">
            <w:pPr>
              <w:rPr>
                <w:color w:val="000000" w:themeColor="text1"/>
                <w:sz w:val="20"/>
                <w:szCs w:val="20"/>
              </w:rPr>
            </w:pPr>
            <w:r w:rsidRPr="008E0D2F">
              <w:rPr>
                <w:color w:val="000000" w:themeColor="text1"/>
                <w:sz w:val="20"/>
                <w:szCs w:val="20"/>
              </w:rPr>
              <w:t>5</w:t>
            </w:r>
          </w:p>
        </w:tc>
        <w:tc>
          <w:tcPr>
            <w:tcW w:w="2516" w:type="dxa"/>
          </w:tcPr>
          <w:p w14:paraId="431C0B79" w14:textId="77777777" w:rsidR="002E7999" w:rsidRPr="008E0D2F" w:rsidRDefault="002E7999" w:rsidP="002E7999">
            <w:pPr>
              <w:rPr>
                <w:color w:val="000000" w:themeColor="text1"/>
                <w:sz w:val="20"/>
                <w:szCs w:val="20"/>
              </w:rPr>
            </w:pPr>
            <w:r w:rsidRPr="008E0D2F">
              <w:rPr>
                <w:color w:val="000000" w:themeColor="text1"/>
                <w:sz w:val="20"/>
                <w:szCs w:val="20"/>
              </w:rPr>
              <w:t>12 February 2019</w:t>
            </w:r>
          </w:p>
          <w:p w14:paraId="25F10823" w14:textId="77777777" w:rsidR="002E7999" w:rsidRPr="008E0D2F" w:rsidRDefault="002E7999" w:rsidP="002E7999">
            <w:pPr>
              <w:rPr>
                <w:color w:val="000000" w:themeColor="text1"/>
                <w:sz w:val="20"/>
                <w:szCs w:val="20"/>
              </w:rPr>
            </w:pPr>
          </w:p>
        </w:tc>
        <w:tc>
          <w:tcPr>
            <w:tcW w:w="5654" w:type="dxa"/>
          </w:tcPr>
          <w:p w14:paraId="2AD1DEC3" w14:textId="77777777" w:rsidR="002E7999" w:rsidRPr="008E0D2F" w:rsidRDefault="002E7999" w:rsidP="005056E0">
            <w:pPr>
              <w:pStyle w:val="ListParagraph"/>
              <w:keepNext/>
              <w:keepLines/>
              <w:numPr>
                <w:ilvl w:val="0"/>
                <w:numId w:val="13"/>
              </w:numPr>
              <w:contextualSpacing/>
              <w:rPr>
                <w:color w:val="000000" w:themeColor="text1"/>
                <w:sz w:val="20"/>
              </w:rPr>
            </w:pPr>
            <w:r w:rsidRPr="008E0D2F">
              <w:rPr>
                <w:color w:val="000000" w:themeColor="text1"/>
                <w:sz w:val="20"/>
              </w:rPr>
              <w:t>Decisions on merging units deferred to IRC for advice</w:t>
            </w:r>
          </w:p>
          <w:p w14:paraId="505BB395" w14:textId="77777777" w:rsidR="002E7999" w:rsidRPr="008E0D2F" w:rsidRDefault="002E7999" w:rsidP="005056E0">
            <w:pPr>
              <w:pStyle w:val="ListParagraph"/>
              <w:keepNext/>
              <w:keepLines/>
              <w:numPr>
                <w:ilvl w:val="0"/>
                <w:numId w:val="13"/>
              </w:numPr>
              <w:contextualSpacing/>
              <w:rPr>
                <w:color w:val="000000" w:themeColor="text1"/>
                <w:sz w:val="20"/>
              </w:rPr>
            </w:pPr>
            <w:r w:rsidRPr="008E0D2F">
              <w:rPr>
                <w:color w:val="000000" w:themeColor="text1"/>
                <w:sz w:val="20"/>
              </w:rPr>
              <w:t>Report of good industry stakeholder registrations to attend carpentry online workshops to focus on unit content development/validation.</w:t>
            </w:r>
          </w:p>
          <w:p w14:paraId="690545AD" w14:textId="77777777" w:rsidR="002E7999" w:rsidRPr="008E0D2F" w:rsidRDefault="002E7999" w:rsidP="002E7999">
            <w:pPr>
              <w:pStyle w:val="ListParagraph"/>
              <w:ind w:left="360"/>
              <w:rPr>
                <w:color w:val="000000" w:themeColor="text1"/>
                <w:sz w:val="20"/>
              </w:rPr>
            </w:pPr>
          </w:p>
        </w:tc>
      </w:tr>
      <w:tr w:rsidR="002E7999" w14:paraId="044A16EA" w14:textId="77777777" w:rsidTr="002E7999">
        <w:tc>
          <w:tcPr>
            <w:tcW w:w="846" w:type="dxa"/>
          </w:tcPr>
          <w:p w14:paraId="0F647937" w14:textId="77777777" w:rsidR="002E7999" w:rsidRPr="008E0D2F" w:rsidRDefault="002E7999" w:rsidP="002E7999">
            <w:pPr>
              <w:rPr>
                <w:color w:val="000000" w:themeColor="text1"/>
                <w:sz w:val="20"/>
                <w:szCs w:val="20"/>
              </w:rPr>
            </w:pPr>
            <w:r w:rsidRPr="008E0D2F">
              <w:rPr>
                <w:color w:val="000000" w:themeColor="text1"/>
                <w:sz w:val="20"/>
                <w:szCs w:val="20"/>
              </w:rPr>
              <w:t>6</w:t>
            </w:r>
          </w:p>
        </w:tc>
        <w:tc>
          <w:tcPr>
            <w:tcW w:w="2516" w:type="dxa"/>
          </w:tcPr>
          <w:p w14:paraId="1C8AE1AA" w14:textId="77777777" w:rsidR="002E7999" w:rsidRPr="008E0D2F" w:rsidRDefault="002E7999" w:rsidP="002E7999">
            <w:pPr>
              <w:rPr>
                <w:color w:val="000000" w:themeColor="text1"/>
                <w:sz w:val="20"/>
                <w:szCs w:val="20"/>
              </w:rPr>
            </w:pPr>
            <w:r w:rsidRPr="008E0D2F">
              <w:rPr>
                <w:color w:val="000000" w:themeColor="text1"/>
                <w:sz w:val="20"/>
                <w:szCs w:val="20"/>
              </w:rPr>
              <w:t>19 February 2019</w:t>
            </w:r>
          </w:p>
        </w:tc>
        <w:tc>
          <w:tcPr>
            <w:tcW w:w="5654" w:type="dxa"/>
          </w:tcPr>
          <w:p w14:paraId="16FFF075" w14:textId="77777777" w:rsidR="002E7999" w:rsidRPr="008E0D2F" w:rsidRDefault="002E7999" w:rsidP="005056E0">
            <w:pPr>
              <w:pStyle w:val="ListParagraph"/>
              <w:keepNext/>
              <w:keepLines/>
              <w:numPr>
                <w:ilvl w:val="0"/>
                <w:numId w:val="13"/>
              </w:numPr>
              <w:contextualSpacing/>
              <w:rPr>
                <w:color w:val="000000" w:themeColor="text1"/>
                <w:sz w:val="20"/>
              </w:rPr>
            </w:pPr>
            <w:r>
              <w:rPr>
                <w:sz w:val="20"/>
              </w:rPr>
              <w:t>Unanimous</w:t>
            </w:r>
            <w:r w:rsidRPr="008E0D2F">
              <w:rPr>
                <w:sz w:val="20"/>
              </w:rPr>
              <w:t xml:space="preserve"> decision of the Construction, Plumbing and Services IRC that the unit </w:t>
            </w:r>
            <w:r w:rsidRPr="008E0D2F">
              <w:rPr>
                <w:i/>
                <w:sz w:val="20"/>
              </w:rPr>
              <w:t>CPCCWHS1001 Prepare to work safely in the construction industry</w:t>
            </w:r>
            <w:r w:rsidRPr="008E0D2F">
              <w:rPr>
                <w:sz w:val="20"/>
              </w:rPr>
              <w:t xml:space="preserve"> be a core unit in all CPC qualifications.</w:t>
            </w:r>
          </w:p>
          <w:p w14:paraId="73B866BB" w14:textId="77777777" w:rsidR="002E7999" w:rsidRPr="008E0D2F" w:rsidRDefault="002E7999" w:rsidP="002E7999">
            <w:pPr>
              <w:pStyle w:val="ListParagraph"/>
              <w:ind w:left="360"/>
              <w:rPr>
                <w:color w:val="000000" w:themeColor="text1"/>
                <w:sz w:val="20"/>
              </w:rPr>
            </w:pPr>
          </w:p>
        </w:tc>
      </w:tr>
      <w:tr w:rsidR="002E7999" w14:paraId="2848AD9B" w14:textId="77777777" w:rsidTr="002E7999">
        <w:tc>
          <w:tcPr>
            <w:tcW w:w="846" w:type="dxa"/>
          </w:tcPr>
          <w:p w14:paraId="295DAF9A" w14:textId="77777777" w:rsidR="002E7999" w:rsidRPr="008E0D2F" w:rsidRDefault="002E7999" w:rsidP="002E7999">
            <w:pPr>
              <w:rPr>
                <w:color w:val="000000" w:themeColor="text1"/>
                <w:sz w:val="20"/>
                <w:szCs w:val="20"/>
              </w:rPr>
            </w:pPr>
            <w:r w:rsidRPr="008E0D2F">
              <w:rPr>
                <w:color w:val="000000" w:themeColor="text1"/>
                <w:sz w:val="20"/>
                <w:szCs w:val="20"/>
              </w:rPr>
              <w:t>7</w:t>
            </w:r>
          </w:p>
        </w:tc>
        <w:tc>
          <w:tcPr>
            <w:tcW w:w="2516" w:type="dxa"/>
          </w:tcPr>
          <w:p w14:paraId="0A268150" w14:textId="77777777" w:rsidR="002E7999" w:rsidRPr="008E0D2F" w:rsidRDefault="002E7999" w:rsidP="002E7999">
            <w:pPr>
              <w:rPr>
                <w:color w:val="000000" w:themeColor="text1"/>
                <w:sz w:val="20"/>
                <w:szCs w:val="20"/>
              </w:rPr>
            </w:pPr>
            <w:r w:rsidRPr="008E0D2F">
              <w:rPr>
                <w:color w:val="000000" w:themeColor="text1"/>
                <w:sz w:val="20"/>
                <w:szCs w:val="20"/>
              </w:rPr>
              <w:t>9 April 2019</w:t>
            </w:r>
          </w:p>
        </w:tc>
        <w:tc>
          <w:tcPr>
            <w:tcW w:w="5654" w:type="dxa"/>
          </w:tcPr>
          <w:p w14:paraId="023B8FCA" w14:textId="77777777" w:rsidR="002E7999" w:rsidRPr="008E0D2F" w:rsidRDefault="002E7999" w:rsidP="005056E0">
            <w:pPr>
              <w:pStyle w:val="ListParagraph"/>
              <w:keepNext/>
              <w:keepLines/>
              <w:numPr>
                <w:ilvl w:val="0"/>
                <w:numId w:val="14"/>
              </w:numPr>
              <w:contextualSpacing/>
              <w:rPr>
                <w:color w:val="000000" w:themeColor="text1"/>
                <w:sz w:val="20"/>
              </w:rPr>
            </w:pPr>
            <w:r w:rsidRPr="008E0D2F">
              <w:rPr>
                <w:color w:val="000000" w:themeColor="text1"/>
                <w:sz w:val="20"/>
              </w:rPr>
              <w:t>Unanimous approval of Certificate III Carpentry template</w:t>
            </w:r>
          </w:p>
          <w:p w14:paraId="4207F4ED" w14:textId="77777777" w:rsidR="002E7999" w:rsidRPr="008E0D2F" w:rsidRDefault="002E7999" w:rsidP="005056E0">
            <w:pPr>
              <w:pStyle w:val="ListParagraph"/>
              <w:keepNext/>
              <w:keepLines/>
              <w:numPr>
                <w:ilvl w:val="0"/>
                <w:numId w:val="14"/>
              </w:numPr>
              <w:contextualSpacing/>
              <w:rPr>
                <w:color w:val="000000" w:themeColor="text1"/>
                <w:sz w:val="20"/>
              </w:rPr>
            </w:pPr>
            <w:r w:rsidRPr="008E0D2F">
              <w:rPr>
                <w:color w:val="000000" w:themeColor="text1"/>
                <w:sz w:val="20"/>
              </w:rPr>
              <w:t>Consideration of industry feedback (NSW employer group and Schiavellos) on Certificate III in Joinery</w:t>
            </w:r>
          </w:p>
          <w:p w14:paraId="464BF8F3" w14:textId="77777777" w:rsidR="002E7999" w:rsidRPr="008E0D2F" w:rsidRDefault="002E7999" w:rsidP="005056E0">
            <w:pPr>
              <w:pStyle w:val="ListParagraph"/>
              <w:keepNext/>
              <w:keepLines/>
              <w:numPr>
                <w:ilvl w:val="0"/>
                <w:numId w:val="14"/>
              </w:numPr>
              <w:contextualSpacing/>
              <w:rPr>
                <w:color w:val="000000" w:themeColor="text1"/>
                <w:sz w:val="20"/>
              </w:rPr>
            </w:pPr>
            <w:r w:rsidRPr="008E0D2F">
              <w:rPr>
                <w:color w:val="000000" w:themeColor="text1"/>
                <w:sz w:val="20"/>
              </w:rPr>
              <w:t>Unanimous approval of Certificate III Joinery revised qualification template</w:t>
            </w:r>
          </w:p>
          <w:p w14:paraId="6B9A4C61" w14:textId="77777777" w:rsidR="002E7999" w:rsidRPr="008E0D2F" w:rsidRDefault="002E7999" w:rsidP="005056E0">
            <w:pPr>
              <w:pStyle w:val="ListParagraph"/>
              <w:keepNext/>
              <w:keepLines/>
              <w:numPr>
                <w:ilvl w:val="0"/>
                <w:numId w:val="14"/>
              </w:numPr>
              <w:contextualSpacing/>
              <w:rPr>
                <w:color w:val="000000" w:themeColor="text1"/>
                <w:sz w:val="20"/>
              </w:rPr>
            </w:pPr>
            <w:r w:rsidRPr="008E0D2F">
              <w:rPr>
                <w:color w:val="000000" w:themeColor="text1"/>
                <w:sz w:val="20"/>
              </w:rPr>
              <w:t>Consultation round complete</w:t>
            </w:r>
          </w:p>
          <w:p w14:paraId="197117BB" w14:textId="77777777" w:rsidR="002E7999" w:rsidRPr="008E0D2F" w:rsidRDefault="002E7999" w:rsidP="005056E0">
            <w:pPr>
              <w:pStyle w:val="ListParagraph"/>
              <w:keepNext/>
              <w:keepLines/>
              <w:numPr>
                <w:ilvl w:val="0"/>
                <w:numId w:val="14"/>
              </w:numPr>
              <w:contextualSpacing/>
              <w:rPr>
                <w:color w:val="000000" w:themeColor="text1"/>
                <w:sz w:val="20"/>
              </w:rPr>
            </w:pPr>
            <w:r w:rsidRPr="008E0D2F">
              <w:rPr>
                <w:color w:val="000000" w:themeColor="text1"/>
                <w:sz w:val="20"/>
              </w:rPr>
              <w:t>Carpentry qualification templates to be presented to IRC’s next meeting before moving on to quality assurance phase.</w:t>
            </w:r>
          </w:p>
          <w:p w14:paraId="22A82964" w14:textId="77777777" w:rsidR="002E7999" w:rsidRPr="008E0D2F" w:rsidRDefault="002E7999" w:rsidP="002E7999">
            <w:pPr>
              <w:pStyle w:val="ListParagraph"/>
              <w:ind w:left="360"/>
              <w:rPr>
                <w:color w:val="000000" w:themeColor="text1"/>
                <w:sz w:val="20"/>
              </w:rPr>
            </w:pPr>
          </w:p>
        </w:tc>
      </w:tr>
      <w:tr w:rsidR="002E7999" w14:paraId="1A2B2405" w14:textId="77777777" w:rsidTr="002E7999">
        <w:tc>
          <w:tcPr>
            <w:tcW w:w="846" w:type="dxa"/>
          </w:tcPr>
          <w:p w14:paraId="0738E9B4" w14:textId="77777777" w:rsidR="002E7999" w:rsidRPr="008E0D2F" w:rsidRDefault="002E7999" w:rsidP="002E7999">
            <w:pPr>
              <w:rPr>
                <w:color w:val="000000" w:themeColor="text1"/>
                <w:sz w:val="20"/>
                <w:szCs w:val="20"/>
              </w:rPr>
            </w:pPr>
            <w:r w:rsidRPr="008E0D2F">
              <w:rPr>
                <w:color w:val="000000" w:themeColor="text1"/>
                <w:sz w:val="20"/>
                <w:szCs w:val="20"/>
              </w:rPr>
              <w:t>8</w:t>
            </w:r>
          </w:p>
        </w:tc>
        <w:tc>
          <w:tcPr>
            <w:tcW w:w="2516" w:type="dxa"/>
          </w:tcPr>
          <w:p w14:paraId="2D6A626D" w14:textId="77777777" w:rsidR="002E7999" w:rsidRPr="008E0D2F" w:rsidRDefault="002E7999" w:rsidP="002E7999">
            <w:pPr>
              <w:rPr>
                <w:color w:val="000000" w:themeColor="text1"/>
                <w:sz w:val="20"/>
                <w:szCs w:val="20"/>
              </w:rPr>
            </w:pPr>
            <w:r w:rsidRPr="008E0D2F">
              <w:rPr>
                <w:color w:val="000000" w:themeColor="text1"/>
                <w:sz w:val="20"/>
                <w:szCs w:val="20"/>
              </w:rPr>
              <w:t>18 April 2019</w:t>
            </w:r>
          </w:p>
        </w:tc>
        <w:tc>
          <w:tcPr>
            <w:tcW w:w="5654" w:type="dxa"/>
          </w:tcPr>
          <w:p w14:paraId="654EC6BD" w14:textId="77777777" w:rsidR="002E7999" w:rsidRPr="008E0D2F" w:rsidRDefault="002E7999" w:rsidP="005056E0">
            <w:pPr>
              <w:pStyle w:val="ListParagraph"/>
              <w:keepNext/>
              <w:keepLines/>
              <w:numPr>
                <w:ilvl w:val="0"/>
                <w:numId w:val="14"/>
              </w:numPr>
              <w:contextualSpacing/>
              <w:rPr>
                <w:color w:val="000000" w:themeColor="text1"/>
                <w:sz w:val="20"/>
              </w:rPr>
            </w:pPr>
            <w:r>
              <w:rPr>
                <w:sz w:val="20"/>
              </w:rPr>
              <w:t>Unanimous</w:t>
            </w:r>
            <w:r w:rsidRPr="008E0D2F">
              <w:rPr>
                <w:sz w:val="20"/>
              </w:rPr>
              <w:t xml:space="preserve"> decision of the Construction, Plumbing and Services IRC that the unit </w:t>
            </w:r>
            <w:r w:rsidRPr="008E0D2F">
              <w:rPr>
                <w:i/>
                <w:sz w:val="20"/>
              </w:rPr>
              <w:t>CPCCWHS1001 Prepare to work safely in the construction industry</w:t>
            </w:r>
            <w:r w:rsidRPr="008E0D2F">
              <w:rPr>
                <w:sz w:val="20"/>
              </w:rPr>
              <w:t xml:space="preserve"> be an entry requirement for all CPC AQF I-III qualifications.</w:t>
            </w:r>
          </w:p>
        </w:tc>
      </w:tr>
    </w:tbl>
    <w:p w14:paraId="041181C0" w14:textId="77777777" w:rsidR="002E7999" w:rsidRPr="004E7BBE" w:rsidRDefault="002E7999" w:rsidP="002E7999"/>
    <w:p w14:paraId="2EAB637D" w14:textId="77777777" w:rsidR="002E7999" w:rsidRDefault="002E7999" w:rsidP="002E7999">
      <w:pPr>
        <w:pStyle w:val="ArtibusCfE2"/>
        <w:spacing w:before="0"/>
      </w:pPr>
    </w:p>
    <w:p w14:paraId="001489DB" w14:textId="77777777" w:rsidR="002E7999" w:rsidRDefault="002E7999" w:rsidP="002E7999">
      <w:pPr>
        <w:pStyle w:val="ArtibusCfE2"/>
        <w:spacing w:before="0"/>
      </w:pPr>
      <w:r>
        <w:t xml:space="preserve">Consultation methods and summary of feedback </w:t>
      </w:r>
    </w:p>
    <w:p w14:paraId="2EF94910" w14:textId="77777777" w:rsidR="002E7999" w:rsidRDefault="002E7999" w:rsidP="002E7999">
      <w:r>
        <w:t xml:space="preserve">The industry and stakeholder consultation strategy devised by the TAG and Artibus Innovation recognised the potential for polarised stakeholder opinions at the commencement of this project. </w:t>
      </w:r>
      <w:r>
        <w:lastRenderedPageBreak/>
        <w:t xml:space="preserve">Consultation was tailored to overcome perceived deficiencies in the 2015 CPSISC project by providing multiple broad-based and targeted channels for stakeholder consultation. </w:t>
      </w:r>
    </w:p>
    <w:p w14:paraId="2C74AEA0" w14:textId="77777777" w:rsidR="002E7999" w:rsidRDefault="002E7999" w:rsidP="002E7999">
      <w:pPr>
        <w:pStyle w:val="ArtibusCfE2"/>
        <w:spacing w:before="0"/>
        <w:rPr>
          <w:b w:val="0"/>
        </w:rPr>
      </w:pPr>
    </w:p>
    <w:p w14:paraId="135C0000" w14:textId="77777777" w:rsidR="002E7999" w:rsidRDefault="002E7999" w:rsidP="002E7999">
      <w:pPr>
        <w:pStyle w:val="ArtibusCfE2"/>
        <w:spacing w:before="0"/>
        <w:rPr>
          <w:b w:val="0"/>
        </w:rPr>
      </w:pPr>
      <w:r>
        <w:rPr>
          <w:b w:val="0"/>
        </w:rPr>
        <w:t xml:space="preserve">Five channels for stakeholder consultation were provided throughout the project. These were: </w:t>
      </w:r>
    </w:p>
    <w:p w14:paraId="4B78CB9A" w14:textId="77777777" w:rsidR="002E7999" w:rsidRDefault="002E7999" w:rsidP="005056E0">
      <w:pPr>
        <w:pStyle w:val="ArtibusCfE2"/>
        <w:numPr>
          <w:ilvl w:val="0"/>
          <w:numId w:val="15"/>
        </w:numPr>
        <w:spacing w:before="0"/>
        <w:rPr>
          <w:b w:val="0"/>
        </w:rPr>
      </w:pPr>
      <w:r>
        <w:rPr>
          <w:b w:val="0"/>
        </w:rPr>
        <w:t>state/territory based industry forums</w:t>
      </w:r>
    </w:p>
    <w:p w14:paraId="7427B759" w14:textId="77777777" w:rsidR="002E7999" w:rsidRDefault="002E7999" w:rsidP="005056E0">
      <w:pPr>
        <w:pStyle w:val="ArtibusCfE2"/>
        <w:numPr>
          <w:ilvl w:val="0"/>
          <w:numId w:val="15"/>
        </w:numPr>
        <w:spacing w:before="0"/>
        <w:rPr>
          <w:b w:val="0"/>
        </w:rPr>
      </w:pPr>
      <w:r>
        <w:rPr>
          <w:b w:val="0"/>
        </w:rPr>
        <w:t xml:space="preserve">online working groups </w:t>
      </w:r>
    </w:p>
    <w:p w14:paraId="32B1BA75" w14:textId="77777777" w:rsidR="002E7999" w:rsidRPr="00691BA2" w:rsidRDefault="002E7999" w:rsidP="005056E0">
      <w:pPr>
        <w:pStyle w:val="ArtibusCfE2"/>
        <w:numPr>
          <w:ilvl w:val="0"/>
          <w:numId w:val="15"/>
        </w:numPr>
        <w:spacing w:before="0"/>
        <w:rPr>
          <w:b w:val="0"/>
        </w:rPr>
      </w:pPr>
      <w:r>
        <w:rPr>
          <w:b w:val="0"/>
        </w:rPr>
        <w:t>three industry surveys at each development stage of the project to explore and consolidate feedback.</w:t>
      </w:r>
    </w:p>
    <w:p w14:paraId="674AEE59" w14:textId="77777777" w:rsidR="002E7999" w:rsidRDefault="002E7999" w:rsidP="002E7999"/>
    <w:p w14:paraId="40A6AFFD" w14:textId="77777777" w:rsidR="002E7999" w:rsidRPr="00A338E8" w:rsidRDefault="002E7999" w:rsidP="002E7999">
      <w:pPr>
        <w:rPr>
          <w:i/>
        </w:rPr>
      </w:pPr>
      <w:r w:rsidRPr="00A338E8">
        <w:rPr>
          <w:i/>
        </w:rPr>
        <w:t>Packaging Rules</w:t>
      </w:r>
    </w:p>
    <w:p w14:paraId="55BA46B7" w14:textId="77777777" w:rsidR="002E7999" w:rsidRDefault="002E7999" w:rsidP="002E7999">
      <w:r>
        <w:t>A key point of initial consultation was to seek industry feedback on the most appropriate packaging rules for:</w:t>
      </w:r>
    </w:p>
    <w:p w14:paraId="6637B118" w14:textId="77777777" w:rsidR="002E7999" w:rsidRDefault="002E7999" w:rsidP="005056E0">
      <w:pPr>
        <w:pStyle w:val="ListParagraph"/>
        <w:keepNext/>
        <w:keepLines/>
        <w:widowControl/>
        <w:numPr>
          <w:ilvl w:val="0"/>
          <w:numId w:val="10"/>
        </w:numPr>
        <w:autoSpaceDE/>
        <w:autoSpaceDN/>
        <w:contextualSpacing/>
      </w:pPr>
      <w:r>
        <w:t xml:space="preserve">CPC3019 Certificate III in Carpentry and </w:t>
      </w:r>
    </w:p>
    <w:p w14:paraId="0191E507" w14:textId="77777777" w:rsidR="002E7999" w:rsidRDefault="002E7999" w:rsidP="005056E0">
      <w:pPr>
        <w:pStyle w:val="ListParagraph"/>
        <w:keepNext/>
        <w:keepLines/>
        <w:widowControl/>
        <w:numPr>
          <w:ilvl w:val="0"/>
          <w:numId w:val="10"/>
        </w:numPr>
        <w:autoSpaceDE/>
        <w:autoSpaceDN/>
        <w:contextualSpacing/>
      </w:pPr>
      <w:r>
        <w:t>CPC31919 Certificate in Joinery.</w:t>
      </w:r>
    </w:p>
    <w:p w14:paraId="550BE1F5" w14:textId="77777777" w:rsidR="002E7999" w:rsidRDefault="002E7999" w:rsidP="002E7999"/>
    <w:p w14:paraId="43E8587C" w14:textId="77777777" w:rsidR="002E7999" w:rsidRDefault="002E7999" w:rsidP="002E7999">
      <w:r>
        <w:t>The TAG suggested two possible packaging rule options for the Certificate III in Carpentry, as below:</w:t>
      </w:r>
    </w:p>
    <w:p w14:paraId="4397623E" w14:textId="77777777" w:rsidR="002E7999" w:rsidRDefault="002E7999" w:rsidP="002E7999"/>
    <w:p w14:paraId="21A0AC28" w14:textId="77777777" w:rsidR="002E7999" w:rsidRDefault="002E7999" w:rsidP="002E7999">
      <w:r>
        <w:rPr>
          <w:b/>
        </w:rPr>
        <w:t>Table 3: Packaging Options</w:t>
      </w:r>
    </w:p>
    <w:tbl>
      <w:tblPr>
        <w:tblStyle w:val="TableGrid"/>
        <w:tblW w:w="0" w:type="auto"/>
        <w:tblLook w:val="04A0" w:firstRow="1" w:lastRow="0" w:firstColumn="1" w:lastColumn="0" w:noHBand="0" w:noVBand="1"/>
      </w:tblPr>
      <w:tblGrid>
        <w:gridCol w:w="1129"/>
        <w:gridCol w:w="7513"/>
      </w:tblGrid>
      <w:tr w:rsidR="002E7999" w14:paraId="34407A25" w14:textId="77777777" w:rsidTr="002E7999">
        <w:tc>
          <w:tcPr>
            <w:tcW w:w="1129" w:type="dxa"/>
            <w:shd w:val="clear" w:color="auto" w:fill="EEECE1" w:themeFill="background2"/>
          </w:tcPr>
          <w:p w14:paraId="2BF946E2" w14:textId="77777777" w:rsidR="002E7999" w:rsidRPr="008E0D2F" w:rsidRDefault="002E7999" w:rsidP="002E7999">
            <w:pPr>
              <w:rPr>
                <w:b/>
                <w:sz w:val="20"/>
                <w:szCs w:val="20"/>
              </w:rPr>
            </w:pPr>
            <w:r w:rsidRPr="008E0D2F">
              <w:rPr>
                <w:b/>
                <w:sz w:val="20"/>
                <w:szCs w:val="20"/>
              </w:rPr>
              <w:t>Option</w:t>
            </w:r>
          </w:p>
        </w:tc>
        <w:tc>
          <w:tcPr>
            <w:tcW w:w="7513" w:type="dxa"/>
            <w:shd w:val="clear" w:color="auto" w:fill="EEECE1" w:themeFill="background2"/>
          </w:tcPr>
          <w:p w14:paraId="15212977" w14:textId="77777777" w:rsidR="002E7999" w:rsidRPr="008E0D2F" w:rsidRDefault="002E7999" w:rsidP="002E7999">
            <w:pPr>
              <w:rPr>
                <w:b/>
                <w:sz w:val="20"/>
                <w:szCs w:val="20"/>
              </w:rPr>
            </w:pPr>
            <w:r w:rsidRPr="008E0D2F">
              <w:rPr>
                <w:b/>
                <w:sz w:val="20"/>
                <w:szCs w:val="20"/>
              </w:rPr>
              <w:t>Packaging Description</w:t>
            </w:r>
          </w:p>
        </w:tc>
      </w:tr>
      <w:tr w:rsidR="002E7999" w14:paraId="3CCFC9CC" w14:textId="77777777" w:rsidTr="002E7999">
        <w:tc>
          <w:tcPr>
            <w:tcW w:w="1129" w:type="dxa"/>
          </w:tcPr>
          <w:p w14:paraId="289AB4F6" w14:textId="77777777" w:rsidR="002E7999" w:rsidRPr="008E0D2F" w:rsidRDefault="002E7999" w:rsidP="002E7999">
            <w:pPr>
              <w:rPr>
                <w:sz w:val="20"/>
                <w:szCs w:val="20"/>
              </w:rPr>
            </w:pPr>
            <w:r w:rsidRPr="008E0D2F">
              <w:rPr>
                <w:sz w:val="20"/>
                <w:szCs w:val="20"/>
              </w:rPr>
              <w:t>Option 1</w:t>
            </w:r>
          </w:p>
        </w:tc>
        <w:tc>
          <w:tcPr>
            <w:tcW w:w="7513" w:type="dxa"/>
          </w:tcPr>
          <w:p w14:paraId="521CFAD6" w14:textId="77777777" w:rsidR="002E7999" w:rsidRPr="008E0D2F" w:rsidRDefault="002E7999" w:rsidP="002E7999">
            <w:pPr>
              <w:rPr>
                <w:sz w:val="20"/>
                <w:szCs w:val="20"/>
              </w:rPr>
            </w:pPr>
            <w:r w:rsidRPr="008E0D2F">
              <w:rPr>
                <w:sz w:val="20"/>
                <w:szCs w:val="20"/>
              </w:rPr>
              <w:t>A core set of units, plus mandatory specialist streams, plus an elective pool</w:t>
            </w:r>
          </w:p>
        </w:tc>
      </w:tr>
      <w:tr w:rsidR="002E7999" w14:paraId="08BE297E" w14:textId="77777777" w:rsidTr="002E7999">
        <w:tc>
          <w:tcPr>
            <w:tcW w:w="1129" w:type="dxa"/>
          </w:tcPr>
          <w:p w14:paraId="0A7D59B9" w14:textId="77777777" w:rsidR="002E7999" w:rsidRPr="008E0D2F" w:rsidRDefault="002E7999" w:rsidP="002E7999">
            <w:pPr>
              <w:rPr>
                <w:sz w:val="20"/>
                <w:szCs w:val="20"/>
              </w:rPr>
            </w:pPr>
            <w:r w:rsidRPr="008E0D2F">
              <w:rPr>
                <w:sz w:val="20"/>
                <w:szCs w:val="20"/>
              </w:rPr>
              <w:t>Option 2</w:t>
            </w:r>
          </w:p>
        </w:tc>
        <w:tc>
          <w:tcPr>
            <w:tcW w:w="7513" w:type="dxa"/>
          </w:tcPr>
          <w:p w14:paraId="05E7D40B" w14:textId="77777777" w:rsidR="002E7999" w:rsidRPr="008E0D2F" w:rsidRDefault="002E7999" w:rsidP="002E7999">
            <w:pPr>
              <w:rPr>
                <w:sz w:val="20"/>
                <w:szCs w:val="20"/>
              </w:rPr>
            </w:pPr>
            <w:r w:rsidRPr="008E0D2F">
              <w:rPr>
                <w:sz w:val="20"/>
                <w:szCs w:val="20"/>
              </w:rPr>
              <w:t>A core set of units, plus a general pool of electives which will include all the units from the specialist streams</w:t>
            </w:r>
          </w:p>
          <w:p w14:paraId="29BE6890" w14:textId="77777777" w:rsidR="002E7999" w:rsidRPr="008E0D2F" w:rsidRDefault="002E7999" w:rsidP="002E7999">
            <w:pPr>
              <w:rPr>
                <w:sz w:val="20"/>
                <w:szCs w:val="20"/>
              </w:rPr>
            </w:pPr>
          </w:p>
        </w:tc>
      </w:tr>
    </w:tbl>
    <w:p w14:paraId="024A7DB3" w14:textId="77777777" w:rsidR="002E7999" w:rsidRDefault="002E7999" w:rsidP="002E7999"/>
    <w:p w14:paraId="7EC4F4F8" w14:textId="77777777" w:rsidR="002E7999" w:rsidRDefault="002E7999" w:rsidP="002E7999">
      <w:r>
        <w:t>Industry feedback on these packaging options was sought through the first survey and national forums held in each state and territory. Industry and stakeholder feedback was divided on which option would be most appropriate. For example, of the 110 responses to this survey question, slightly more respondents preferred packaging Option 1 (53% to 47%). Forum feedback preferences were divided or inconclusive. This feedback informed the TAG’s deliberations about which packaging arrangements were the best fit for industry,</w:t>
      </w:r>
      <w:r w:rsidRPr="0063557E">
        <w:rPr>
          <w:color w:val="000000" w:themeColor="text1"/>
        </w:rPr>
        <w:t xml:space="preserve"> which was option one.  The specialist streams were chosen to provide guidance for packaging appropriate units into the three activity areas – residential carpentry, commercial carpentry and formwork carpentry. In recognition that carpenters work across all three stream</w:t>
      </w:r>
      <w:r>
        <w:rPr>
          <w:color w:val="000000" w:themeColor="text1"/>
        </w:rPr>
        <w:t>s,</w:t>
      </w:r>
      <w:r w:rsidRPr="0063557E">
        <w:rPr>
          <w:color w:val="000000" w:themeColor="text1"/>
        </w:rPr>
        <w:t xml:space="preserve"> the core of the qualification was strengthened to ensure that it covers all the critical skills required of any carpenter nationally. This approach diffused the difference between option one and two.</w:t>
      </w:r>
    </w:p>
    <w:p w14:paraId="64F6D018" w14:textId="77777777" w:rsidR="002E7999" w:rsidRDefault="002E7999" w:rsidP="002E7999"/>
    <w:p w14:paraId="6B9A1F2E" w14:textId="77777777" w:rsidR="002E7999" w:rsidRPr="00691BA2" w:rsidRDefault="002E7999" w:rsidP="002E7999">
      <w:pPr>
        <w:pStyle w:val="ArtibusCfE2"/>
        <w:spacing w:before="0"/>
        <w:rPr>
          <w:bCs w:val="0"/>
          <w:iCs/>
        </w:rPr>
      </w:pPr>
      <w:r w:rsidRPr="00691BA2">
        <w:rPr>
          <w:bCs w:val="0"/>
          <w:iCs/>
        </w:rPr>
        <w:t xml:space="preserve">Industry Forums </w:t>
      </w:r>
    </w:p>
    <w:p w14:paraId="12AB0839" w14:textId="77777777" w:rsidR="002E7999" w:rsidRDefault="002E7999" w:rsidP="002E7999">
      <w:pPr>
        <w:ind w:left="720"/>
      </w:pPr>
    </w:p>
    <w:p w14:paraId="46672462" w14:textId="77777777" w:rsidR="002E7999" w:rsidRDefault="002E7999" w:rsidP="002E7999">
      <w:r>
        <w:t xml:space="preserve">Industry forums were </w:t>
      </w:r>
      <w:r w:rsidRPr="00FF6EB0">
        <w:t xml:space="preserve">held in </w:t>
      </w:r>
      <w:r>
        <w:t>eight</w:t>
      </w:r>
      <w:r w:rsidRPr="00FF6EB0">
        <w:t xml:space="preserve"> cities </w:t>
      </w:r>
      <w:r>
        <w:t>in</w:t>
      </w:r>
      <w:r w:rsidRPr="00FF6EB0">
        <w:t xml:space="preserve"> </w:t>
      </w:r>
      <w:r>
        <w:t xml:space="preserve">all </w:t>
      </w:r>
      <w:r w:rsidRPr="00FF6EB0">
        <w:t>states</w:t>
      </w:r>
      <w:r>
        <w:t>, as well as an accessible online forum in the Northern Territory. Held from May to July 2018, these forums discussed the first draft of the training package components and were attended by 131 stakeholders, including:</w:t>
      </w:r>
    </w:p>
    <w:p w14:paraId="7DEBADD9" w14:textId="77777777" w:rsidR="002E7999" w:rsidRDefault="002E7999" w:rsidP="005056E0">
      <w:pPr>
        <w:pStyle w:val="ListParagraph"/>
        <w:keepNext/>
        <w:keepLines/>
        <w:widowControl/>
        <w:numPr>
          <w:ilvl w:val="0"/>
          <w:numId w:val="19"/>
        </w:numPr>
        <w:autoSpaceDE/>
        <w:autoSpaceDN/>
        <w:contextualSpacing/>
      </w:pPr>
      <w:r>
        <w:t>representatives from industry and employers in the following areas: practicing carpenters and contractors, commercial maintenance and facilities management, commercial and industrial construction, and the steel industry</w:t>
      </w:r>
    </w:p>
    <w:p w14:paraId="55794D66" w14:textId="77777777" w:rsidR="002E7999" w:rsidRDefault="002E7999" w:rsidP="005056E0">
      <w:pPr>
        <w:pStyle w:val="ListParagraph"/>
        <w:keepNext/>
        <w:keepLines/>
        <w:widowControl/>
        <w:numPr>
          <w:ilvl w:val="0"/>
          <w:numId w:val="19"/>
        </w:numPr>
        <w:autoSpaceDE/>
        <w:autoSpaceDN/>
        <w:contextualSpacing/>
      </w:pPr>
      <w:r>
        <w:t>Registered Training Organisations and TAFE teachers</w:t>
      </w:r>
    </w:p>
    <w:p w14:paraId="299B2DBA" w14:textId="77777777" w:rsidR="002E7999" w:rsidRDefault="002E7999" w:rsidP="005056E0">
      <w:pPr>
        <w:pStyle w:val="ListParagraph"/>
        <w:keepNext/>
        <w:keepLines/>
        <w:widowControl/>
        <w:numPr>
          <w:ilvl w:val="0"/>
          <w:numId w:val="19"/>
        </w:numPr>
        <w:autoSpaceDE/>
        <w:autoSpaceDN/>
        <w:contextualSpacing/>
      </w:pPr>
      <w:r>
        <w:t>Industry Associations, including the Housing Industry Association and Master Builders Association</w:t>
      </w:r>
    </w:p>
    <w:p w14:paraId="41361315" w14:textId="77777777" w:rsidR="002E7999" w:rsidRDefault="002E7999" w:rsidP="005056E0">
      <w:pPr>
        <w:pStyle w:val="ListParagraph"/>
        <w:keepNext/>
        <w:keepLines/>
        <w:widowControl/>
        <w:numPr>
          <w:ilvl w:val="0"/>
          <w:numId w:val="19"/>
        </w:numPr>
        <w:autoSpaceDE/>
        <w:autoSpaceDN/>
        <w:contextualSpacing/>
      </w:pPr>
      <w:r>
        <w:t>State Training Organisations</w:t>
      </w:r>
      <w:r w:rsidRPr="00360081">
        <w:t xml:space="preserve"> </w:t>
      </w:r>
      <w:r>
        <w:t xml:space="preserve">and Regulators, including Western Australia’s Department of Training and Workforce Development and Department of Education, South Australia’s Department for Industry Skills, and the Victorian Building Authority. </w:t>
      </w:r>
    </w:p>
    <w:p w14:paraId="5286F6A7" w14:textId="77777777" w:rsidR="002E7999" w:rsidRDefault="002E7999" w:rsidP="002E7999"/>
    <w:p w14:paraId="1EB13F55" w14:textId="77777777" w:rsidR="002E7999" w:rsidRPr="00FF6EB0" w:rsidRDefault="002E7999" w:rsidP="002E7999">
      <w:r>
        <w:t>No packaging option emerged from these forums as the clear industry preference. Forum feedback on packaging option preference is summarised in the following table.</w:t>
      </w:r>
    </w:p>
    <w:p w14:paraId="10D7717B" w14:textId="77777777" w:rsidR="002E7999" w:rsidRDefault="002E7999" w:rsidP="002E7999"/>
    <w:p w14:paraId="342927BE" w14:textId="77777777" w:rsidR="002E7999" w:rsidRDefault="002E7999" w:rsidP="002E7999">
      <w:pPr>
        <w:rPr>
          <w:b/>
        </w:rPr>
      </w:pPr>
      <w:r>
        <w:rPr>
          <w:b/>
        </w:rPr>
        <w:t xml:space="preserve">Table 4: </w:t>
      </w:r>
      <w:r w:rsidRPr="003C6EAC">
        <w:rPr>
          <w:b/>
        </w:rPr>
        <w:t>Industry stakeholder workshops</w:t>
      </w:r>
      <w:r>
        <w:rPr>
          <w:b/>
        </w:rPr>
        <w:t>,</w:t>
      </w:r>
      <w:r w:rsidRPr="0002005F">
        <w:rPr>
          <w:b/>
        </w:rPr>
        <w:t xml:space="preserve"> </w:t>
      </w:r>
      <w:r>
        <w:rPr>
          <w:b/>
        </w:rPr>
        <w:t>May – July 2018</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216"/>
        <w:gridCol w:w="1356"/>
        <w:gridCol w:w="3355"/>
        <w:gridCol w:w="1405"/>
      </w:tblGrid>
      <w:tr w:rsidR="002E7999" w:rsidRPr="00F97B58" w14:paraId="4D70A3F5" w14:textId="77777777" w:rsidTr="002E7999">
        <w:tc>
          <w:tcPr>
            <w:tcW w:w="1684" w:type="dxa"/>
            <w:shd w:val="clear" w:color="auto" w:fill="EEECE1" w:themeFill="background2"/>
          </w:tcPr>
          <w:p w14:paraId="29E6765F" w14:textId="77777777" w:rsidR="002E7999" w:rsidRPr="008E0D2F" w:rsidRDefault="002E7999" w:rsidP="002E7999">
            <w:pPr>
              <w:rPr>
                <w:b/>
                <w:sz w:val="20"/>
                <w:szCs w:val="20"/>
              </w:rPr>
            </w:pPr>
            <w:r w:rsidRPr="008E0D2F">
              <w:rPr>
                <w:b/>
                <w:sz w:val="20"/>
                <w:szCs w:val="20"/>
              </w:rPr>
              <w:t xml:space="preserve">State/territory </w:t>
            </w:r>
          </w:p>
        </w:tc>
        <w:tc>
          <w:tcPr>
            <w:tcW w:w="1216" w:type="dxa"/>
            <w:shd w:val="clear" w:color="auto" w:fill="EEECE1" w:themeFill="background2"/>
          </w:tcPr>
          <w:p w14:paraId="0957E5E5" w14:textId="77777777" w:rsidR="002E7999" w:rsidRPr="008E0D2F" w:rsidRDefault="002E7999" w:rsidP="002E7999">
            <w:pPr>
              <w:rPr>
                <w:b/>
                <w:sz w:val="20"/>
                <w:szCs w:val="20"/>
              </w:rPr>
            </w:pPr>
            <w:r w:rsidRPr="008E0D2F">
              <w:rPr>
                <w:b/>
                <w:sz w:val="20"/>
                <w:szCs w:val="20"/>
              </w:rPr>
              <w:t>City</w:t>
            </w:r>
          </w:p>
        </w:tc>
        <w:tc>
          <w:tcPr>
            <w:tcW w:w="1356" w:type="dxa"/>
            <w:shd w:val="clear" w:color="auto" w:fill="EEECE1" w:themeFill="background2"/>
          </w:tcPr>
          <w:p w14:paraId="0C1B2B55" w14:textId="77777777" w:rsidR="002E7999" w:rsidRPr="008E0D2F" w:rsidRDefault="002E7999" w:rsidP="002E7999">
            <w:pPr>
              <w:rPr>
                <w:b/>
                <w:sz w:val="20"/>
                <w:szCs w:val="20"/>
              </w:rPr>
            </w:pPr>
            <w:r w:rsidRPr="008E0D2F">
              <w:rPr>
                <w:b/>
                <w:sz w:val="20"/>
                <w:szCs w:val="20"/>
              </w:rPr>
              <w:t>Date</w:t>
            </w:r>
          </w:p>
        </w:tc>
        <w:tc>
          <w:tcPr>
            <w:tcW w:w="3355" w:type="dxa"/>
            <w:shd w:val="clear" w:color="auto" w:fill="EEECE1" w:themeFill="background2"/>
          </w:tcPr>
          <w:p w14:paraId="095A04A5" w14:textId="77777777" w:rsidR="002E7999" w:rsidRPr="008E0D2F" w:rsidRDefault="002E7999" w:rsidP="002E7999">
            <w:pPr>
              <w:rPr>
                <w:b/>
                <w:sz w:val="20"/>
                <w:szCs w:val="20"/>
              </w:rPr>
            </w:pPr>
            <w:r w:rsidRPr="008E0D2F">
              <w:rPr>
                <w:b/>
                <w:sz w:val="20"/>
                <w:szCs w:val="20"/>
              </w:rPr>
              <w:t>Summary of feedback</w:t>
            </w:r>
          </w:p>
        </w:tc>
        <w:tc>
          <w:tcPr>
            <w:tcW w:w="1405" w:type="dxa"/>
            <w:shd w:val="clear" w:color="auto" w:fill="EEECE1" w:themeFill="background2"/>
          </w:tcPr>
          <w:p w14:paraId="5D70DA39" w14:textId="77777777" w:rsidR="002E7999" w:rsidRPr="008E0D2F" w:rsidRDefault="002E7999" w:rsidP="002E7999">
            <w:pPr>
              <w:rPr>
                <w:b/>
                <w:sz w:val="20"/>
                <w:szCs w:val="20"/>
              </w:rPr>
            </w:pPr>
            <w:r w:rsidRPr="008E0D2F">
              <w:rPr>
                <w:b/>
                <w:sz w:val="20"/>
                <w:szCs w:val="20"/>
              </w:rPr>
              <w:t>Number of Participants</w:t>
            </w:r>
          </w:p>
        </w:tc>
      </w:tr>
      <w:tr w:rsidR="002E7999" w:rsidRPr="00F97B58" w14:paraId="23E9B412" w14:textId="77777777" w:rsidTr="002E7999">
        <w:tc>
          <w:tcPr>
            <w:tcW w:w="1684" w:type="dxa"/>
          </w:tcPr>
          <w:p w14:paraId="754ED361" w14:textId="77777777" w:rsidR="002E7999" w:rsidRPr="008E0D2F" w:rsidRDefault="002E7999" w:rsidP="002E7999">
            <w:pPr>
              <w:rPr>
                <w:sz w:val="20"/>
                <w:szCs w:val="20"/>
              </w:rPr>
            </w:pPr>
            <w:r w:rsidRPr="008E0D2F">
              <w:rPr>
                <w:sz w:val="20"/>
                <w:szCs w:val="20"/>
              </w:rPr>
              <w:t>Western Australia</w:t>
            </w:r>
          </w:p>
        </w:tc>
        <w:tc>
          <w:tcPr>
            <w:tcW w:w="1216" w:type="dxa"/>
          </w:tcPr>
          <w:p w14:paraId="6C102739" w14:textId="77777777" w:rsidR="002E7999" w:rsidRPr="008E0D2F" w:rsidRDefault="002E7999" w:rsidP="002E7999">
            <w:pPr>
              <w:rPr>
                <w:sz w:val="20"/>
                <w:szCs w:val="20"/>
              </w:rPr>
            </w:pPr>
            <w:r w:rsidRPr="008E0D2F">
              <w:rPr>
                <w:sz w:val="20"/>
                <w:szCs w:val="20"/>
              </w:rPr>
              <w:t>Perth</w:t>
            </w:r>
          </w:p>
        </w:tc>
        <w:tc>
          <w:tcPr>
            <w:tcW w:w="1356" w:type="dxa"/>
          </w:tcPr>
          <w:p w14:paraId="42BDA0A1" w14:textId="77777777" w:rsidR="002E7999" w:rsidRPr="008E0D2F" w:rsidRDefault="002E7999" w:rsidP="002E7999">
            <w:pPr>
              <w:rPr>
                <w:sz w:val="20"/>
                <w:szCs w:val="20"/>
              </w:rPr>
            </w:pPr>
            <w:r w:rsidRPr="008E0D2F">
              <w:rPr>
                <w:sz w:val="20"/>
                <w:szCs w:val="20"/>
              </w:rPr>
              <w:t>17 May 2018</w:t>
            </w:r>
          </w:p>
        </w:tc>
        <w:tc>
          <w:tcPr>
            <w:tcW w:w="3355" w:type="dxa"/>
          </w:tcPr>
          <w:p w14:paraId="7FC8221E" w14:textId="77777777" w:rsidR="002E7999" w:rsidRPr="008E0D2F" w:rsidRDefault="002E7999" w:rsidP="005056E0">
            <w:pPr>
              <w:pStyle w:val="ListParagraph"/>
              <w:keepNext/>
              <w:keepLines/>
              <w:numPr>
                <w:ilvl w:val="0"/>
                <w:numId w:val="16"/>
              </w:numPr>
              <w:contextualSpacing/>
              <w:rPr>
                <w:sz w:val="20"/>
              </w:rPr>
            </w:pPr>
            <w:r w:rsidRPr="008E0D2F">
              <w:rPr>
                <w:sz w:val="20"/>
              </w:rPr>
              <w:t>Preference for Option 2</w:t>
            </w:r>
          </w:p>
          <w:p w14:paraId="3BD1CCBD" w14:textId="77777777" w:rsidR="002E7999" w:rsidRPr="008E0D2F" w:rsidRDefault="002E7999" w:rsidP="005056E0">
            <w:pPr>
              <w:pStyle w:val="ListParagraph"/>
              <w:keepNext/>
              <w:keepLines/>
              <w:numPr>
                <w:ilvl w:val="0"/>
                <w:numId w:val="16"/>
              </w:numPr>
              <w:contextualSpacing/>
              <w:rPr>
                <w:sz w:val="20"/>
              </w:rPr>
            </w:pPr>
            <w:r w:rsidRPr="008E0D2F">
              <w:rPr>
                <w:sz w:val="20"/>
              </w:rPr>
              <w:t>54% of participants said that Option 1 is too restrictive</w:t>
            </w:r>
          </w:p>
        </w:tc>
        <w:tc>
          <w:tcPr>
            <w:tcW w:w="1405" w:type="dxa"/>
          </w:tcPr>
          <w:p w14:paraId="7AA8419A" w14:textId="77777777" w:rsidR="002E7999" w:rsidRPr="008E0D2F" w:rsidRDefault="002E7999" w:rsidP="002E7999">
            <w:pPr>
              <w:rPr>
                <w:sz w:val="20"/>
                <w:szCs w:val="20"/>
              </w:rPr>
            </w:pPr>
            <w:r w:rsidRPr="008E0D2F">
              <w:rPr>
                <w:sz w:val="20"/>
                <w:szCs w:val="20"/>
              </w:rPr>
              <w:t>11</w:t>
            </w:r>
          </w:p>
        </w:tc>
      </w:tr>
      <w:tr w:rsidR="002E7999" w:rsidRPr="00F97B58" w14:paraId="2F4800CB" w14:textId="77777777" w:rsidTr="002E7999">
        <w:tc>
          <w:tcPr>
            <w:tcW w:w="1684" w:type="dxa"/>
          </w:tcPr>
          <w:p w14:paraId="57ADEB95" w14:textId="77777777" w:rsidR="002E7999" w:rsidRPr="008E0D2F" w:rsidRDefault="002E7999" w:rsidP="002E7999">
            <w:pPr>
              <w:rPr>
                <w:sz w:val="20"/>
                <w:szCs w:val="20"/>
              </w:rPr>
            </w:pPr>
            <w:r w:rsidRPr="008E0D2F">
              <w:rPr>
                <w:sz w:val="20"/>
                <w:szCs w:val="20"/>
              </w:rPr>
              <w:t>Victoria</w:t>
            </w:r>
          </w:p>
        </w:tc>
        <w:tc>
          <w:tcPr>
            <w:tcW w:w="1216" w:type="dxa"/>
          </w:tcPr>
          <w:p w14:paraId="46339330" w14:textId="77777777" w:rsidR="002E7999" w:rsidRPr="008E0D2F" w:rsidRDefault="002E7999" w:rsidP="002E7999">
            <w:pPr>
              <w:rPr>
                <w:sz w:val="20"/>
                <w:szCs w:val="20"/>
              </w:rPr>
            </w:pPr>
            <w:r w:rsidRPr="008E0D2F">
              <w:rPr>
                <w:sz w:val="20"/>
                <w:szCs w:val="20"/>
              </w:rPr>
              <w:t>Melbourne</w:t>
            </w:r>
          </w:p>
        </w:tc>
        <w:tc>
          <w:tcPr>
            <w:tcW w:w="1356" w:type="dxa"/>
          </w:tcPr>
          <w:p w14:paraId="43A26D08" w14:textId="77777777" w:rsidR="002E7999" w:rsidRPr="008E0D2F" w:rsidRDefault="002E7999" w:rsidP="002E7999">
            <w:pPr>
              <w:rPr>
                <w:sz w:val="20"/>
                <w:szCs w:val="20"/>
              </w:rPr>
            </w:pPr>
            <w:r w:rsidRPr="008E0D2F">
              <w:rPr>
                <w:sz w:val="20"/>
                <w:szCs w:val="20"/>
              </w:rPr>
              <w:t>19 June 2018</w:t>
            </w:r>
          </w:p>
        </w:tc>
        <w:tc>
          <w:tcPr>
            <w:tcW w:w="3355" w:type="dxa"/>
          </w:tcPr>
          <w:p w14:paraId="493DA884" w14:textId="77777777" w:rsidR="002E7999" w:rsidRPr="008E0D2F" w:rsidRDefault="002E7999" w:rsidP="005056E0">
            <w:pPr>
              <w:pStyle w:val="ListParagraph"/>
              <w:keepNext/>
              <w:keepLines/>
              <w:numPr>
                <w:ilvl w:val="0"/>
                <w:numId w:val="17"/>
              </w:numPr>
              <w:contextualSpacing/>
              <w:rPr>
                <w:sz w:val="20"/>
              </w:rPr>
            </w:pPr>
            <w:r w:rsidRPr="008E0D2F">
              <w:rPr>
                <w:sz w:val="20"/>
              </w:rPr>
              <w:t>Preference for Option 1</w:t>
            </w:r>
          </w:p>
        </w:tc>
        <w:tc>
          <w:tcPr>
            <w:tcW w:w="1405" w:type="dxa"/>
          </w:tcPr>
          <w:p w14:paraId="5D76BD46" w14:textId="77777777" w:rsidR="002E7999" w:rsidRPr="008E0D2F" w:rsidRDefault="002E7999" w:rsidP="002E7999">
            <w:pPr>
              <w:rPr>
                <w:sz w:val="20"/>
                <w:szCs w:val="20"/>
              </w:rPr>
            </w:pPr>
            <w:r w:rsidRPr="008E0D2F">
              <w:rPr>
                <w:sz w:val="20"/>
                <w:szCs w:val="20"/>
              </w:rPr>
              <w:t>25</w:t>
            </w:r>
          </w:p>
        </w:tc>
      </w:tr>
      <w:tr w:rsidR="002E7999" w:rsidRPr="00F97B58" w14:paraId="2FDB3887" w14:textId="77777777" w:rsidTr="002E7999">
        <w:tc>
          <w:tcPr>
            <w:tcW w:w="1684" w:type="dxa"/>
          </w:tcPr>
          <w:p w14:paraId="785347D4" w14:textId="77777777" w:rsidR="002E7999" w:rsidRPr="008E0D2F" w:rsidRDefault="002E7999" w:rsidP="002E7999">
            <w:pPr>
              <w:rPr>
                <w:sz w:val="20"/>
                <w:szCs w:val="20"/>
              </w:rPr>
            </w:pPr>
            <w:r w:rsidRPr="008E0D2F">
              <w:rPr>
                <w:sz w:val="20"/>
                <w:szCs w:val="20"/>
              </w:rPr>
              <w:t>Tasmania</w:t>
            </w:r>
          </w:p>
        </w:tc>
        <w:tc>
          <w:tcPr>
            <w:tcW w:w="1216" w:type="dxa"/>
          </w:tcPr>
          <w:p w14:paraId="2DF79949" w14:textId="77777777" w:rsidR="002E7999" w:rsidRPr="008E0D2F" w:rsidRDefault="002E7999" w:rsidP="002E7999">
            <w:pPr>
              <w:rPr>
                <w:sz w:val="20"/>
                <w:szCs w:val="20"/>
              </w:rPr>
            </w:pPr>
            <w:r w:rsidRPr="008E0D2F">
              <w:rPr>
                <w:sz w:val="20"/>
                <w:szCs w:val="20"/>
              </w:rPr>
              <w:t>Hobart</w:t>
            </w:r>
          </w:p>
        </w:tc>
        <w:tc>
          <w:tcPr>
            <w:tcW w:w="1356" w:type="dxa"/>
          </w:tcPr>
          <w:p w14:paraId="0EC0565F" w14:textId="77777777" w:rsidR="002E7999" w:rsidRPr="008E0D2F" w:rsidRDefault="002E7999" w:rsidP="002E7999">
            <w:pPr>
              <w:rPr>
                <w:sz w:val="20"/>
                <w:szCs w:val="20"/>
              </w:rPr>
            </w:pPr>
            <w:r w:rsidRPr="008E0D2F">
              <w:rPr>
                <w:sz w:val="20"/>
                <w:szCs w:val="20"/>
              </w:rPr>
              <w:t>20 June 2018</w:t>
            </w:r>
          </w:p>
        </w:tc>
        <w:tc>
          <w:tcPr>
            <w:tcW w:w="3355" w:type="dxa"/>
          </w:tcPr>
          <w:p w14:paraId="03BE2D9E" w14:textId="77777777" w:rsidR="002E7999" w:rsidRPr="008E0D2F" w:rsidRDefault="002E7999" w:rsidP="005056E0">
            <w:pPr>
              <w:pStyle w:val="ListParagraph"/>
              <w:keepNext/>
              <w:keepLines/>
              <w:numPr>
                <w:ilvl w:val="0"/>
                <w:numId w:val="17"/>
              </w:numPr>
              <w:contextualSpacing/>
              <w:rPr>
                <w:sz w:val="20"/>
              </w:rPr>
            </w:pPr>
            <w:r w:rsidRPr="008E0D2F">
              <w:rPr>
                <w:sz w:val="20"/>
              </w:rPr>
              <w:t>Packaging preference unclear</w:t>
            </w:r>
          </w:p>
        </w:tc>
        <w:tc>
          <w:tcPr>
            <w:tcW w:w="1405" w:type="dxa"/>
          </w:tcPr>
          <w:p w14:paraId="31E8B53B" w14:textId="77777777" w:rsidR="002E7999" w:rsidRPr="008E0D2F" w:rsidRDefault="002E7999" w:rsidP="002E7999">
            <w:pPr>
              <w:rPr>
                <w:sz w:val="20"/>
                <w:szCs w:val="20"/>
              </w:rPr>
            </w:pPr>
            <w:r w:rsidRPr="008E0D2F">
              <w:rPr>
                <w:sz w:val="20"/>
                <w:szCs w:val="20"/>
              </w:rPr>
              <w:t>20</w:t>
            </w:r>
          </w:p>
          <w:p w14:paraId="477D6011" w14:textId="77777777" w:rsidR="002E7999" w:rsidRPr="008E0D2F" w:rsidRDefault="002E7999" w:rsidP="002E7999">
            <w:pPr>
              <w:rPr>
                <w:sz w:val="20"/>
                <w:szCs w:val="20"/>
              </w:rPr>
            </w:pPr>
          </w:p>
        </w:tc>
      </w:tr>
      <w:tr w:rsidR="002E7999" w:rsidRPr="00F97B58" w14:paraId="069D02D6" w14:textId="77777777" w:rsidTr="002E7999">
        <w:tc>
          <w:tcPr>
            <w:tcW w:w="1684" w:type="dxa"/>
          </w:tcPr>
          <w:p w14:paraId="08147068" w14:textId="77777777" w:rsidR="002E7999" w:rsidRPr="008E0D2F" w:rsidRDefault="002E7999" w:rsidP="002E7999">
            <w:pPr>
              <w:rPr>
                <w:sz w:val="20"/>
                <w:szCs w:val="20"/>
              </w:rPr>
            </w:pPr>
            <w:r w:rsidRPr="008E0D2F">
              <w:rPr>
                <w:sz w:val="20"/>
                <w:szCs w:val="20"/>
              </w:rPr>
              <w:t>Tasmania</w:t>
            </w:r>
          </w:p>
        </w:tc>
        <w:tc>
          <w:tcPr>
            <w:tcW w:w="1216" w:type="dxa"/>
          </w:tcPr>
          <w:p w14:paraId="132905B3" w14:textId="77777777" w:rsidR="002E7999" w:rsidRPr="008E0D2F" w:rsidRDefault="002E7999" w:rsidP="002E7999">
            <w:pPr>
              <w:rPr>
                <w:sz w:val="20"/>
                <w:szCs w:val="20"/>
              </w:rPr>
            </w:pPr>
            <w:r w:rsidRPr="008E0D2F">
              <w:rPr>
                <w:sz w:val="20"/>
                <w:szCs w:val="20"/>
              </w:rPr>
              <w:t>Devonport</w:t>
            </w:r>
          </w:p>
        </w:tc>
        <w:tc>
          <w:tcPr>
            <w:tcW w:w="1356" w:type="dxa"/>
          </w:tcPr>
          <w:p w14:paraId="27CC552F" w14:textId="77777777" w:rsidR="002E7999" w:rsidRPr="008E0D2F" w:rsidRDefault="002E7999" w:rsidP="002E7999">
            <w:pPr>
              <w:rPr>
                <w:sz w:val="20"/>
                <w:szCs w:val="20"/>
              </w:rPr>
            </w:pPr>
            <w:r w:rsidRPr="008E0D2F">
              <w:rPr>
                <w:sz w:val="20"/>
                <w:szCs w:val="20"/>
              </w:rPr>
              <w:t>21 June 2018</w:t>
            </w:r>
          </w:p>
        </w:tc>
        <w:tc>
          <w:tcPr>
            <w:tcW w:w="3355" w:type="dxa"/>
          </w:tcPr>
          <w:p w14:paraId="64ECA58B" w14:textId="77777777" w:rsidR="002E7999" w:rsidRPr="008E0D2F" w:rsidRDefault="002E7999" w:rsidP="005056E0">
            <w:pPr>
              <w:pStyle w:val="ListParagraph"/>
              <w:keepNext/>
              <w:keepLines/>
              <w:numPr>
                <w:ilvl w:val="0"/>
                <w:numId w:val="17"/>
              </w:numPr>
              <w:contextualSpacing/>
              <w:rPr>
                <w:sz w:val="20"/>
              </w:rPr>
            </w:pPr>
            <w:r w:rsidRPr="008E0D2F">
              <w:rPr>
                <w:sz w:val="20"/>
              </w:rPr>
              <w:t>Packaging preference unclear</w:t>
            </w:r>
          </w:p>
        </w:tc>
        <w:tc>
          <w:tcPr>
            <w:tcW w:w="1405" w:type="dxa"/>
          </w:tcPr>
          <w:p w14:paraId="6597AB8C" w14:textId="77777777" w:rsidR="002E7999" w:rsidRPr="008E0D2F" w:rsidRDefault="002E7999" w:rsidP="002E7999">
            <w:pPr>
              <w:rPr>
                <w:sz w:val="20"/>
                <w:szCs w:val="20"/>
              </w:rPr>
            </w:pPr>
            <w:r w:rsidRPr="008E0D2F">
              <w:rPr>
                <w:sz w:val="20"/>
                <w:szCs w:val="20"/>
              </w:rPr>
              <w:t>13</w:t>
            </w:r>
          </w:p>
        </w:tc>
      </w:tr>
      <w:tr w:rsidR="002E7999" w:rsidRPr="00F97B58" w14:paraId="157CFD20" w14:textId="77777777" w:rsidTr="002E7999">
        <w:tc>
          <w:tcPr>
            <w:tcW w:w="1684" w:type="dxa"/>
          </w:tcPr>
          <w:p w14:paraId="50829193" w14:textId="77777777" w:rsidR="002E7999" w:rsidRPr="008E0D2F" w:rsidRDefault="002E7999" w:rsidP="002E7999">
            <w:pPr>
              <w:rPr>
                <w:sz w:val="20"/>
                <w:szCs w:val="20"/>
              </w:rPr>
            </w:pPr>
            <w:r w:rsidRPr="008E0D2F">
              <w:rPr>
                <w:sz w:val="20"/>
                <w:szCs w:val="20"/>
              </w:rPr>
              <w:t>New South Wales</w:t>
            </w:r>
          </w:p>
        </w:tc>
        <w:tc>
          <w:tcPr>
            <w:tcW w:w="1216" w:type="dxa"/>
          </w:tcPr>
          <w:p w14:paraId="3C179955" w14:textId="77777777" w:rsidR="002E7999" w:rsidRPr="008E0D2F" w:rsidRDefault="002E7999" w:rsidP="002E7999">
            <w:pPr>
              <w:rPr>
                <w:sz w:val="20"/>
                <w:szCs w:val="20"/>
              </w:rPr>
            </w:pPr>
            <w:r w:rsidRPr="008E0D2F">
              <w:rPr>
                <w:sz w:val="20"/>
                <w:szCs w:val="20"/>
              </w:rPr>
              <w:t>Sydney</w:t>
            </w:r>
          </w:p>
        </w:tc>
        <w:tc>
          <w:tcPr>
            <w:tcW w:w="1356" w:type="dxa"/>
          </w:tcPr>
          <w:p w14:paraId="70621F0D" w14:textId="77777777" w:rsidR="002E7999" w:rsidRPr="008E0D2F" w:rsidRDefault="002E7999" w:rsidP="002E7999">
            <w:pPr>
              <w:rPr>
                <w:sz w:val="20"/>
                <w:szCs w:val="20"/>
              </w:rPr>
            </w:pPr>
            <w:r w:rsidRPr="008E0D2F">
              <w:rPr>
                <w:sz w:val="20"/>
                <w:szCs w:val="20"/>
              </w:rPr>
              <w:t>22 June 2018</w:t>
            </w:r>
          </w:p>
        </w:tc>
        <w:tc>
          <w:tcPr>
            <w:tcW w:w="3355" w:type="dxa"/>
          </w:tcPr>
          <w:p w14:paraId="7F4E395E" w14:textId="77777777" w:rsidR="002E7999" w:rsidRPr="008E0D2F" w:rsidRDefault="002E7999" w:rsidP="005056E0">
            <w:pPr>
              <w:pStyle w:val="ListParagraph"/>
              <w:keepNext/>
              <w:keepLines/>
              <w:numPr>
                <w:ilvl w:val="0"/>
                <w:numId w:val="16"/>
              </w:numPr>
              <w:contextualSpacing/>
              <w:rPr>
                <w:sz w:val="20"/>
              </w:rPr>
            </w:pPr>
            <w:r w:rsidRPr="008E0D2F">
              <w:rPr>
                <w:sz w:val="20"/>
              </w:rPr>
              <w:t>Preference for Option 2</w:t>
            </w:r>
          </w:p>
          <w:p w14:paraId="76FBD0E4" w14:textId="77777777" w:rsidR="002E7999" w:rsidRPr="008E0D2F" w:rsidRDefault="002E7999" w:rsidP="005056E0">
            <w:pPr>
              <w:pStyle w:val="ListParagraph"/>
              <w:keepNext/>
              <w:keepLines/>
              <w:numPr>
                <w:ilvl w:val="0"/>
                <w:numId w:val="16"/>
              </w:numPr>
              <w:contextualSpacing/>
              <w:rPr>
                <w:sz w:val="20"/>
              </w:rPr>
            </w:pPr>
            <w:r w:rsidRPr="008E0D2F">
              <w:rPr>
                <w:sz w:val="20"/>
              </w:rPr>
              <w:t>Less than 1 in 10 participants preferred Option 1</w:t>
            </w:r>
          </w:p>
          <w:p w14:paraId="3589C3DF" w14:textId="77777777" w:rsidR="002E7999" w:rsidRPr="008E0D2F" w:rsidRDefault="002E7999" w:rsidP="005056E0">
            <w:pPr>
              <w:pStyle w:val="ListParagraph"/>
              <w:keepNext/>
              <w:keepLines/>
              <w:numPr>
                <w:ilvl w:val="0"/>
                <w:numId w:val="16"/>
              </w:numPr>
              <w:contextualSpacing/>
              <w:rPr>
                <w:sz w:val="20"/>
              </w:rPr>
            </w:pPr>
            <w:r w:rsidRPr="008E0D2F">
              <w:rPr>
                <w:sz w:val="20"/>
              </w:rPr>
              <w:t>Option 1 preference of TAFE teachers</w:t>
            </w:r>
          </w:p>
        </w:tc>
        <w:tc>
          <w:tcPr>
            <w:tcW w:w="1405" w:type="dxa"/>
          </w:tcPr>
          <w:p w14:paraId="012C2466" w14:textId="77777777" w:rsidR="002E7999" w:rsidRPr="008E0D2F" w:rsidRDefault="002E7999" w:rsidP="002E7999">
            <w:pPr>
              <w:rPr>
                <w:sz w:val="20"/>
                <w:szCs w:val="20"/>
              </w:rPr>
            </w:pPr>
            <w:r w:rsidRPr="008E0D2F">
              <w:rPr>
                <w:sz w:val="20"/>
                <w:szCs w:val="20"/>
              </w:rPr>
              <w:t>8</w:t>
            </w:r>
          </w:p>
        </w:tc>
      </w:tr>
      <w:tr w:rsidR="002E7999" w:rsidRPr="00F97B58" w14:paraId="7C7F72A7" w14:textId="77777777" w:rsidTr="002E7999">
        <w:tc>
          <w:tcPr>
            <w:tcW w:w="1684" w:type="dxa"/>
          </w:tcPr>
          <w:p w14:paraId="77078492" w14:textId="77777777" w:rsidR="002E7999" w:rsidRPr="008E0D2F" w:rsidRDefault="002E7999" w:rsidP="002E7999">
            <w:pPr>
              <w:rPr>
                <w:sz w:val="20"/>
                <w:szCs w:val="20"/>
              </w:rPr>
            </w:pPr>
            <w:r w:rsidRPr="008E0D2F">
              <w:rPr>
                <w:sz w:val="20"/>
                <w:szCs w:val="20"/>
              </w:rPr>
              <w:t>South Australia</w:t>
            </w:r>
          </w:p>
        </w:tc>
        <w:tc>
          <w:tcPr>
            <w:tcW w:w="1216" w:type="dxa"/>
          </w:tcPr>
          <w:p w14:paraId="7675D979" w14:textId="77777777" w:rsidR="002E7999" w:rsidRPr="008E0D2F" w:rsidRDefault="002E7999" w:rsidP="002E7999">
            <w:pPr>
              <w:rPr>
                <w:sz w:val="20"/>
                <w:szCs w:val="20"/>
              </w:rPr>
            </w:pPr>
            <w:r w:rsidRPr="008E0D2F">
              <w:rPr>
                <w:sz w:val="20"/>
                <w:szCs w:val="20"/>
              </w:rPr>
              <w:t>Adelaide</w:t>
            </w:r>
          </w:p>
        </w:tc>
        <w:tc>
          <w:tcPr>
            <w:tcW w:w="1356" w:type="dxa"/>
          </w:tcPr>
          <w:p w14:paraId="2224E5EE" w14:textId="77777777" w:rsidR="002E7999" w:rsidRPr="008E0D2F" w:rsidRDefault="002E7999" w:rsidP="002E7999">
            <w:pPr>
              <w:rPr>
                <w:sz w:val="20"/>
                <w:szCs w:val="20"/>
              </w:rPr>
            </w:pPr>
            <w:r w:rsidRPr="008E0D2F">
              <w:rPr>
                <w:sz w:val="20"/>
                <w:szCs w:val="20"/>
              </w:rPr>
              <w:t>11 July 2018</w:t>
            </w:r>
          </w:p>
        </w:tc>
        <w:tc>
          <w:tcPr>
            <w:tcW w:w="3355" w:type="dxa"/>
          </w:tcPr>
          <w:p w14:paraId="7C958F62" w14:textId="77777777" w:rsidR="002E7999" w:rsidRPr="008E0D2F" w:rsidRDefault="002E7999" w:rsidP="005056E0">
            <w:pPr>
              <w:pStyle w:val="ListParagraph"/>
              <w:keepNext/>
              <w:keepLines/>
              <w:numPr>
                <w:ilvl w:val="0"/>
                <w:numId w:val="18"/>
              </w:numPr>
              <w:contextualSpacing/>
              <w:rPr>
                <w:sz w:val="20"/>
              </w:rPr>
            </w:pPr>
            <w:r w:rsidRPr="008E0D2F">
              <w:rPr>
                <w:sz w:val="20"/>
              </w:rPr>
              <w:t>Packaging preference unclear</w:t>
            </w:r>
          </w:p>
        </w:tc>
        <w:tc>
          <w:tcPr>
            <w:tcW w:w="1405" w:type="dxa"/>
          </w:tcPr>
          <w:p w14:paraId="10AA9E16" w14:textId="77777777" w:rsidR="002E7999" w:rsidRPr="008E0D2F" w:rsidRDefault="002E7999" w:rsidP="002E7999">
            <w:pPr>
              <w:rPr>
                <w:sz w:val="20"/>
                <w:szCs w:val="20"/>
              </w:rPr>
            </w:pPr>
            <w:r w:rsidRPr="008E0D2F">
              <w:rPr>
                <w:sz w:val="20"/>
                <w:szCs w:val="20"/>
              </w:rPr>
              <w:t>23</w:t>
            </w:r>
          </w:p>
        </w:tc>
      </w:tr>
      <w:tr w:rsidR="002E7999" w:rsidRPr="00F97B58" w14:paraId="5B4B0719" w14:textId="77777777" w:rsidTr="002E7999">
        <w:tc>
          <w:tcPr>
            <w:tcW w:w="1684" w:type="dxa"/>
          </w:tcPr>
          <w:p w14:paraId="405E6781" w14:textId="77777777" w:rsidR="002E7999" w:rsidRPr="008E0D2F" w:rsidRDefault="002E7999" w:rsidP="002E7999">
            <w:pPr>
              <w:rPr>
                <w:sz w:val="20"/>
                <w:szCs w:val="20"/>
              </w:rPr>
            </w:pPr>
            <w:r w:rsidRPr="008E0D2F">
              <w:rPr>
                <w:sz w:val="20"/>
                <w:szCs w:val="20"/>
              </w:rPr>
              <w:t>Queensland</w:t>
            </w:r>
          </w:p>
        </w:tc>
        <w:tc>
          <w:tcPr>
            <w:tcW w:w="1216" w:type="dxa"/>
          </w:tcPr>
          <w:p w14:paraId="00B59D01" w14:textId="77777777" w:rsidR="002E7999" w:rsidRPr="008E0D2F" w:rsidRDefault="002E7999" w:rsidP="002E7999">
            <w:pPr>
              <w:rPr>
                <w:sz w:val="20"/>
                <w:szCs w:val="20"/>
              </w:rPr>
            </w:pPr>
            <w:r w:rsidRPr="008E0D2F">
              <w:rPr>
                <w:sz w:val="20"/>
                <w:szCs w:val="20"/>
              </w:rPr>
              <w:t>Brisbane</w:t>
            </w:r>
          </w:p>
        </w:tc>
        <w:tc>
          <w:tcPr>
            <w:tcW w:w="1356" w:type="dxa"/>
          </w:tcPr>
          <w:p w14:paraId="5254DA5F" w14:textId="77777777" w:rsidR="002E7999" w:rsidRPr="008E0D2F" w:rsidRDefault="002E7999" w:rsidP="002E7999">
            <w:pPr>
              <w:rPr>
                <w:sz w:val="20"/>
                <w:szCs w:val="20"/>
              </w:rPr>
            </w:pPr>
            <w:r w:rsidRPr="008E0D2F">
              <w:rPr>
                <w:sz w:val="20"/>
                <w:szCs w:val="20"/>
              </w:rPr>
              <w:t>18 July 2018</w:t>
            </w:r>
          </w:p>
        </w:tc>
        <w:tc>
          <w:tcPr>
            <w:tcW w:w="3355" w:type="dxa"/>
          </w:tcPr>
          <w:p w14:paraId="1C4A5265" w14:textId="77777777" w:rsidR="002E7999" w:rsidRPr="008E0D2F" w:rsidRDefault="002E7999" w:rsidP="005056E0">
            <w:pPr>
              <w:pStyle w:val="ListParagraph"/>
              <w:keepNext/>
              <w:keepLines/>
              <w:numPr>
                <w:ilvl w:val="0"/>
                <w:numId w:val="16"/>
              </w:numPr>
              <w:contextualSpacing/>
              <w:rPr>
                <w:sz w:val="20"/>
              </w:rPr>
            </w:pPr>
            <w:r w:rsidRPr="008E0D2F">
              <w:rPr>
                <w:sz w:val="20"/>
              </w:rPr>
              <w:t>Preference for Option 1</w:t>
            </w:r>
          </w:p>
        </w:tc>
        <w:tc>
          <w:tcPr>
            <w:tcW w:w="1405" w:type="dxa"/>
          </w:tcPr>
          <w:p w14:paraId="6A47B080" w14:textId="77777777" w:rsidR="002E7999" w:rsidRPr="008E0D2F" w:rsidRDefault="002E7999" w:rsidP="002E7999">
            <w:pPr>
              <w:rPr>
                <w:sz w:val="20"/>
                <w:szCs w:val="20"/>
              </w:rPr>
            </w:pPr>
            <w:r w:rsidRPr="008E0D2F">
              <w:rPr>
                <w:sz w:val="20"/>
                <w:szCs w:val="20"/>
              </w:rPr>
              <w:t>29</w:t>
            </w:r>
          </w:p>
        </w:tc>
      </w:tr>
      <w:tr w:rsidR="002E7999" w:rsidRPr="00F97B58" w14:paraId="1016D72C" w14:textId="77777777" w:rsidTr="002E7999">
        <w:tc>
          <w:tcPr>
            <w:tcW w:w="1684" w:type="dxa"/>
          </w:tcPr>
          <w:p w14:paraId="685C39CC" w14:textId="77777777" w:rsidR="002E7999" w:rsidRPr="008E0D2F" w:rsidRDefault="002E7999" w:rsidP="002E7999">
            <w:pPr>
              <w:rPr>
                <w:sz w:val="20"/>
                <w:szCs w:val="20"/>
              </w:rPr>
            </w:pPr>
            <w:r w:rsidRPr="008E0D2F">
              <w:rPr>
                <w:sz w:val="20"/>
                <w:szCs w:val="20"/>
              </w:rPr>
              <w:t>Northern Territory</w:t>
            </w:r>
          </w:p>
        </w:tc>
        <w:tc>
          <w:tcPr>
            <w:tcW w:w="1216" w:type="dxa"/>
          </w:tcPr>
          <w:p w14:paraId="352240A5" w14:textId="77777777" w:rsidR="002E7999" w:rsidRPr="008E0D2F" w:rsidRDefault="002E7999" w:rsidP="002E7999">
            <w:pPr>
              <w:rPr>
                <w:sz w:val="20"/>
                <w:szCs w:val="20"/>
              </w:rPr>
            </w:pPr>
            <w:r w:rsidRPr="008E0D2F">
              <w:rPr>
                <w:sz w:val="20"/>
                <w:szCs w:val="20"/>
              </w:rPr>
              <w:t>Online and email</w:t>
            </w:r>
          </w:p>
        </w:tc>
        <w:tc>
          <w:tcPr>
            <w:tcW w:w="1356" w:type="dxa"/>
          </w:tcPr>
          <w:p w14:paraId="7E16C53E" w14:textId="77777777" w:rsidR="002E7999" w:rsidRPr="008E0D2F" w:rsidRDefault="002E7999" w:rsidP="002E7999">
            <w:pPr>
              <w:rPr>
                <w:sz w:val="20"/>
                <w:szCs w:val="20"/>
              </w:rPr>
            </w:pPr>
            <w:r w:rsidRPr="008E0D2F">
              <w:rPr>
                <w:sz w:val="20"/>
                <w:szCs w:val="20"/>
              </w:rPr>
              <w:t>25 May 2018</w:t>
            </w:r>
          </w:p>
        </w:tc>
        <w:tc>
          <w:tcPr>
            <w:tcW w:w="3355" w:type="dxa"/>
          </w:tcPr>
          <w:p w14:paraId="4A99CA6B" w14:textId="77777777" w:rsidR="002E7999" w:rsidRPr="008E0D2F" w:rsidRDefault="002E7999" w:rsidP="005056E0">
            <w:pPr>
              <w:pStyle w:val="ListParagraph"/>
              <w:keepNext/>
              <w:keepLines/>
              <w:numPr>
                <w:ilvl w:val="0"/>
                <w:numId w:val="16"/>
              </w:numPr>
              <w:contextualSpacing/>
              <w:rPr>
                <w:sz w:val="20"/>
              </w:rPr>
            </w:pPr>
            <w:r w:rsidRPr="008E0D2F">
              <w:rPr>
                <w:sz w:val="20"/>
              </w:rPr>
              <w:t>Opposition to Option 2 because of concern people would opt for less complex pathway, resulting in lower skill level outside specialisation</w:t>
            </w:r>
          </w:p>
        </w:tc>
        <w:tc>
          <w:tcPr>
            <w:tcW w:w="1405" w:type="dxa"/>
          </w:tcPr>
          <w:p w14:paraId="08F73E1F" w14:textId="77777777" w:rsidR="002E7999" w:rsidRPr="008E0D2F" w:rsidRDefault="002E7999" w:rsidP="002E7999">
            <w:pPr>
              <w:rPr>
                <w:sz w:val="20"/>
                <w:szCs w:val="20"/>
              </w:rPr>
            </w:pPr>
            <w:r>
              <w:rPr>
                <w:sz w:val="20"/>
                <w:szCs w:val="20"/>
              </w:rPr>
              <w:t>5</w:t>
            </w:r>
          </w:p>
        </w:tc>
      </w:tr>
      <w:tr w:rsidR="002E7999" w:rsidRPr="00F97B58" w14:paraId="1809891B" w14:textId="77777777" w:rsidTr="002E7999">
        <w:tc>
          <w:tcPr>
            <w:tcW w:w="1684" w:type="dxa"/>
          </w:tcPr>
          <w:p w14:paraId="57497765" w14:textId="77777777" w:rsidR="002E7999" w:rsidRPr="008E0D2F" w:rsidRDefault="002E7999" w:rsidP="002E7999">
            <w:pPr>
              <w:rPr>
                <w:b/>
                <w:sz w:val="20"/>
                <w:szCs w:val="20"/>
              </w:rPr>
            </w:pPr>
          </w:p>
        </w:tc>
        <w:tc>
          <w:tcPr>
            <w:tcW w:w="1216" w:type="dxa"/>
          </w:tcPr>
          <w:p w14:paraId="38763150" w14:textId="77777777" w:rsidR="002E7999" w:rsidRPr="008E0D2F" w:rsidRDefault="002E7999" w:rsidP="002E7999">
            <w:pPr>
              <w:rPr>
                <w:sz w:val="20"/>
                <w:szCs w:val="20"/>
              </w:rPr>
            </w:pPr>
          </w:p>
        </w:tc>
        <w:tc>
          <w:tcPr>
            <w:tcW w:w="1356" w:type="dxa"/>
          </w:tcPr>
          <w:p w14:paraId="294E98D0" w14:textId="77777777" w:rsidR="002E7999" w:rsidRPr="008E0D2F" w:rsidRDefault="002E7999" w:rsidP="002E7999">
            <w:pPr>
              <w:rPr>
                <w:sz w:val="20"/>
                <w:szCs w:val="20"/>
              </w:rPr>
            </w:pPr>
          </w:p>
        </w:tc>
        <w:tc>
          <w:tcPr>
            <w:tcW w:w="3355" w:type="dxa"/>
          </w:tcPr>
          <w:p w14:paraId="474939BB" w14:textId="77777777" w:rsidR="002E7999" w:rsidRPr="008E0D2F" w:rsidRDefault="002E7999" w:rsidP="002E7999">
            <w:pPr>
              <w:jc w:val="right"/>
              <w:rPr>
                <w:sz w:val="20"/>
                <w:szCs w:val="20"/>
              </w:rPr>
            </w:pPr>
            <w:r w:rsidRPr="008E0D2F">
              <w:rPr>
                <w:sz w:val="20"/>
                <w:szCs w:val="20"/>
              </w:rPr>
              <w:t>Total</w:t>
            </w:r>
          </w:p>
        </w:tc>
        <w:tc>
          <w:tcPr>
            <w:tcW w:w="1405" w:type="dxa"/>
          </w:tcPr>
          <w:p w14:paraId="5F38906D" w14:textId="77777777" w:rsidR="002E7999" w:rsidRPr="008E0D2F" w:rsidRDefault="002E7999" w:rsidP="002E7999">
            <w:pPr>
              <w:rPr>
                <w:sz w:val="20"/>
                <w:szCs w:val="20"/>
              </w:rPr>
            </w:pPr>
            <w:r w:rsidRPr="008E0D2F">
              <w:rPr>
                <w:sz w:val="20"/>
                <w:szCs w:val="20"/>
              </w:rPr>
              <w:t>13</w:t>
            </w:r>
            <w:r>
              <w:rPr>
                <w:sz w:val="20"/>
                <w:szCs w:val="20"/>
              </w:rPr>
              <w:t>4</w:t>
            </w:r>
          </w:p>
        </w:tc>
      </w:tr>
    </w:tbl>
    <w:p w14:paraId="636A76D8" w14:textId="603DAFF2" w:rsidR="002E7999" w:rsidRDefault="002E7999">
      <w:pPr>
        <w:pStyle w:val="BodyText"/>
      </w:pPr>
    </w:p>
    <w:p w14:paraId="680538E7" w14:textId="77777777" w:rsidR="002E7999" w:rsidRPr="0028214C" w:rsidRDefault="002E7999" w:rsidP="002E7999">
      <w:pPr>
        <w:pStyle w:val="ArtibusCfE2"/>
        <w:spacing w:before="0"/>
        <w:rPr>
          <w:bCs w:val="0"/>
          <w:iCs/>
        </w:rPr>
      </w:pPr>
      <w:r>
        <w:rPr>
          <w:bCs w:val="0"/>
          <w:iCs/>
        </w:rPr>
        <w:t xml:space="preserve">Industry and Stakeholder </w:t>
      </w:r>
      <w:r w:rsidRPr="0028214C">
        <w:rPr>
          <w:bCs w:val="0"/>
          <w:iCs/>
        </w:rPr>
        <w:t>Surveys</w:t>
      </w:r>
    </w:p>
    <w:p w14:paraId="2B64DFF1" w14:textId="77777777" w:rsidR="002E7999" w:rsidRDefault="002E7999" w:rsidP="002E7999"/>
    <w:p w14:paraId="57EFFB36" w14:textId="77777777" w:rsidR="002E7999" w:rsidRDefault="002E7999" w:rsidP="002E7999">
      <w:r>
        <w:t xml:space="preserve">Industry and stakeholders were provided with three opportunities to provide feedback on the proposed qualifications and training components through accessible, nationwide, online surveys. </w:t>
      </w:r>
    </w:p>
    <w:p w14:paraId="2C853E94" w14:textId="77777777" w:rsidR="002E7999" w:rsidRDefault="002E7999" w:rsidP="002E7999">
      <w:r>
        <w:t xml:space="preserve">The surveys were made available publicly online via the Artibus Innovation website and promoted to a large subscriber list (subscriber range: 3975 to 4037) through the Artibus Innovation general newsletter, carpentry and joinery subscriber list, as well as through TAG member and working group networks. </w:t>
      </w:r>
    </w:p>
    <w:p w14:paraId="0EBE8631" w14:textId="77777777" w:rsidR="002E7999" w:rsidRDefault="002E7999" w:rsidP="002E7999">
      <w:r>
        <w:t>Surveys contained links to d</w:t>
      </w:r>
      <w:r w:rsidRPr="00FF6EB0">
        <w:t xml:space="preserve">raft materials </w:t>
      </w:r>
      <w:r>
        <w:t xml:space="preserve">available for download and review. This allowed respondents to </w:t>
      </w:r>
      <w:r w:rsidRPr="00FF6EB0">
        <w:t>provide feedback on the qualifications</w:t>
      </w:r>
      <w:r>
        <w:t>, packaging options</w:t>
      </w:r>
      <w:r w:rsidRPr="00FF6EB0">
        <w:t xml:space="preserve"> and individual units of competency.</w:t>
      </w:r>
      <w:r>
        <w:t xml:space="preserve"> Surveys were open across the dates in the table below.</w:t>
      </w:r>
    </w:p>
    <w:p w14:paraId="3E2EB1C9" w14:textId="77777777" w:rsidR="002E7999" w:rsidRDefault="002E7999" w:rsidP="002E7999"/>
    <w:p w14:paraId="20673766" w14:textId="77777777" w:rsidR="002E7999" w:rsidRDefault="002E7999" w:rsidP="002E7999">
      <w:r>
        <w:rPr>
          <w:b/>
        </w:rPr>
        <w:t xml:space="preserve">Table 5: Nationwide, online industry and stakeholder surveys </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065"/>
        <w:gridCol w:w="2547"/>
        <w:gridCol w:w="1512"/>
      </w:tblGrid>
      <w:tr w:rsidR="002E7999" w:rsidRPr="00013467" w14:paraId="76B4C0BB" w14:textId="77777777" w:rsidTr="002E7999">
        <w:tc>
          <w:tcPr>
            <w:tcW w:w="892" w:type="dxa"/>
            <w:shd w:val="clear" w:color="auto" w:fill="EEECE1" w:themeFill="background2"/>
          </w:tcPr>
          <w:p w14:paraId="32C5138E" w14:textId="77777777" w:rsidR="002E7999" w:rsidRPr="008E0D2F" w:rsidRDefault="002E7999" w:rsidP="002E7999">
            <w:pPr>
              <w:rPr>
                <w:b/>
                <w:sz w:val="20"/>
                <w:szCs w:val="20"/>
              </w:rPr>
            </w:pPr>
            <w:r w:rsidRPr="008E0D2F">
              <w:rPr>
                <w:b/>
                <w:sz w:val="20"/>
                <w:szCs w:val="20"/>
              </w:rPr>
              <w:t>Survey</w:t>
            </w:r>
          </w:p>
        </w:tc>
        <w:tc>
          <w:tcPr>
            <w:tcW w:w="4065" w:type="dxa"/>
            <w:shd w:val="clear" w:color="auto" w:fill="EEECE1" w:themeFill="background2"/>
          </w:tcPr>
          <w:p w14:paraId="4D8BFDB6" w14:textId="77777777" w:rsidR="002E7999" w:rsidRPr="008E0D2F" w:rsidRDefault="002E7999" w:rsidP="002E7999">
            <w:pPr>
              <w:rPr>
                <w:b/>
                <w:sz w:val="20"/>
                <w:szCs w:val="20"/>
              </w:rPr>
            </w:pPr>
            <w:r w:rsidRPr="008E0D2F">
              <w:rPr>
                <w:b/>
                <w:sz w:val="20"/>
                <w:szCs w:val="20"/>
              </w:rPr>
              <w:t>Survey Description</w:t>
            </w:r>
          </w:p>
        </w:tc>
        <w:tc>
          <w:tcPr>
            <w:tcW w:w="2547" w:type="dxa"/>
            <w:shd w:val="clear" w:color="auto" w:fill="EEECE1" w:themeFill="background2"/>
          </w:tcPr>
          <w:p w14:paraId="0E9101C4" w14:textId="77777777" w:rsidR="002E7999" w:rsidRPr="008E0D2F" w:rsidRDefault="002E7999" w:rsidP="002E7999">
            <w:pPr>
              <w:rPr>
                <w:b/>
                <w:sz w:val="20"/>
                <w:szCs w:val="20"/>
              </w:rPr>
            </w:pPr>
            <w:r w:rsidRPr="008E0D2F">
              <w:rPr>
                <w:b/>
                <w:sz w:val="20"/>
                <w:szCs w:val="20"/>
              </w:rPr>
              <w:t>Survey open</w:t>
            </w:r>
          </w:p>
        </w:tc>
        <w:tc>
          <w:tcPr>
            <w:tcW w:w="1512" w:type="dxa"/>
            <w:shd w:val="clear" w:color="auto" w:fill="EEECE1" w:themeFill="background2"/>
          </w:tcPr>
          <w:p w14:paraId="6BFD7D17" w14:textId="77777777" w:rsidR="002E7999" w:rsidRPr="008E0D2F" w:rsidRDefault="002E7999" w:rsidP="002E7999">
            <w:pPr>
              <w:rPr>
                <w:b/>
                <w:sz w:val="20"/>
                <w:szCs w:val="20"/>
              </w:rPr>
            </w:pPr>
            <w:r w:rsidRPr="008E0D2F">
              <w:rPr>
                <w:b/>
                <w:sz w:val="20"/>
                <w:szCs w:val="20"/>
              </w:rPr>
              <w:t>Number of Respondents</w:t>
            </w:r>
          </w:p>
        </w:tc>
      </w:tr>
      <w:tr w:rsidR="002E7999" w:rsidRPr="00013467" w14:paraId="6925D388" w14:textId="77777777" w:rsidTr="002E7999">
        <w:tc>
          <w:tcPr>
            <w:tcW w:w="892" w:type="dxa"/>
          </w:tcPr>
          <w:p w14:paraId="0F52BCFF" w14:textId="77777777" w:rsidR="002E7999" w:rsidRPr="008E0D2F" w:rsidRDefault="002E7999" w:rsidP="002E7999">
            <w:pPr>
              <w:rPr>
                <w:sz w:val="20"/>
                <w:szCs w:val="20"/>
              </w:rPr>
            </w:pPr>
            <w:r w:rsidRPr="008E0D2F">
              <w:rPr>
                <w:sz w:val="20"/>
                <w:szCs w:val="20"/>
              </w:rPr>
              <w:t>1</w:t>
            </w:r>
          </w:p>
        </w:tc>
        <w:tc>
          <w:tcPr>
            <w:tcW w:w="4065" w:type="dxa"/>
          </w:tcPr>
          <w:p w14:paraId="74294E3D" w14:textId="77777777" w:rsidR="002E7999" w:rsidRPr="008E0D2F" w:rsidRDefault="002E7999" w:rsidP="002E7999">
            <w:pPr>
              <w:rPr>
                <w:sz w:val="20"/>
                <w:szCs w:val="20"/>
              </w:rPr>
            </w:pPr>
            <w:r w:rsidRPr="008E0D2F">
              <w:rPr>
                <w:sz w:val="20"/>
                <w:szCs w:val="20"/>
              </w:rPr>
              <w:t>Stakeholder survey on qualifications and packaging options (Draft pack 1)</w:t>
            </w:r>
          </w:p>
        </w:tc>
        <w:tc>
          <w:tcPr>
            <w:tcW w:w="2547" w:type="dxa"/>
          </w:tcPr>
          <w:p w14:paraId="6FAB5E90" w14:textId="77777777" w:rsidR="002E7999" w:rsidRPr="008E0D2F" w:rsidRDefault="002E7999" w:rsidP="002E7999">
            <w:pPr>
              <w:rPr>
                <w:sz w:val="20"/>
                <w:szCs w:val="20"/>
              </w:rPr>
            </w:pPr>
            <w:r w:rsidRPr="008E0D2F">
              <w:rPr>
                <w:sz w:val="20"/>
                <w:szCs w:val="20"/>
              </w:rPr>
              <w:t>20 April – 4 May 2018</w:t>
            </w:r>
          </w:p>
        </w:tc>
        <w:tc>
          <w:tcPr>
            <w:tcW w:w="1512" w:type="dxa"/>
          </w:tcPr>
          <w:p w14:paraId="1C57A370" w14:textId="77777777" w:rsidR="002E7999" w:rsidRPr="008E0D2F" w:rsidRDefault="002E7999" w:rsidP="002E7999">
            <w:pPr>
              <w:rPr>
                <w:sz w:val="20"/>
                <w:szCs w:val="20"/>
              </w:rPr>
            </w:pPr>
            <w:r w:rsidRPr="008E0D2F">
              <w:rPr>
                <w:sz w:val="20"/>
                <w:szCs w:val="20"/>
              </w:rPr>
              <w:t>110</w:t>
            </w:r>
          </w:p>
        </w:tc>
      </w:tr>
      <w:tr w:rsidR="002E7999" w:rsidRPr="00013467" w14:paraId="7038FC5C" w14:textId="77777777" w:rsidTr="002E7999">
        <w:tc>
          <w:tcPr>
            <w:tcW w:w="892" w:type="dxa"/>
          </w:tcPr>
          <w:p w14:paraId="6B30EC0F" w14:textId="77777777" w:rsidR="002E7999" w:rsidRPr="008E0D2F" w:rsidRDefault="002E7999" w:rsidP="002E7999">
            <w:pPr>
              <w:rPr>
                <w:sz w:val="20"/>
                <w:szCs w:val="20"/>
              </w:rPr>
            </w:pPr>
            <w:r w:rsidRPr="008E0D2F">
              <w:rPr>
                <w:sz w:val="20"/>
                <w:szCs w:val="20"/>
              </w:rPr>
              <w:t>2</w:t>
            </w:r>
          </w:p>
        </w:tc>
        <w:tc>
          <w:tcPr>
            <w:tcW w:w="4065" w:type="dxa"/>
          </w:tcPr>
          <w:p w14:paraId="4EDCEB9E" w14:textId="77777777" w:rsidR="002E7999" w:rsidRPr="008E0D2F" w:rsidRDefault="002E7999" w:rsidP="002E7999">
            <w:pPr>
              <w:rPr>
                <w:sz w:val="20"/>
                <w:szCs w:val="20"/>
              </w:rPr>
            </w:pPr>
            <w:r w:rsidRPr="008E0D2F">
              <w:rPr>
                <w:sz w:val="20"/>
                <w:szCs w:val="20"/>
              </w:rPr>
              <w:t>Carpentry and Joinery Surveys and Submissions on revised qualifications (Draft pack 2)</w:t>
            </w:r>
          </w:p>
        </w:tc>
        <w:tc>
          <w:tcPr>
            <w:tcW w:w="2547" w:type="dxa"/>
          </w:tcPr>
          <w:p w14:paraId="0C47E318" w14:textId="77777777" w:rsidR="002E7999" w:rsidRPr="008E0D2F" w:rsidRDefault="002E7999" w:rsidP="002E7999">
            <w:pPr>
              <w:rPr>
                <w:sz w:val="20"/>
                <w:szCs w:val="20"/>
              </w:rPr>
            </w:pPr>
            <w:r w:rsidRPr="008E0D2F">
              <w:rPr>
                <w:sz w:val="20"/>
                <w:szCs w:val="20"/>
              </w:rPr>
              <w:t>15 – 29 October 2018</w:t>
            </w:r>
          </w:p>
        </w:tc>
        <w:tc>
          <w:tcPr>
            <w:tcW w:w="1512" w:type="dxa"/>
          </w:tcPr>
          <w:p w14:paraId="3CDFC944" w14:textId="77777777" w:rsidR="002E7999" w:rsidRPr="008E0D2F" w:rsidRDefault="002E7999" w:rsidP="002E7999">
            <w:pPr>
              <w:rPr>
                <w:sz w:val="20"/>
                <w:szCs w:val="20"/>
              </w:rPr>
            </w:pPr>
            <w:r w:rsidRPr="008E0D2F">
              <w:rPr>
                <w:sz w:val="20"/>
                <w:szCs w:val="20"/>
              </w:rPr>
              <w:t>39</w:t>
            </w:r>
          </w:p>
        </w:tc>
      </w:tr>
      <w:tr w:rsidR="002E7999" w:rsidRPr="00013467" w14:paraId="2569250C" w14:textId="77777777" w:rsidTr="002E7999">
        <w:tc>
          <w:tcPr>
            <w:tcW w:w="892" w:type="dxa"/>
          </w:tcPr>
          <w:p w14:paraId="55363A46" w14:textId="77777777" w:rsidR="002E7999" w:rsidRPr="008E0D2F" w:rsidRDefault="002E7999" w:rsidP="002E7999">
            <w:pPr>
              <w:rPr>
                <w:sz w:val="20"/>
                <w:szCs w:val="20"/>
              </w:rPr>
            </w:pPr>
            <w:r w:rsidRPr="008E0D2F">
              <w:rPr>
                <w:sz w:val="20"/>
                <w:szCs w:val="20"/>
              </w:rPr>
              <w:t>3</w:t>
            </w:r>
          </w:p>
        </w:tc>
        <w:tc>
          <w:tcPr>
            <w:tcW w:w="4065" w:type="dxa"/>
          </w:tcPr>
          <w:p w14:paraId="1C667C27" w14:textId="77777777" w:rsidR="002E7999" w:rsidRPr="008E0D2F" w:rsidRDefault="002E7999" w:rsidP="002E7999">
            <w:pPr>
              <w:rPr>
                <w:sz w:val="20"/>
                <w:szCs w:val="20"/>
              </w:rPr>
            </w:pPr>
            <w:r w:rsidRPr="008E0D2F">
              <w:rPr>
                <w:sz w:val="20"/>
                <w:szCs w:val="20"/>
              </w:rPr>
              <w:t>Final survey (Draft pack 3)</w:t>
            </w:r>
          </w:p>
        </w:tc>
        <w:tc>
          <w:tcPr>
            <w:tcW w:w="2547" w:type="dxa"/>
          </w:tcPr>
          <w:p w14:paraId="22B5AD26" w14:textId="77777777" w:rsidR="002E7999" w:rsidRPr="008E0D2F" w:rsidRDefault="002E7999" w:rsidP="002E7999">
            <w:pPr>
              <w:rPr>
                <w:sz w:val="20"/>
                <w:szCs w:val="20"/>
              </w:rPr>
            </w:pPr>
            <w:r w:rsidRPr="008E0D2F">
              <w:rPr>
                <w:sz w:val="20"/>
                <w:szCs w:val="20"/>
              </w:rPr>
              <w:t>10 April – 9 May 2019</w:t>
            </w:r>
          </w:p>
        </w:tc>
        <w:tc>
          <w:tcPr>
            <w:tcW w:w="1512" w:type="dxa"/>
          </w:tcPr>
          <w:p w14:paraId="2EC06180" w14:textId="77777777" w:rsidR="002E7999" w:rsidRPr="008E0D2F" w:rsidRDefault="002E7999" w:rsidP="002E7999">
            <w:pPr>
              <w:rPr>
                <w:sz w:val="20"/>
                <w:szCs w:val="20"/>
              </w:rPr>
            </w:pPr>
            <w:r w:rsidRPr="008E0D2F">
              <w:rPr>
                <w:sz w:val="20"/>
                <w:szCs w:val="20"/>
              </w:rPr>
              <w:t>13</w:t>
            </w:r>
          </w:p>
        </w:tc>
      </w:tr>
    </w:tbl>
    <w:p w14:paraId="4DBF0404" w14:textId="77777777" w:rsidR="002E7999" w:rsidRDefault="002E7999" w:rsidP="002E7999"/>
    <w:p w14:paraId="3409F24F" w14:textId="77777777" w:rsidR="002E7999" w:rsidRDefault="002E7999" w:rsidP="002E7999">
      <w:r>
        <w:t xml:space="preserve">Survey feedback was compiled into reports for the TAG to discuss and action where needed to the qualifications and units of competency. </w:t>
      </w:r>
    </w:p>
    <w:p w14:paraId="7CA186E7" w14:textId="77777777" w:rsidR="002E7999" w:rsidRDefault="002E7999" w:rsidP="002E7999">
      <w:pPr>
        <w:rPr>
          <w:b/>
          <w:bCs/>
        </w:rPr>
      </w:pPr>
    </w:p>
    <w:p w14:paraId="5BC153B0" w14:textId="77777777" w:rsidR="002E7999" w:rsidRDefault="002E7999" w:rsidP="002E7999">
      <w:pPr>
        <w:rPr>
          <w:b/>
          <w:bCs/>
        </w:rPr>
      </w:pPr>
      <w:r w:rsidRPr="00FC527F">
        <w:rPr>
          <w:b/>
          <w:bCs/>
        </w:rPr>
        <w:t xml:space="preserve">Summary of feedback from </w:t>
      </w:r>
      <w:r>
        <w:rPr>
          <w:b/>
          <w:bCs/>
        </w:rPr>
        <w:t>S</w:t>
      </w:r>
      <w:r w:rsidRPr="00FC527F">
        <w:rPr>
          <w:b/>
          <w:bCs/>
        </w:rPr>
        <w:t>urvey</w:t>
      </w:r>
      <w:r>
        <w:rPr>
          <w:b/>
          <w:bCs/>
        </w:rPr>
        <w:t xml:space="preserve"> 1</w:t>
      </w:r>
    </w:p>
    <w:p w14:paraId="22B465E0" w14:textId="77777777" w:rsidR="002E7999" w:rsidRDefault="002E7999" w:rsidP="002E7999">
      <w:pPr>
        <w:rPr>
          <w:bCs/>
          <w:iCs/>
          <w:color w:val="000000" w:themeColor="text1"/>
        </w:rPr>
      </w:pPr>
      <w:r>
        <w:rPr>
          <w:bCs/>
          <w:iCs/>
          <w:color w:val="000000" w:themeColor="text1"/>
        </w:rPr>
        <w:t>The majority of respondents to the first survey (80%) identified as either employers and registered training organisations (RTOs). Responses were received from all states and territories.</w:t>
      </w:r>
    </w:p>
    <w:p w14:paraId="7DB4FB2B" w14:textId="77777777" w:rsidR="002E7999" w:rsidRDefault="002E7999" w:rsidP="002E7999">
      <w:r>
        <w:rPr>
          <w:bCs/>
          <w:iCs/>
          <w:color w:val="000000" w:themeColor="text1"/>
        </w:rPr>
        <w:t xml:space="preserve">This survey asked respondents about what units of competency should be included in the core and possible streams, as well as about packaging options. As in the forums, no clear packaging option </w:t>
      </w:r>
      <w:r>
        <w:rPr>
          <w:bCs/>
          <w:iCs/>
          <w:color w:val="000000" w:themeColor="text1"/>
        </w:rPr>
        <w:lastRenderedPageBreak/>
        <w:t xml:space="preserve">emerged as the preferred option. Just over half of respondents (52.7%) chose Option 1, </w:t>
      </w:r>
      <w:r>
        <w:t>which is a core set of units, plus mandatory specialist streams, plus an elective pool, while just under half (47.3%) chose Option 2, which is a core set of units, plus a general pool of electives which will include all the units from the specialist streams. An analysis of packaging choice of participants by state/territory showed divisions were present in all jurisdictions with the exception of the ACT, which favoured Option 1. These divisions on packaging options were consistent with those found in the forums. The results of this consultation were presented to the TAG for their further expert consideration of the option that was the best fit for industry purposes.</w:t>
      </w:r>
    </w:p>
    <w:p w14:paraId="231494B0" w14:textId="77777777" w:rsidR="002E7999" w:rsidRDefault="002E7999" w:rsidP="002E7999">
      <w:r>
        <w:t>Views about which units of competency should be required in the core were far more consistent, with agreement up to 94% for some units (within a range of 54% to 94%). Similar levels of agreement were found for units proposed for each stream, such as:</w:t>
      </w:r>
    </w:p>
    <w:p w14:paraId="6798E559" w14:textId="77777777" w:rsidR="002E7999" w:rsidRDefault="002E7999" w:rsidP="005056E0">
      <w:pPr>
        <w:pStyle w:val="ListParagraph"/>
        <w:keepNext/>
        <w:keepLines/>
        <w:widowControl/>
        <w:numPr>
          <w:ilvl w:val="0"/>
          <w:numId w:val="16"/>
        </w:numPr>
        <w:autoSpaceDE/>
        <w:autoSpaceDN/>
        <w:contextualSpacing/>
      </w:pPr>
      <w:r>
        <w:t>94% agreement that proposed Commercial/fit out units achieve the intended work outcome of a Commercial Carpenter</w:t>
      </w:r>
    </w:p>
    <w:p w14:paraId="6FA3771F" w14:textId="77777777" w:rsidR="002E7999" w:rsidRDefault="002E7999" w:rsidP="005056E0">
      <w:pPr>
        <w:pStyle w:val="ListParagraph"/>
        <w:keepNext/>
        <w:keepLines/>
        <w:widowControl/>
        <w:numPr>
          <w:ilvl w:val="0"/>
          <w:numId w:val="16"/>
        </w:numPr>
        <w:autoSpaceDE/>
        <w:autoSpaceDN/>
        <w:contextualSpacing/>
      </w:pPr>
      <w:r>
        <w:t>69% agreement that the proposed Residential Carpenter stream units achieve the intended work outcome of a residential carpenter</w:t>
      </w:r>
    </w:p>
    <w:p w14:paraId="6D1DE0C3" w14:textId="77777777" w:rsidR="002E7999" w:rsidRDefault="002E7999" w:rsidP="005056E0">
      <w:pPr>
        <w:pStyle w:val="ListParagraph"/>
        <w:keepNext/>
        <w:keepLines/>
        <w:widowControl/>
        <w:numPr>
          <w:ilvl w:val="0"/>
          <w:numId w:val="16"/>
        </w:numPr>
        <w:autoSpaceDE/>
        <w:autoSpaceDN/>
        <w:contextualSpacing/>
      </w:pPr>
      <w:r>
        <w:t>74% agreement that the proposed Heritage/Restoration stream units achieve the intended work outcome of a Heritage/Restoration Carpenter</w:t>
      </w:r>
    </w:p>
    <w:p w14:paraId="2E448676" w14:textId="77777777" w:rsidR="002E7999" w:rsidRDefault="002E7999" w:rsidP="005056E0">
      <w:pPr>
        <w:pStyle w:val="ListParagraph"/>
        <w:keepNext/>
        <w:keepLines/>
        <w:widowControl/>
        <w:numPr>
          <w:ilvl w:val="0"/>
          <w:numId w:val="16"/>
        </w:numPr>
        <w:autoSpaceDE/>
        <w:autoSpaceDN/>
        <w:contextualSpacing/>
      </w:pPr>
      <w:r>
        <w:t>89% agreement that the proposed Formwork units achieve the intended work outcome of a Formwork Carpenter</w:t>
      </w:r>
    </w:p>
    <w:p w14:paraId="15E72CD2" w14:textId="77777777" w:rsidR="002E7999" w:rsidRDefault="002E7999" w:rsidP="005056E0">
      <w:pPr>
        <w:pStyle w:val="ListParagraph"/>
        <w:keepNext/>
        <w:keepLines/>
        <w:widowControl/>
        <w:numPr>
          <w:ilvl w:val="0"/>
          <w:numId w:val="16"/>
        </w:numPr>
        <w:autoSpaceDE/>
        <w:autoSpaceDN/>
        <w:contextualSpacing/>
      </w:pPr>
      <w:r>
        <w:t>77% agreement that the proposed Joinery stream units achieve the intended work outcome of a Carpenter – Joinery.</w:t>
      </w:r>
    </w:p>
    <w:p w14:paraId="60AF207F" w14:textId="77777777" w:rsidR="002E7999" w:rsidRDefault="002E7999" w:rsidP="002E7999">
      <w:pPr>
        <w:rPr>
          <w:bCs/>
          <w:iCs/>
          <w:color w:val="000000" w:themeColor="text1"/>
        </w:rPr>
      </w:pPr>
    </w:p>
    <w:p w14:paraId="397E886C" w14:textId="77777777" w:rsidR="002E7999" w:rsidRPr="001E2CDB" w:rsidRDefault="002E7999" w:rsidP="002E7999">
      <w:pPr>
        <w:rPr>
          <w:bCs/>
          <w:iCs/>
          <w:color w:val="000000" w:themeColor="text1"/>
        </w:rPr>
      </w:pPr>
      <w:r>
        <w:rPr>
          <w:bCs/>
          <w:iCs/>
          <w:color w:val="000000" w:themeColor="text1"/>
        </w:rPr>
        <w:t>Over 1 in 3 survey respondents believed that additional units of competency should be considered for inclusion in the revised qualifications, including a ‘White Card’ unit to work safely in the construction industry.</w:t>
      </w:r>
    </w:p>
    <w:p w14:paraId="46445A5F" w14:textId="77777777" w:rsidR="002E7999" w:rsidRDefault="002E7999" w:rsidP="002E7999">
      <w:pPr>
        <w:rPr>
          <w:b/>
          <w:bCs/>
          <w:i/>
          <w:iCs/>
          <w:color w:val="4F81BD" w:themeColor="accent1"/>
        </w:rPr>
      </w:pPr>
    </w:p>
    <w:p w14:paraId="474BBEC3" w14:textId="77777777" w:rsidR="002E7999" w:rsidRDefault="002E7999" w:rsidP="002E7999">
      <w:pPr>
        <w:rPr>
          <w:b/>
          <w:bCs/>
        </w:rPr>
      </w:pPr>
      <w:r w:rsidRPr="00FC527F">
        <w:rPr>
          <w:b/>
          <w:bCs/>
        </w:rPr>
        <w:t xml:space="preserve">Summary of feedback from </w:t>
      </w:r>
      <w:r>
        <w:rPr>
          <w:b/>
          <w:bCs/>
        </w:rPr>
        <w:t>S</w:t>
      </w:r>
      <w:r w:rsidRPr="00FC527F">
        <w:rPr>
          <w:b/>
          <w:bCs/>
        </w:rPr>
        <w:t>urvey</w:t>
      </w:r>
      <w:r>
        <w:rPr>
          <w:b/>
          <w:bCs/>
        </w:rPr>
        <w:t xml:space="preserve"> 2</w:t>
      </w:r>
    </w:p>
    <w:p w14:paraId="3FE206EC" w14:textId="77777777" w:rsidR="002E7999" w:rsidRDefault="002E7999" w:rsidP="002E7999">
      <w:pPr>
        <w:rPr>
          <w:bCs/>
          <w:iCs/>
          <w:color w:val="000000" w:themeColor="text1"/>
        </w:rPr>
      </w:pPr>
      <w:r>
        <w:rPr>
          <w:bCs/>
        </w:rPr>
        <w:t xml:space="preserve">The second nationwide online survey sought qualitative feedback on the proposed qualification and units of competency through open-ended questions. Industry and stakeholder associations were also offered the opportunity to provide submissions. Survey responses and submissions were thematically analysed as a single qualitative data set of 39 responses. The majority of responses were received from RTOs. </w:t>
      </w:r>
      <w:r>
        <w:rPr>
          <w:bCs/>
          <w:iCs/>
          <w:color w:val="000000" w:themeColor="text1"/>
        </w:rPr>
        <w:t>Responses were received from all states and territories, except the Northern Territory.</w:t>
      </w:r>
    </w:p>
    <w:p w14:paraId="5D305B88" w14:textId="77777777" w:rsidR="002E7999" w:rsidRDefault="002E7999" w:rsidP="002E7999">
      <w:pPr>
        <w:rPr>
          <w:bCs/>
        </w:rPr>
      </w:pPr>
      <w:r>
        <w:rPr>
          <w:bCs/>
        </w:rPr>
        <w:t>The five key themes identified in the data were:</w:t>
      </w:r>
    </w:p>
    <w:p w14:paraId="23345B68" w14:textId="77777777" w:rsidR="002E7999" w:rsidRDefault="002E7999" w:rsidP="005056E0">
      <w:pPr>
        <w:pStyle w:val="ListParagraph"/>
        <w:keepNext/>
        <w:keepLines/>
        <w:widowControl/>
        <w:numPr>
          <w:ilvl w:val="0"/>
          <w:numId w:val="22"/>
        </w:numPr>
        <w:autoSpaceDE/>
        <w:autoSpaceDN/>
        <w:contextualSpacing/>
        <w:rPr>
          <w:bCs/>
        </w:rPr>
      </w:pPr>
      <w:r>
        <w:rPr>
          <w:bCs/>
        </w:rPr>
        <w:t>Concern about too many units in the core of the qualification which may be irrelevant to some of the elective streams.</w:t>
      </w:r>
    </w:p>
    <w:p w14:paraId="2AA366F2" w14:textId="77777777" w:rsidR="002E7999" w:rsidRDefault="002E7999" w:rsidP="005056E0">
      <w:pPr>
        <w:pStyle w:val="ListParagraph"/>
        <w:keepNext/>
        <w:keepLines/>
        <w:widowControl/>
        <w:numPr>
          <w:ilvl w:val="0"/>
          <w:numId w:val="22"/>
        </w:numPr>
        <w:autoSpaceDE/>
        <w:autoSpaceDN/>
        <w:contextualSpacing/>
        <w:rPr>
          <w:bCs/>
        </w:rPr>
      </w:pPr>
      <w:r>
        <w:rPr>
          <w:bCs/>
        </w:rPr>
        <w:t>View that qualification will be harder to deliver than current qualification and that simulated work environments will be necessary.</w:t>
      </w:r>
    </w:p>
    <w:p w14:paraId="59B1144D" w14:textId="77777777" w:rsidR="002E7999" w:rsidRDefault="002E7999" w:rsidP="005056E0">
      <w:pPr>
        <w:pStyle w:val="ListParagraph"/>
        <w:keepNext/>
        <w:keepLines/>
        <w:widowControl/>
        <w:numPr>
          <w:ilvl w:val="0"/>
          <w:numId w:val="22"/>
        </w:numPr>
        <w:autoSpaceDE/>
        <w:autoSpaceDN/>
        <w:contextualSpacing/>
        <w:rPr>
          <w:bCs/>
        </w:rPr>
      </w:pPr>
      <w:r>
        <w:rPr>
          <w:bCs/>
        </w:rPr>
        <w:t>View that the Formwork stream is not fit for the needs of Formwork Carpenters because the core units that are not relevant and this will make completion of apprenticeships difficult. Respondents identified key tasks that are required, including Pitched Roofs; Roof Trusses; Eaves and Wall and Ceiling Frames.</w:t>
      </w:r>
    </w:p>
    <w:p w14:paraId="7964A543" w14:textId="77777777" w:rsidR="002E7999" w:rsidRDefault="002E7999" w:rsidP="005056E0">
      <w:pPr>
        <w:pStyle w:val="ListParagraph"/>
        <w:keepNext/>
        <w:keepLines/>
        <w:widowControl/>
        <w:numPr>
          <w:ilvl w:val="0"/>
          <w:numId w:val="22"/>
        </w:numPr>
        <w:autoSpaceDE/>
        <w:autoSpaceDN/>
        <w:contextualSpacing/>
        <w:rPr>
          <w:bCs/>
        </w:rPr>
      </w:pPr>
      <w:r>
        <w:rPr>
          <w:bCs/>
        </w:rPr>
        <w:t>Identification of trends impacting skills and knowledge, including changes in technology and equipment, prefabrication and sustainable products, skill requirements for project homes, Australian Standard 1684 – residential timber framed construction, asbestos awareness, use of tools and chemicals.</w:t>
      </w:r>
    </w:p>
    <w:p w14:paraId="2524ECA2" w14:textId="77777777" w:rsidR="002E7999" w:rsidRDefault="002E7999" w:rsidP="005056E0">
      <w:pPr>
        <w:pStyle w:val="ListParagraph"/>
        <w:keepNext/>
        <w:keepLines/>
        <w:widowControl/>
        <w:numPr>
          <w:ilvl w:val="0"/>
          <w:numId w:val="22"/>
        </w:numPr>
        <w:autoSpaceDE/>
        <w:autoSpaceDN/>
        <w:contextualSpacing/>
        <w:rPr>
          <w:bCs/>
          <w:color w:val="000000" w:themeColor="text1"/>
        </w:rPr>
      </w:pPr>
      <w:r w:rsidRPr="00546C59">
        <w:rPr>
          <w:bCs/>
          <w:color w:val="000000" w:themeColor="text1"/>
        </w:rPr>
        <w:t xml:space="preserve">Concerns regarding qualification packaging suitability for Victoria and Tasmania. </w:t>
      </w:r>
    </w:p>
    <w:p w14:paraId="1496CEE8" w14:textId="77777777" w:rsidR="002E7999" w:rsidRDefault="002E7999" w:rsidP="005056E0">
      <w:pPr>
        <w:pStyle w:val="ListParagraph"/>
        <w:keepNext/>
        <w:keepLines/>
        <w:widowControl/>
        <w:numPr>
          <w:ilvl w:val="1"/>
          <w:numId w:val="22"/>
        </w:numPr>
        <w:autoSpaceDE/>
        <w:autoSpaceDN/>
        <w:contextualSpacing/>
        <w:rPr>
          <w:bCs/>
          <w:color w:val="000000" w:themeColor="text1"/>
        </w:rPr>
      </w:pPr>
      <w:r w:rsidRPr="00546C59">
        <w:rPr>
          <w:bCs/>
          <w:color w:val="000000" w:themeColor="text1"/>
        </w:rPr>
        <w:t xml:space="preserve">Victoria’s </w:t>
      </w:r>
      <w:r>
        <w:rPr>
          <w:bCs/>
          <w:color w:val="000000" w:themeColor="text1"/>
        </w:rPr>
        <w:t>proposal to</w:t>
      </w:r>
      <w:r w:rsidRPr="00546C59">
        <w:rPr>
          <w:bCs/>
          <w:color w:val="000000" w:themeColor="text1"/>
        </w:rPr>
        <w:t xml:space="preserve"> introduce trade registrations</w:t>
      </w:r>
      <w:r>
        <w:rPr>
          <w:bCs/>
          <w:color w:val="000000" w:themeColor="text1"/>
        </w:rPr>
        <w:t xml:space="preserve"> and/or licensing</w:t>
      </w:r>
      <w:r w:rsidRPr="00546C59">
        <w:rPr>
          <w:bCs/>
          <w:color w:val="000000" w:themeColor="text1"/>
        </w:rPr>
        <w:t xml:space="preserve"> may result in carpenters </w:t>
      </w:r>
      <w:r>
        <w:rPr>
          <w:bCs/>
          <w:color w:val="000000" w:themeColor="text1"/>
        </w:rPr>
        <w:t>who do</w:t>
      </w:r>
      <w:r w:rsidRPr="00546C59">
        <w:rPr>
          <w:bCs/>
          <w:color w:val="000000" w:themeColor="text1"/>
        </w:rPr>
        <w:t xml:space="preserve"> the new qualifications not being considered fully trained and employable in Victoria. </w:t>
      </w:r>
    </w:p>
    <w:p w14:paraId="788C5BC4" w14:textId="77777777" w:rsidR="002E7999" w:rsidRPr="00546C59" w:rsidRDefault="002E7999" w:rsidP="005056E0">
      <w:pPr>
        <w:pStyle w:val="ListParagraph"/>
        <w:keepNext/>
        <w:keepLines/>
        <w:widowControl/>
        <w:numPr>
          <w:ilvl w:val="1"/>
          <w:numId w:val="22"/>
        </w:numPr>
        <w:autoSpaceDE/>
        <w:autoSpaceDN/>
        <w:contextualSpacing/>
        <w:rPr>
          <w:bCs/>
          <w:color w:val="000000" w:themeColor="text1"/>
        </w:rPr>
      </w:pPr>
      <w:r w:rsidRPr="00546C59">
        <w:rPr>
          <w:bCs/>
          <w:color w:val="000000" w:themeColor="text1"/>
        </w:rPr>
        <w:t xml:space="preserve">Tasmanian concerns were that the proposed qualifications are not flexible </w:t>
      </w:r>
      <w:r>
        <w:rPr>
          <w:bCs/>
          <w:color w:val="000000" w:themeColor="text1"/>
        </w:rPr>
        <w:t xml:space="preserve">enough </w:t>
      </w:r>
      <w:r w:rsidRPr="00546C59">
        <w:rPr>
          <w:bCs/>
          <w:color w:val="000000" w:themeColor="text1"/>
        </w:rPr>
        <w:t xml:space="preserve">for the Tasmanian industry and may create skills shortage. </w:t>
      </w:r>
    </w:p>
    <w:p w14:paraId="3BA964F7" w14:textId="77777777" w:rsidR="002E7999" w:rsidRDefault="002E7999" w:rsidP="002E7999">
      <w:pPr>
        <w:ind w:left="360"/>
        <w:rPr>
          <w:bCs/>
        </w:rPr>
      </w:pPr>
    </w:p>
    <w:p w14:paraId="6C932DD2" w14:textId="77777777" w:rsidR="002E7999" w:rsidRDefault="002E7999" w:rsidP="002E7999">
      <w:pPr>
        <w:jc w:val="both"/>
        <w:rPr>
          <w:bCs/>
        </w:rPr>
      </w:pPr>
      <w:r>
        <w:rPr>
          <w:bCs/>
        </w:rPr>
        <w:lastRenderedPageBreak/>
        <w:t xml:space="preserve">The TAG considered these packaging, unit and delivery concerns in detail. </w:t>
      </w:r>
    </w:p>
    <w:p w14:paraId="6551C62D" w14:textId="77777777" w:rsidR="002E7999" w:rsidRDefault="002E7999" w:rsidP="002E7999">
      <w:pPr>
        <w:jc w:val="both"/>
        <w:rPr>
          <w:bCs/>
        </w:rPr>
      </w:pPr>
    </w:p>
    <w:p w14:paraId="0D2C93FA" w14:textId="77777777" w:rsidR="002E7999" w:rsidRPr="008879DE" w:rsidRDefault="002E7999" w:rsidP="002E7999">
      <w:pPr>
        <w:jc w:val="both"/>
        <w:rPr>
          <w:b/>
          <w:bCs/>
          <w:i/>
        </w:rPr>
      </w:pPr>
      <w:r w:rsidRPr="008879DE">
        <w:rPr>
          <w:b/>
          <w:bCs/>
          <w:i/>
        </w:rPr>
        <w:t>Registration Push in Victoria</w:t>
      </w:r>
    </w:p>
    <w:p w14:paraId="02359951" w14:textId="604864E8" w:rsidR="002E7999" w:rsidRDefault="002E7999" w:rsidP="002E7999">
      <w:pPr>
        <w:jc w:val="both"/>
        <w:rPr>
          <w:bCs/>
        </w:rPr>
      </w:pPr>
      <w:r w:rsidRPr="0063557E">
        <w:rPr>
          <w:bCs/>
        </w:rPr>
        <w:t xml:space="preserve">Stakeholders identified Victoria’s push for trade registration and/or licensing of Carpenters and Joiners and raised concerns about the implications for training package models. At the time of writing (6 September 2019), the Victorian </w:t>
      </w:r>
      <w:r w:rsidRPr="0063557E">
        <w:rPr>
          <w:bCs/>
          <w:i/>
          <w:iCs/>
        </w:rPr>
        <w:t xml:space="preserve">Building Amendment (Registration of Building Trades and Other Matters) Bill 2018 </w:t>
      </w:r>
      <w:r w:rsidRPr="0063557E">
        <w:rPr>
          <w:bCs/>
          <w:iCs/>
        </w:rPr>
        <w:t xml:space="preserve">(20 September 2018) bill has now passed but is yet to be implemented. </w:t>
      </w:r>
      <w:r w:rsidRPr="0063557E">
        <w:rPr>
          <w:bCs/>
        </w:rPr>
        <w:t>A staggered approach to implementation is expected,</w:t>
      </w:r>
      <w:r w:rsidRPr="0063557E">
        <w:rPr>
          <w:rStyle w:val="FootnoteReference"/>
          <w:bCs/>
        </w:rPr>
        <w:footnoteReference w:id="1"/>
      </w:r>
      <w:r w:rsidRPr="0063557E">
        <w:rPr>
          <w:bCs/>
        </w:rPr>
        <w:t xml:space="preserve"> with multiple stages of consultation in which training and occupational criteria are being considered. </w:t>
      </w:r>
    </w:p>
    <w:p w14:paraId="5453F843" w14:textId="77777777" w:rsidR="007E7F1A" w:rsidRPr="0063557E" w:rsidRDefault="007E7F1A" w:rsidP="002E7999">
      <w:pPr>
        <w:jc w:val="both"/>
        <w:rPr>
          <w:bCs/>
        </w:rPr>
      </w:pPr>
    </w:p>
    <w:p w14:paraId="5D477471" w14:textId="06A8CD59" w:rsidR="002E7999" w:rsidRDefault="002E7999" w:rsidP="002E7999">
      <w:pPr>
        <w:jc w:val="both"/>
        <w:rPr>
          <w:bCs/>
        </w:rPr>
      </w:pPr>
      <w:r w:rsidRPr="0063557E">
        <w:rPr>
          <w:bCs/>
        </w:rPr>
        <w:t>To date, there has been no public suggestion that the qualification packaging model proposed in this CfE would not be recognised by the State Government of Victoria. Consultation on the model of registration, its specification of the occupational scope of work and implications for training are yet to be finalised, however, the Master Builders Victoria’s submission (12 August 2019) argues for detailed specification of different carpentry tasks and skills, as well as registration that recognises the length of time practising as a carpenter.</w:t>
      </w:r>
      <w:r w:rsidRPr="0063557E">
        <w:rPr>
          <w:rStyle w:val="FootnoteReference"/>
          <w:bCs/>
        </w:rPr>
        <w:footnoteReference w:id="2"/>
      </w:r>
      <w:r w:rsidRPr="0063557E">
        <w:rPr>
          <w:bCs/>
        </w:rPr>
        <w:t xml:space="preserve"> </w:t>
      </w:r>
    </w:p>
    <w:p w14:paraId="14DA74CD" w14:textId="77777777" w:rsidR="007E7F1A" w:rsidRPr="0063557E" w:rsidRDefault="007E7F1A" w:rsidP="002E7999">
      <w:pPr>
        <w:jc w:val="both"/>
        <w:rPr>
          <w:bCs/>
        </w:rPr>
      </w:pPr>
    </w:p>
    <w:p w14:paraId="194AFFDA" w14:textId="1BBF890F" w:rsidR="002E7999" w:rsidRDefault="002E7999" w:rsidP="002E7999">
      <w:pPr>
        <w:ind w:left="360"/>
        <w:jc w:val="both"/>
        <w:rPr>
          <w:bCs/>
        </w:rPr>
      </w:pPr>
      <w:r w:rsidRPr="0063557E">
        <w:rPr>
          <w:bCs/>
        </w:rPr>
        <w:t>Our research supports the position that an approach that simply lists a trade, for example as ‘Carpentry’, would be unworkable in practice. This is because it does not allow for the adequate definition of the specific tasks that would be required to be performed under the new framework, nor the specific skills required to carry out these tasks.</w:t>
      </w:r>
      <w:r w:rsidRPr="0063557E">
        <w:rPr>
          <w:rStyle w:val="FootnoteReference"/>
          <w:bCs/>
        </w:rPr>
        <w:footnoteReference w:id="3"/>
      </w:r>
    </w:p>
    <w:p w14:paraId="1DF9BAD9" w14:textId="77777777" w:rsidR="007E7F1A" w:rsidRPr="0063557E" w:rsidRDefault="007E7F1A" w:rsidP="002E7999">
      <w:pPr>
        <w:ind w:left="360"/>
        <w:jc w:val="both"/>
        <w:rPr>
          <w:bCs/>
        </w:rPr>
      </w:pPr>
    </w:p>
    <w:p w14:paraId="6D460EC8" w14:textId="77777777" w:rsidR="002E7999" w:rsidRDefault="002E7999" w:rsidP="002E7999">
      <w:pPr>
        <w:jc w:val="both"/>
        <w:rPr>
          <w:bCs/>
        </w:rPr>
      </w:pPr>
      <w:r w:rsidRPr="0063557E">
        <w:rPr>
          <w:bCs/>
        </w:rPr>
        <w:t>If adopted, such an approach to registration and/or licensing would be able to incorporate carpentry and joinery qualifications gained under the IRC’s proposed streamed qualification model.</w:t>
      </w:r>
    </w:p>
    <w:p w14:paraId="33B1FE86" w14:textId="77777777" w:rsidR="002E7999" w:rsidRDefault="002E7999" w:rsidP="002E7999">
      <w:pPr>
        <w:jc w:val="both"/>
        <w:rPr>
          <w:bCs/>
        </w:rPr>
      </w:pPr>
    </w:p>
    <w:p w14:paraId="4E7E3BDC" w14:textId="77777777" w:rsidR="002E7999" w:rsidRPr="00227EF8" w:rsidRDefault="002E7999" w:rsidP="002E7999">
      <w:pPr>
        <w:jc w:val="both"/>
        <w:rPr>
          <w:bCs/>
          <w:color w:val="000000" w:themeColor="text1"/>
        </w:rPr>
      </w:pPr>
      <w:r w:rsidRPr="00227EF8">
        <w:rPr>
          <w:bCs/>
          <w:color w:val="000000" w:themeColor="text1"/>
        </w:rPr>
        <w:t>Furthermore, the Victorian Building Authority (VBA) was invited to review and provide feedback on the latest proposed versions of the following qualifications:</w:t>
      </w:r>
    </w:p>
    <w:p w14:paraId="5BCB5750" w14:textId="77777777" w:rsidR="002E7999" w:rsidRPr="00227EF8" w:rsidRDefault="002E7999" w:rsidP="002E7999">
      <w:pPr>
        <w:jc w:val="both"/>
        <w:rPr>
          <w:bCs/>
          <w:color w:val="000000" w:themeColor="text1"/>
        </w:rPr>
      </w:pPr>
    </w:p>
    <w:p w14:paraId="22E18396" w14:textId="40D4A194" w:rsidR="002E7999" w:rsidRPr="00227EF8" w:rsidRDefault="002E7999" w:rsidP="005056E0">
      <w:pPr>
        <w:widowControl/>
        <w:numPr>
          <w:ilvl w:val="0"/>
          <w:numId w:val="27"/>
        </w:numPr>
        <w:autoSpaceDE/>
        <w:autoSpaceDN/>
        <w:spacing w:after="160" w:line="259" w:lineRule="auto"/>
        <w:jc w:val="both"/>
        <w:rPr>
          <w:bCs/>
          <w:color w:val="000000" w:themeColor="text1"/>
        </w:rPr>
      </w:pPr>
      <w:r w:rsidRPr="00227EF8">
        <w:rPr>
          <w:bCs/>
          <w:color w:val="000000" w:themeColor="text1"/>
        </w:rPr>
        <w:t>CPC302</w:t>
      </w:r>
      <w:r w:rsidR="007E7F1A">
        <w:rPr>
          <w:bCs/>
          <w:color w:val="000000" w:themeColor="text1"/>
        </w:rPr>
        <w:t>20</w:t>
      </w:r>
      <w:r w:rsidRPr="00227EF8">
        <w:rPr>
          <w:bCs/>
          <w:color w:val="000000" w:themeColor="text1"/>
        </w:rPr>
        <w:t xml:space="preserve"> Certificate III in Carpentry</w:t>
      </w:r>
    </w:p>
    <w:p w14:paraId="4081DE12" w14:textId="55D36A97" w:rsidR="002E7999" w:rsidRPr="00227EF8" w:rsidRDefault="002E7999" w:rsidP="005056E0">
      <w:pPr>
        <w:widowControl/>
        <w:numPr>
          <w:ilvl w:val="0"/>
          <w:numId w:val="27"/>
        </w:numPr>
        <w:autoSpaceDE/>
        <w:autoSpaceDN/>
        <w:spacing w:after="160" w:line="259" w:lineRule="auto"/>
        <w:jc w:val="both"/>
        <w:rPr>
          <w:bCs/>
          <w:color w:val="000000" w:themeColor="text1"/>
        </w:rPr>
      </w:pPr>
      <w:r w:rsidRPr="00227EF8">
        <w:rPr>
          <w:bCs/>
          <w:color w:val="000000" w:themeColor="text1"/>
        </w:rPr>
        <w:t>CPC319</w:t>
      </w:r>
      <w:r w:rsidR="007E7F1A">
        <w:rPr>
          <w:bCs/>
          <w:color w:val="000000" w:themeColor="text1"/>
        </w:rPr>
        <w:t>20</w:t>
      </w:r>
      <w:r w:rsidRPr="00227EF8">
        <w:rPr>
          <w:bCs/>
          <w:color w:val="000000" w:themeColor="text1"/>
        </w:rPr>
        <w:t xml:space="preserve"> Certificate III in Joinery</w:t>
      </w:r>
    </w:p>
    <w:p w14:paraId="51312471" w14:textId="77777777" w:rsidR="002E7999" w:rsidRPr="00227EF8" w:rsidRDefault="002E7999" w:rsidP="002E7999">
      <w:pPr>
        <w:jc w:val="both"/>
        <w:rPr>
          <w:bCs/>
          <w:color w:val="000000" w:themeColor="text1"/>
        </w:rPr>
      </w:pPr>
      <w:r w:rsidRPr="00227EF8">
        <w:rPr>
          <w:bCs/>
          <w:color w:val="000000" w:themeColor="text1"/>
        </w:rPr>
        <w:t> </w:t>
      </w:r>
    </w:p>
    <w:p w14:paraId="654FDCF6" w14:textId="272ED5B0" w:rsidR="002E7999" w:rsidRPr="00227EF8" w:rsidRDefault="002E7999" w:rsidP="002E7999">
      <w:pPr>
        <w:jc w:val="both"/>
        <w:rPr>
          <w:bCs/>
          <w:color w:val="000000" w:themeColor="text1"/>
        </w:rPr>
      </w:pPr>
      <w:r w:rsidRPr="00227EF8">
        <w:rPr>
          <w:bCs/>
          <w:color w:val="000000" w:themeColor="text1"/>
        </w:rPr>
        <w:t>The VBA advised (13/09/19)</w:t>
      </w:r>
      <w:r>
        <w:rPr>
          <w:bCs/>
          <w:color w:val="000000" w:themeColor="text1"/>
        </w:rPr>
        <w:t xml:space="preserve"> that the qualification had been reviewed by a team of staff and found the qualifications ‘fit for purpose’ and ‘</w:t>
      </w:r>
      <w:r w:rsidRPr="004A202B">
        <w:rPr>
          <w:bCs/>
          <w:color w:val="000000" w:themeColor="text1"/>
        </w:rPr>
        <w:t>fully support the templates as they are currently proposed.</w:t>
      </w:r>
      <w:r>
        <w:rPr>
          <w:bCs/>
          <w:color w:val="000000" w:themeColor="text1"/>
        </w:rPr>
        <w:t>’ The VBA team included ‘</w:t>
      </w:r>
      <w:r w:rsidRPr="00227EF8">
        <w:rPr>
          <w:bCs/>
          <w:color w:val="000000" w:themeColor="text1"/>
        </w:rPr>
        <w:t>staff who are VBA Assessors, Technical experts and Registered Building Practitioners with significant years of experience in the industry.  All have high level knowledge of the regulatory framework for the building and construction industry at both a national and Victorian level.</w:t>
      </w:r>
      <w:r>
        <w:rPr>
          <w:bCs/>
          <w:color w:val="000000" w:themeColor="text1"/>
        </w:rPr>
        <w:t>’ They found both qualifications to be ‘</w:t>
      </w:r>
      <w:r w:rsidRPr="00227EF8">
        <w:rPr>
          <w:bCs/>
          <w:color w:val="000000" w:themeColor="text1"/>
        </w:rPr>
        <w:t>representative of the skill base required by trad</w:t>
      </w:r>
      <w:r w:rsidR="007E7F1A">
        <w:rPr>
          <w:bCs/>
          <w:color w:val="000000" w:themeColor="text1"/>
        </w:rPr>
        <w:t>e-</w:t>
      </w:r>
      <w:r w:rsidRPr="00227EF8">
        <w:rPr>
          <w:bCs/>
          <w:color w:val="000000" w:themeColor="text1"/>
        </w:rPr>
        <w:t>based students and will provide a suitable platform for future tradespersons and building practitioners.</w:t>
      </w:r>
      <w:r>
        <w:rPr>
          <w:bCs/>
          <w:color w:val="000000" w:themeColor="text1"/>
        </w:rPr>
        <w:t xml:space="preserve">’ The VBA’s letter of support is included as </w:t>
      </w:r>
      <w:r w:rsidRPr="008A4E78">
        <w:rPr>
          <w:bCs/>
          <w:color w:val="000000" w:themeColor="text1"/>
        </w:rPr>
        <w:t xml:space="preserve">Appendix </w:t>
      </w:r>
      <w:r w:rsidR="008A4E78" w:rsidRPr="008A4E78">
        <w:rPr>
          <w:bCs/>
          <w:color w:val="000000" w:themeColor="text1"/>
        </w:rPr>
        <w:t>C</w:t>
      </w:r>
      <w:r w:rsidRPr="008A4E78">
        <w:rPr>
          <w:bCs/>
          <w:color w:val="000000" w:themeColor="text1"/>
        </w:rPr>
        <w:t>.</w:t>
      </w:r>
    </w:p>
    <w:p w14:paraId="43DCC85F" w14:textId="77777777" w:rsidR="002E7999" w:rsidRDefault="002E7999" w:rsidP="002E7999">
      <w:pPr>
        <w:rPr>
          <w:bCs/>
          <w:iCs/>
          <w:color w:val="FF0000"/>
        </w:rPr>
      </w:pPr>
    </w:p>
    <w:p w14:paraId="07FFB9C9" w14:textId="77777777" w:rsidR="002E7999" w:rsidRPr="008879DE" w:rsidRDefault="002E7999" w:rsidP="002E7999">
      <w:pPr>
        <w:rPr>
          <w:b/>
          <w:bCs/>
          <w:i/>
        </w:rPr>
      </w:pPr>
      <w:r w:rsidRPr="008879DE">
        <w:rPr>
          <w:b/>
          <w:bCs/>
          <w:i/>
        </w:rPr>
        <w:t>Tasmanian</w:t>
      </w:r>
      <w:r>
        <w:rPr>
          <w:b/>
          <w:bCs/>
          <w:i/>
        </w:rPr>
        <w:t xml:space="preserve"> Concerns about Qualification</w:t>
      </w:r>
      <w:r w:rsidRPr="008879DE">
        <w:rPr>
          <w:b/>
          <w:bCs/>
          <w:i/>
        </w:rPr>
        <w:t xml:space="preserve"> Flexibility</w:t>
      </w:r>
    </w:p>
    <w:p w14:paraId="1D652A21" w14:textId="77777777" w:rsidR="007E7F1A" w:rsidRDefault="002E7999" w:rsidP="002E7999">
      <w:pPr>
        <w:rPr>
          <w:color w:val="000000" w:themeColor="text1"/>
        </w:rPr>
      </w:pPr>
      <w:r w:rsidRPr="0063557E">
        <w:rPr>
          <w:color w:val="000000" w:themeColor="text1"/>
        </w:rPr>
        <w:t>Throughout the development of the qualification the IRC has considered the views of all stakeholders and established a qualification that ensures that every apprentice or graduate of the qualification has the base skills required by all streams of the industry across Australia – as a core and allowing specialisation through the streams and elective banks.</w:t>
      </w:r>
    </w:p>
    <w:p w14:paraId="7886FC41" w14:textId="2C2EE071" w:rsidR="002E7999" w:rsidRPr="0063557E" w:rsidRDefault="002E7999" w:rsidP="002E7999">
      <w:pPr>
        <w:rPr>
          <w:color w:val="000000" w:themeColor="text1"/>
        </w:rPr>
      </w:pPr>
      <w:r w:rsidRPr="0063557E">
        <w:rPr>
          <w:color w:val="000000" w:themeColor="text1"/>
        </w:rPr>
        <w:t xml:space="preserve">  </w:t>
      </w:r>
    </w:p>
    <w:p w14:paraId="6D883834" w14:textId="77777777" w:rsidR="002E7999" w:rsidRPr="0063557E" w:rsidRDefault="002E7999" w:rsidP="002E7999">
      <w:pPr>
        <w:rPr>
          <w:color w:val="000000" w:themeColor="text1"/>
        </w:rPr>
      </w:pPr>
      <w:r w:rsidRPr="0063557E">
        <w:rPr>
          <w:color w:val="000000" w:themeColor="text1"/>
        </w:rPr>
        <w:lastRenderedPageBreak/>
        <w:t>The qualification design is a departure from the previous qualification sets where separate qualifications were established for each stream. This proved to be unviable to deliver and resulted in very low enrolments in some fields. The combined approach has been put forward by the IRC as a best fit option to ensure:</w:t>
      </w:r>
    </w:p>
    <w:p w14:paraId="1DE126FE" w14:textId="77777777" w:rsidR="002E7999" w:rsidRPr="0063557E" w:rsidRDefault="002E7999" w:rsidP="005056E0">
      <w:pPr>
        <w:pStyle w:val="ListParagraph"/>
        <w:keepNext/>
        <w:keepLines/>
        <w:widowControl/>
        <w:numPr>
          <w:ilvl w:val="0"/>
          <w:numId w:val="26"/>
        </w:numPr>
        <w:autoSpaceDE/>
        <w:autoSpaceDN/>
        <w:contextualSpacing/>
        <w:rPr>
          <w:color w:val="000000" w:themeColor="text1"/>
        </w:rPr>
      </w:pPr>
      <w:r w:rsidRPr="0063557E">
        <w:rPr>
          <w:color w:val="000000" w:themeColor="text1"/>
        </w:rPr>
        <w:t xml:space="preserve">required skills are delivered consistently across Australia </w:t>
      </w:r>
    </w:p>
    <w:p w14:paraId="61A19ABD" w14:textId="77777777" w:rsidR="002E7999" w:rsidRPr="0063557E" w:rsidRDefault="002E7999" w:rsidP="005056E0">
      <w:pPr>
        <w:pStyle w:val="ListParagraph"/>
        <w:keepNext/>
        <w:keepLines/>
        <w:widowControl/>
        <w:numPr>
          <w:ilvl w:val="0"/>
          <w:numId w:val="26"/>
        </w:numPr>
        <w:autoSpaceDE/>
        <w:autoSpaceDN/>
        <w:contextualSpacing/>
        <w:rPr>
          <w:color w:val="000000" w:themeColor="text1"/>
        </w:rPr>
      </w:pPr>
      <w:r w:rsidRPr="0063557E">
        <w:rPr>
          <w:color w:val="000000" w:themeColor="text1"/>
        </w:rPr>
        <w:t>the qualification is viable to deliver across Australia</w:t>
      </w:r>
    </w:p>
    <w:p w14:paraId="0FBA34E8" w14:textId="4D0DF25E" w:rsidR="002E7999" w:rsidRDefault="002E7999" w:rsidP="005056E0">
      <w:pPr>
        <w:pStyle w:val="ListParagraph"/>
        <w:keepNext/>
        <w:keepLines/>
        <w:widowControl/>
        <w:numPr>
          <w:ilvl w:val="0"/>
          <w:numId w:val="26"/>
        </w:numPr>
        <w:autoSpaceDE/>
        <w:autoSpaceDN/>
        <w:contextualSpacing/>
        <w:rPr>
          <w:color w:val="000000" w:themeColor="text1"/>
        </w:rPr>
      </w:pPr>
      <w:r w:rsidRPr="0063557E">
        <w:rPr>
          <w:color w:val="000000" w:themeColor="text1"/>
        </w:rPr>
        <w:t>that specialisation can occur ‘on top of’ the core</w:t>
      </w:r>
    </w:p>
    <w:p w14:paraId="2B17CF16" w14:textId="77777777" w:rsidR="007E7F1A" w:rsidRPr="0063557E" w:rsidRDefault="007E7F1A" w:rsidP="007E7F1A">
      <w:pPr>
        <w:pStyle w:val="ListParagraph"/>
        <w:keepNext/>
        <w:keepLines/>
        <w:widowControl/>
        <w:autoSpaceDE/>
        <w:autoSpaceDN/>
        <w:ind w:left="771" w:firstLine="0"/>
        <w:contextualSpacing/>
        <w:rPr>
          <w:color w:val="000000" w:themeColor="text1"/>
        </w:rPr>
      </w:pPr>
    </w:p>
    <w:p w14:paraId="758C5F80" w14:textId="77777777" w:rsidR="002E7999" w:rsidRPr="0063557E" w:rsidRDefault="002E7999" w:rsidP="002E7999">
      <w:pPr>
        <w:rPr>
          <w:color w:val="FF0000"/>
        </w:rPr>
      </w:pPr>
    </w:p>
    <w:p w14:paraId="2538ACAF" w14:textId="77777777" w:rsidR="002E7999" w:rsidRDefault="002E7999" w:rsidP="002E7999">
      <w:pPr>
        <w:rPr>
          <w:b/>
          <w:bCs/>
        </w:rPr>
      </w:pPr>
      <w:r>
        <w:rPr>
          <w:b/>
          <w:bCs/>
        </w:rPr>
        <w:t>Subject Matter Working Groups</w:t>
      </w:r>
    </w:p>
    <w:p w14:paraId="0A4580BB" w14:textId="77777777" w:rsidR="002E7999" w:rsidRDefault="002E7999" w:rsidP="002E7999">
      <w:pPr>
        <w:rPr>
          <w:bCs/>
        </w:rPr>
      </w:pPr>
      <w:r>
        <w:rPr>
          <w:bCs/>
        </w:rPr>
        <w:t>Five online workshops focused on qualification stream content were held between 12-18 March 2019. Stakeholders in these working groups included:</w:t>
      </w:r>
    </w:p>
    <w:p w14:paraId="27684088" w14:textId="77777777" w:rsidR="002E7999" w:rsidRDefault="002E7999" w:rsidP="005056E0">
      <w:pPr>
        <w:pStyle w:val="ListParagraph"/>
        <w:keepNext/>
        <w:keepLines/>
        <w:widowControl/>
        <w:numPr>
          <w:ilvl w:val="0"/>
          <w:numId w:val="23"/>
        </w:numPr>
        <w:autoSpaceDE/>
        <w:autoSpaceDN/>
        <w:contextualSpacing/>
        <w:rPr>
          <w:bCs/>
        </w:rPr>
      </w:pPr>
      <w:r>
        <w:rPr>
          <w:bCs/>
        </w:rPr>
        <w:t>Construction industry employers</w:t>
      </w:r>
    </w:p>
    <w:p w14:paraId="65805687" w14:textId="77777777" w:rsidR="002E7999" w:rsidRDefault="002E7999" w:rsidP="005056E0">
      <w:pPr>
        <w:pStyle w:val="ListParagraph"/>
        <w:keepNext/>
        <w:keepLines/>
        <w:widowControl/>
        <w:numPr>
          <w:ilvl w:val="0"/>
          <w:numId w:val="23"/>
        </w:numPr>
        <w:autoSpaceDE/>
        <w:autoSpaceDN/>
        <w:contextualSpacing/>
        <w:rPr>
          <w:bCs/>
        </w:rPr>
      </w:pPr>
      <w:r>
        <w:rPr>
          <w:bCs/>
        </w:rPr>
        <w:t>RTOs (private and TAFE)</w:t>
      </w:r>
    </w:p>
    <w:p w14:paraId="078470EF" w14:textId="77777777" w:rsidR="002E7999" w:rsidRDefault="002E7999" w:rsidP="005056E0">
      <w:pPr>
        <w:pStyle w:val="ListParagraph"/>
        <w:keepNext/>
        <w:keepLines/>
        <w:widowControl/>
        <w:numPr>
          <w:ilvl w:val="0"/>
          <w:numId w:val="23"/>
        </w:numPr>
        <w:autoSpaceDE/>
        <w:autoSpaceDN/>
        <w:contextualSpacing/>
        <w:rPr>
          <w:bCs/>
        </w:rPr>
      </w:pPr>
      <w:r>
        <w:rPr>
          <w:bCs/>
        </w:rPr>
        <w:t>State/Territory Construction Industry skills and training organisations</w:t>
      </w:r>
    </w:p>
    <w:p w14:paraId="7EED25E9" w14:textId="77777777" w:rsidR="002E7999" w:rsidRDefault="002E7999" w:rsidP="005056E0">
      <w:pPr>
        <w:pStyle w:val="ListParagraph"/>
        <w:keepNext/>
        <w:keepLines/>
        <w:widowControl/>
        <w:numPr>
          <w:ilvl w:val="0"/>
          <w:numId w:val="23"/>
        </w:numPr>
        <w:autoSpaceDE/>
        <w:autoSpaceDN/>
        <w:contextualSpacing/>
        <w:rPr>
          <w:bCs/>
        </w:rPr>
      </w:pPr>
      <w:r>
        <w:rPr>
          <w:bCs/>
        </w:rPr>
        <w:t>State/Territory Departments of education</w:t>
      </w:r>
    </w:p>
    <w:p w14:paraId="6AD45879" w14:textId="77777777" w:rsidR="002E7999" w:rsidRDefault="002E7999" w:rsidP="002E7999">
      <w:pPr>
        <w:rPr>
          <w:bCs/>
        </w:rPr>
      </w:pPr>
    </w:p>
    <w:p w14:paraId="6F530B79" w14:textId="77777777" w:rsidR="002E7999" w:rsidRDefault="002E7999" w:rsidP="002E7999">
      <w:pPr>
        <w:rPr>
          <w:bCs/>
        </w:rPr>
      </w:pPr>
      <w:r>
        <w:rPr>
          <w:b/>
        </w:rPr>
        <w:t>Table 6: Subject Matter Working Groups</w:t>
      </w:r>
    </w:p>
    <w:tbl>
      <w:tblPr>
        <w:tblStyle w:val="TableGrid"/>
        <w:tblW w:w="0" w:type="auto"/>
        <w:tblLook w:val="04A0" w:firstRow="1" w:lastRow="0" w:firstColumn="1" w:lastColumn="0" w:noHBand="0" w:noVBand="1"/>
      </w:tblPr>
      <w:tblGrid>
        <w:gridCol w:w="3005"/>
        <w:gridCol w:w="3005"/>
        <w:gridCol w:w="3006"/>
      </w:tblGrid>
      <w:tr w:rsidR="002E7999" w14:paraId="02C0FF18" w14:textId="77777777" w:rsidTr="002E7999">
        <w:tc>
          <w:tcPr>
            <w:tcW w:w="3005" w:type="dxa"/>
            <w:shd w:val="clear" w:color="auto" w:fill="EEECE1" w:themeFill="background2"/>
          </w:tcPr>
          <w:p w14:paraId="5FEC01FD" w14:textId="77777777" w:rsidR="002E7999" w:rsidRPr="008E0D2F" w:rsidRDefault="002E7999" w:rsidP="002E7999">
            <w:pPr>
              <w:rPr>
                <w:b/>
                <w:bCs/>
                <w:sz w:val="20"/>
                <w:szCs w:val="20"/>
              </w:rPr>
            </w:pPr>
            <w:r w:rsidRPr="008E0D2F">
              <w:rPr>
                <w:b/>
                <w:bCs/>
                <w:sz w:val="20"/>
                <w:szCs w:val="20"/>
              </w:rPr>
              <w:t>Subject Matter</w:t>
            </w:r>
          </w:p>
        </w:tc>
        <w:tc>
          <w:tcPr>
            <w:tcW w:w="3005" w:type="dxa"/>
            <w:shd w:val="clear" w:color="auto" w:fill="EEECE1" w:themeFill="background2"/>
          </w:tcPr>
          <w:p w14:paraId="7C152970" w14:textId="77777777" w:rsidR="002E7999" w:rsidRPr="008E0D2F" w:rsidRDefault="002E7999" w:rsidP="002E7999">
            <w:pPr>
              <w:rPr>
                <w:b/>
                <w:bCs/>
                <w:sz w:val="20"/>
                <w:szCs w:val="20"/>
              </w:rPr>
            </w:pPr>
            <w:r w:rsidRPr="008E0D2F">
              <w:rPr>
                <w:b/>
                <w:bCs/>
                <w:sz w:val="20"/>
                <w:szCs w:val="20"/>
              </w:rPr>
              <w:t>Date</w:t>
            </w:r>
          </w:p>
        </w:tc>
        <w:tc>
          <w:tcPr>
            <w:tcW w:w="3006" w:type="dxa"/>
            <w:shd w:val="clear" w:color="auto" w:fill="EEECE1" w:themeFill="background2"/>
          </w:tcPr>
          <w:p w14:paraId="52E3A86B" w14:textId="77777777" w:rsidR="002E7999" w:rsidRPr="008E0D2F" w:rsidRDefault="002E7999" w:rsidP="002E7999">
            <w:pPr>
              <w:rPr>
                <w:b/>
                <w:bCs/>
                <w:sz w:val="20"/>
                <w:szCs w:val="20"/>
              </w:rPr>
            </w:pPr>
            <w:r w:rsidRPr="008E0D2F">
              <w:rPr>
                <w:b/>
                <w:bCs/>
                <w:sz w:val="20"/>
                <w:szCs w:val="20"/>
              </w:rPr>
              <w:t>Number of attendees</w:t>
            </w:r>
          </w:p>
        </w:tc>
      </w:tr>
      <w:tr w:rsidR="002E7999" w14:paraId="4E5A73F2" w14:textId="77777777" w:rsidTr="002E7999">
        <w:tc>
          <w:tcPr>
            <w:tcW w:w="3005" w:type="dxa"/>
          </w:tcPr>
          <w:p w14:paraId="4106F69D" w14:textId="77777777" w:rsidR="002E7999" w:rsidRPr="008E0D2F" w:rsidRDefault="002E7999" w:rsidP="002E7999">
            <w:pPr>
              <w:rPr>
                <w:bCs/>
                <w:sz w:val="20"/>
                <w:szCs w:val="20"/>
              </w:rPr>
            </w:pPr>
            <w:r w:rsidRPr="008E0D2F">
              <w:rPr>
                <w:bCs/>
                <w:sz w:val="20"/>
                <w:szCs w:val="20"/>
              </w:rPr>
              <w:t>Heritage and Restoration</w:t>
            </w:r>
          </w:p>
        </w:tc>
        <w:tc>
          <w:tcPr>
            <w:tcW w:w="3005" w:type="dxa"/>
          </w:tcPr>
          <w:p w14:paraId="432FB609" w14:textId="77777777" w:rsidR="002E7999" w:rsidRPr="008E0D2F" w:rsidRDefault="002E7999" w:rsidP="002E7999">
            <w:pPr>
              <w:rPr>
                <w:bCs/>
                <w:sz w:val="20"/>
                <w:szCs w:val="20"/>
              </w:rPr>
            </w:pPr>
            <w:r w:rsidRPr="008E0D2F">
              <w:rPr>
                <w:bCs/>
                <w:sz w:val="20"/>
                <w:szCs w:val="20"/>
              </w:rPr>
              <w:t>12 March 2019</w:t>
            </w:r>
          </w:p>
        </w:tc>
        <w:tc>
          <w:tcPr>
            <w:tcW w:w="3006" w:type="dxa"/>
          </w:tcPr>
          <w:p w14:paraId="18674F50" w14:textId="77777777" w:rsidR="002E7999" w:rsidRPr="008E0D2F" w:rsidRDefault="002E7999" w:rsidP="002E7999">
            <w:pPr>
              <w:rPr>
                <w:bCs/>
                <w:sz w:val="20"/>
                <w:szCs w:val="20"/>
              </w:rPr>
            </w:pPr>
            <w:r w:rsidRPr="008E0D2F">
              <w:rPr>
                <w:bCs/>
                <w:sz w:val="20"/>
                <w:szCs w:val="20"/>
              </w:rPr>
              <w:t>15</w:t>
            </w:r>
          </w:p>
        </w:tc>
      </w:tr>
      <w:tr w:rsidR="002E7999" w14:paraId="4804562C" w14:textId="77777777" w:rsidTr="002E7999">
        <w:tc>
          <w:tcPr>
            <w:tcW w:w="3005" w:type="dxa"/>
          </w:tcPr>
          <w:p w14:paraId="7F1EFA7B" w14:textId="77777777" w:rsidR="002E7999" w:rsidRPr="008E0D2F" w:rsidRDefault="002E7999" w:rsidP="002E7999">
            <w:pPr>
              <w:rPr>
                <w:bCs/>
                <w:sz w:val="20"/>
                <w:szCs w:val="20"/>
              </w:rPr>
            </w:pPr>
            <w:r w:rsidRPr="008E0D2F">
              <w:rPr>
                <w:bCs/>
                <w:sz w:val="20"/>
                <w:szCs w:val="20"/>
              </w:rPr>
              <w:t>Form Work</w:t>
            </w:r>
          </w:p>
        </w:tc>
        <w:tc>
          <w:tcPr>
            <w:tcW w:w="3005" w:type="dxa"/>
          </w:tcPr>
          <w:p w14:paraId="627C2C47" w14:textId="77777777" w:rsidR="002E7999" w:rsidRPr="008E0D2F" w:rsidRDefault="002E7999" w:rsidP="002E7999">
            <w:pPr>
              <w:rPr>
                <w:bCs/>
                <w:sz w:val="20"/>
                <w:szCs w:val="20"/>
              </w:rPr>
            </w:pPr>
            <w:r w:rsidRPr="008E0D2F">
              <w:rPr>
                <w:bCs/>
                <w:sz w:val="20"/>
                <w:szCs w:val="20"/>
              </w:rPr>
              <w:t>13 March 2019</w:t>
            </w:r>
          </w:p>
        </w:tc>
        <w:tc>
          <w:tcPr>
            <w:tcW w:w="3006" w:type="dxa"/>
          </w:tcPr>
          <w:p w14:paraId="50BB99B3" w14:textId="77777777" w:rsidR="002E7999" w:rsidRPr="008E0D2F" w:rsidRDefault="002E7999" w:rsidP="002E7999">
            <w:pPr>
              <w:rPr>
                <w:bCs/>
                <w:sz w:val="20"/>
                <w:szCs w:val="20"/>
              </w:rPr>
            </w:pPr>
            <w:r w:rsidRPr="008E0D2F">
              <w:rPr>
                <w:bCs/>
                <w:sz w:val="20"/>
                <w:szCs w:val="20"/>
              </w:rPr>
              <w:t>9</w:t>
            </w:r>
          </w:p>
        </w:tc>
      </w:tr>
      <w:tr w:rsidR="002E7999" w14:paraId="215263F1" w14:textId="77777777" w:rsidTr="002E7999">
        <w:tc>
          <w:tcPr>
            <w:tcW w:w="3005" w:type="dxa"/>
          </w:tcPr>
          <w:p w14:paraId="696AB045" w14:textId="77777777" w:rsidR="002E7999" w:rsidRPr="008E0D2F" w:rsidRDefault="002E7999" w:rsidP="002E7999">
            <w:pPr>
              <w:rPr>
                <w:bCs/>
                <w:sz w:val="20"/>
                <w:szCs w:val="20"/>
              </w:rPr>
            </w:pPr>
            <w:r w:rsidRPr="008E0D2F">
              <w:rPr>
                <w:bCs/>
                <w:sz w:val="20"/>
                <w:szCs w:val="20"/>
              </w:rPr>
              <w:t>Commercial</w:t>
            </w:r>
          </w:p>
        </w:tc>
        <w:tc>
          <w:tcPr>
            <w:tcW w:w="3005" w:type="dxa"/>
          </w:tcPr>
          <w:p w14:paraId="3CF9428C" w14:textId="77777777" w:rsidR="002E7999" w:rsidRPr="008E0D2F" w:rsidRDefault="002E7999" w:rsidP="002E7999">
            <w:pPr>
              <w:rPr>
                <w:bCs/>
                <w:sz w:val="20"/>
                <w:szCs w:val="20"/>
              </w:rPr>
            </w:pPr>
            <w:r w:rsidRPr="008E0D2F">
              <w:rPr>
                <w:bCs/>
                <w:sz w:val="20"/>
                <w:szCs w:val="20"/>
              </w:rPr>
              <w:t>14 March 2019</w:t>
            </w:r>
          </w:p>
        </w:tc>
        <w:tc>
          <w:tcPr>
            <w:tcW w:w="3006" w:type="dxa"/>
          </w:tcPr>
          <w:p w14:paraId="417ADBE3" w14:textId="77777777" w:rsidR="002E7999" w:rsidRPr="008E0D2F" w:rsidRDefault="002E7999" w:rsidP="002E7999">
            <w:pPr>
              <w:rPr>
                <w:bCs/>
                <w:sz w:val="20"/>
                <w:szCs w:val="20"/>
              </w:rPr>
            </w:pPr>
            <w:r w:rsidRPr="008E0D2F">
              <w:rPr>
                <w:bCs/>
                <w:sz w:val="20"/>
                <w:szCs w:val="20"/>
              </w:rPr>
              <w:t>11</w:t>
            </w:r>
          </w:p>
        </w:tc>
      </w:tr>
      <w:tr w:rsidR="002E7999" w14:paraId="62D0C440" w14:textId="77777777" w:rsidTr="002E7999">
        <w:tc>
          <w:tcPr>
            <w:tcW w:w="3005" w:type="dxa"/>
          </w:tcPr>
          <w:p w14:paraId="70D0CB2C" w14:textId="77777777" w:rsidR="002E7999" w:rsidRPr="008E0D2F" w:rsidRDefault="002E7999" w:rsidP="002E7999">
            <w:pPr>
              <w:rPr>
                <w:bCs/>
                <w:sz w:val="20"/>
                <w:szCs w:val="20"/>
              </w:rPr>
            </w:pPr>
            <w:r w:rsidRPr="008E0D2F">
              <w:rPr>
                <w:bCs/>
                <w:sz w:val="20"/>
                <w:szCs w:val="20"/>
              </w:rPr>
              <w:t>Joinery</w:t>
            </w:r>
          </w:p>
        </w:tc>
        <w:tc>
          <w:tcPr>
            <w:tcW w:w="3005" w:type="dxa"/>
          </w:tcPr>
          <w:p w14:paraId="150F40C9" w14:textId="77777777" w:rsidR="002E7999" w:rsidRPr="008E0D2F" w:rsidRDefault="002E7999" w:rsidP="002E7999">
            <w:pPr>
              <w:rPr>
                <w:bCs/>
                <w:sz w:val="20"/>
                <w:szCs w:val="20"/>
              </w:rPr>
            </w:pPr>
            <w:r w:rsidRPr="008E0D2F">
              <w:rPr>
                <w:bCs/>
                <w:sz w:val="20"/>
                <w:szCs w:val="20"/>
              </w:rPr>
              <w:t>15 March 2019</w:t>
            </w:r>
          </w:p>
        </w:tc>
        <w:tc>
          <w:tcPr>
            <w:tcW w:w="3006" w:type="dxa"/>
          </w:tcPr>
          <w:p w14:paraId="053524C8" w14:textId="77777777" w:rsidR="002E7999" w:rsidRPr="008E0D2F" w:rsidRDefault="002E7999" w:rsidP="002E7999">
            <w:pPr>
              <w:rPr>
                <w:bCs/>
                <w:sz w:val="20"/>
                <w:szCs w:val="20"/>
              </w:rPr>
            </w:pPr>
            <w:r w:rsidRPr="008E0D2F">
              <w:rPr>
                <w:bCs/>
                <w:sz w:val="20"/>
                <w:szCs w:val="20"/>
              </w:rPr>
              <w:t>9</w:t>
            </w:r>
          </w:p>
        </w:tc>
      </w:tr>
      <w:tr w:rsidR="002E7999" w14:paraId="7BDD1DBF" w14:textId="77777777" w:rsidTr="002E7999">
        <w:tc>
          <w:tcPr>
            <w:tcW w:w="3005" w:type="dxa"/>
          </w:tcPr>
          <w:p w14:paraId="7E05C2E8" w14:textId="77777777" w:rsidR="002E7999" w:rsidRPr="008E0D2F" w:rsidRDefault="002E7999" w:rsidP="002E7999">
            <w:pPr>
              <w:rPr>
                <w:bCs/>
                <w:sz w:val="20"/>
                <w:szCs w:val="20"/>
              </w:rPr>
            </w:pPr>
            <w:r w:rsidRPr="008E0D2F">
              <w:rPr>
                <w:bCs/>
                <w:sz w:val="20"/>
                <w:szCs w:val="20"/>
              </w:rPr>
              <w:t>Residential</w:t>
            </w:r>
          </w:p>
        </w:tc>
        <w:tc>
          <w:tcPr>
            <w:tcW w:w="3005" w:type="dxa"/>
          </w:tcPr>
          <w:p w14:paraId="3E13418E" w14:textId="77777777" w:rsidR="002E7999" w:rsidRPr="008E0D2F" w:rsidRDefault="002E7999" w:rsidP="002E7999">
            <w:pPr>
              <w:rPr>
                <w:bCs/>
                <w:sz w:val="20"/>
                <w:szCs w:val="20"/>
              </w:rPr>
            </w:pPr>
            <w:r w:rsidRPr="008E0D2F">
              <w:rPr>
                <w:bCs/>
                <w:sz w:val="20"/>
                <w:szCs w:val="20"/>
              </w:rPr>
              <w:t>18 March 2019</w:t>
            </w:r>
          </w:p>
        </w:tc>
        <w:tc>
          <w:tcPr>
            <w:tcW w:w="3006" w:type="dxa"/>
          </w:tcPr>
          <w:p w14:paraId="03C6C76C" w14:textId="77777777" w:rsidR="002E7999" w:rsidRPr="008E0D2F" w:rsidRDefault="002E7999" w:rsidP="002E7999">
            <w:pPr>
              <w:rPr>
                <w:bCs/>
                <w:sz w:val="20"/>
                <w:szCs w:val="20"/>
              </w:rPr>
            </w:pPr>
            <w:r w:rsidRPr="008E0D2F">
              <w:rPr>
                <w:bCs/>
                <w:sz w:val="20"/>
                <w:szCs w:val="20"/>
              </w:rPr>
              <w:t>16</w:t>
            </w:r>
          </w:p>
        </w:tc>
      </w:tr>
    </w:tbl>
    <w:p w14:paraId="6CCB2C55" w14:textId="77777777" w:rsidR="002E7999" w:rsidRPr="001B548F" w:rsidRDefault="002E7999" w:rsidP="002E7999">
      <w:pPr>
        <w:rPr>
          <w:bCs/>
        </w:rPr>
      </w:pPr>
    </w:p>
    <w:p w14:paraId="4970B423" w14:textId="77777777" w:rsidR="002E7999" w:rsidRDefault="002E7999" w:rsidP="002E7999">
      <w:pPr>
        <w:rPr>
          <w:b/>
          <w:bCs/>
        </w:rPr>
      </w:pPr>
      <w:r w:rsidRPr="00FC527F">
        <w:rPr>
          <w:b/>
          <w:bCs/>
        </w:rPr>
        <w:t xml:space="preserve">Summary of feedback from </w:t>
      </w:r>
      <w:r>
        <w:rPr>
          <w:b/>
          <w:bCs/>
        </w:rPr>
        <w:t>S</w:t>
      </w:r>
      <w:r w:rsidRPr="00FC527F">
        <w:rPr>
          <w:b/>
          <w:bCs/>
        </w:rPr>
        <w:t>urvey</w:t>
      </w:r>
      <w:r>
        <w:rPr>
          <w:b/>
          <w:bCs/>
        </w:rPr>
        <w:t xml:space="preserve"> 3</w:t>
      </w:r>
    </w:p>
    <w:p w14:paraId="03BB74EA" w14:textId="77777777" w:rsidR="002E7999" w:rsidRDefault="002E7999" w:rsidP="002E7999">
      <w:pPr>
        <w:rPr>
          <w:bCs/>
          <w:iCs/>
          <w:color w:val="000000" w:themeColor="text1"/>
        </w:rPr>
      </w:pPr>
      <w:r w:rsidRPr="001B548F">
        <w:rPr>
          <w:bCs/>
          <w:iCs/>
          <w:color w:val="000000" w:themeColor="text1"/>
        </w:rPr>
        <w:t>The thir</w:t>
      </w:r>
      <w:r>
        <w:rPr>
          <w:bCs/>
          <w:iCs/>
          <w:color w:val="000000" w:themeColor="text1"/>
        </w:rPr>
        <w:t>d nationwide, online stakeholder survey had 13 respondents, with the majority of these RTOs. A small number of comments were received on each of the proposed qualifications:</w:t>
      </w:r>
    </w:p>
    <w:p w14:paraId="4980F273" w14:textId="77777777" w:rsidR="002E7999" w:rsidRPr="00FB686B" w:rsidRDefault="002E7999" w:rsidP="005056E0">
      <w:pPr>
        <w:pStyle w:val="ListParagraph"/>
        <w:keepNext/>
        <w:keepLines/>
        <w:widowControl/>
        <w:numPr>
          <w:ilvl w:val="0"/>
          <w:numId w:val="24"/>
        </w:numPr>
        <w:autoSpaceDE/>
        <w:autoSpaceDN/>
        <w:contextualSpacing/>
        <w:rPr>
          <w:bCs/>
          <w:iCs/>
          <w:color w:val="000000" w:themeColor="text1"/>
        </w:rPr>
      </w:pPr>
      <w:r>
        <w:rPr>
          <w:bCs/>
          <w:iCs/>
          <w:color w:val="000000" w:themeColor="text1"/>
        </w:rPr>
        <w:t>two respondents who commented on the proposed Certificate III in Joinery agreed that the content and structure of the proposal meets industry needs.</w:t>
      </w:r>
    </w:p>
    <w:p w14:paraId="72E1FD84" w14:textId="77777777" w:rsidR="002E7999" w:rsidRDefault="002E7999" w:rsidP="005056E0">
      <w:pPr>
        <w:pStyle w:val="ListParagraph"/>
        <w:keepNext/>
        <w:keepLines/>
        <w:widowControl/>
        <w:numPr>
          <w:ilvl w:val="0"/>
          <w:numId w:val="24"/>
        </w:numPr>
        <w:autoSpaceDE/>
        <w:autoSpaceDN/>
        <w:contextualSpacing/>
        <w:rPr>
          <w:bCs/>
          <w:iCs/>
          <w:color w:val="000000" w:themeColor="text1"/>
        </w:rPr>
      </w:pPr>
      <w:r>
        <w:rPr>
          <w:bCs/>
          <w:iCs/>
          <w:color w:val="000000" w:themeColor="text1"/>
        </w:rPr>
        <w:t>13 respondents commented on the Certificate III in Carpentry, with 46% agreeing that it meets industry needs, and 54% saying that it does not.</w:t>
      </w:r>
    </w:p>
    <w:p w14:paraId="62C7A5B1" w14:textId="77777777" w:rsidR="002E7999" w:rsidRDefault="002E7999" w:rsidP="002E7999">
      <w:pPr>
        <w:rPr>
          <w:bCs/>
          <w:iCs/>
          <w:color w:val="4F81BD" w:themeColor="accent1"/>
        </w:rPr>
      </w:pPr>
    </w:p>
    <w:p w14:paraId="202C5124" w14:textId="77777777" w:rsidR="002E7999" w:rsidRDefault="002E7999" w:rsidP="002E7999">
      <w:pPr>
        <w:rPr>
          <w:bCs/>
          <w:iCs/>
          <w:color w:val="000000" w:themeColor="text1"/>
        </w:rPr>
      </w:pPr>
      <w:r>
        <w:rPr>
          <w:bCs/>
          <w:iCs/>
          <w:color w:val="000000" w:themeColor="text1"/>
        </w:rPr>
        <w:t>Comments from those who did not agree that the proposed Certificate III meets industry needs included:</w:t>
      </w:r>
    </w:p>
    <w:p w14:paraId="5F31A3C0" w14:textId="77777777" w:rsidR="002E7999" w:rsidRDefault="002E7999" w:rsidP="005056E0">
      <w:pPr>
        <w:pStyle w:val="ListParagraph"/>
        <w:keepNext/>
        <w:keepLines/>
        <w:widowControl/>
        <w:numPr>
          <w:ilvl w:val="0"/>
          <w:numId w:val="25"/>
        </w:numPr>
        <w:autoSpaceDE/>
        <w:autoSpaceDN/>
        <w:contextualSpacing/>
        <w:rPr>
          <w:bCs/>
          <w:iCs/>
          <w:color w:val="000000" w:themeColor="text1"/>
        </w:rPr>
      </w:pPr>
      <w:r>
        <w:rPr>
          <w:bCs/>
          <w:iCs/>
          <w:color w:val="000000" w:themeColor="text1"/>
        </w:rPr>
        <w:t>concern about number of units and ensuring students get sufficient workplace exposure required to complete them to demonstrate competency</w:t>
      </w:r>
    </w:p>
    <w:p w14:paraId="0E63D625" w14:textId="77777777" w:rsidR="002E7999" w:rsidRDefault="002E7999" w:rsidP="005056E0">
      <w:pPr>
        <w:pStyle w:val="ListParagraph"/>
        <w:keepNext/>
        <w:keepLines/>
        <w:widowControl/>
        <w:numPr>
          <w:ilvl w:val="0"/>
          <w:numId w:val="25"/>
        </w:numPr>
        <w:autoSpaceDE/>
        <w:autoSpaceDN/>
        <w:contextualSpacing/>
        <w:rPr>
          <w:bCs/>
          <w:iCs/>
          <w:color w:val="000000" w:themeColor="text1"/>
        </w:rPr>
      </w:pPr>
      <w:r>
        <w:rPr>
          <w:bCs/>
          <w:iCs/>
          <w:color w:val="000000" w:themeColor="text1"/>
        </w:rPr>
        <w:t>view that the packaging rules are too restrictive and do not allow diversity within the industry for employees and employers</w:t>
      </w:r>
    </w:p>
    <w:p w14:paraId="271AF14E" w14:textId="77777777" w:rsidR="002E7999" w:rsidRDefault="002E7999" w:rsidP="005056E0">
      <w:pPr>
        <w:pStyle w:val="ListParagraph"/>
        <w:keepNext/>
        <w:keepLines/>
        <w:widowControl/>
        <w:numPr>
          <w:ilvl w:val="0"/>
          <w:numId w:val="25"/>
        </w:numPr>
        <w:autoSpaceDE/>
        <w:autoSpaceDN/>
        <w:contextualSpacing/>
        <w:rPr>
          <w:bCs/>
          <w:iCs/>
          <w:color w:val="000000" w:themeColor="text1"/>
        </w:rPr>
      </w:pPr>
      <w:r>
        <w:rPr>
          <w:bCs/>
          <w:iCs/>
          <w:color w:val="000000" w:themeColor="text1"/>
        </w:rPr>
        <w:t>view that some units need to be rewritten to bring content up to current industry practices</w:t>
      </w:r>
    </w:p>
    <w:p w14:paraId="4FA80916" w14:textId="77777777" w:rsidR="002E7999" w:rsidRDefault="002E7999" w:rsidP="005056E0">
      <w:pPr>
        <w:pStyle w:val="ListParagraph"/>
        <w:keepNext/>
        <w:keepLines/>
        <w:widowControl/>
        <w:numPr>
          <w:ilvl w:val="0"/>
          <w:numId w:val="25"/>
        </w:numPr>
        <w:autoSpaceDE/>
        <w:autoSpaceDN/>
        <w:contextualSpacing/>
        <w:rPr>
          <w:bCs/>
          <w:iCs/>
          <w:color w:val="000000" w:themeColor="text1"/>
        </w:rPr>
      </w:pPr>
      <w:r>
        <w:rPr>
          <w:bCs/>
          <w:iCs/>
          <w:color w:val="000000" w:themeColor="text1"/>
        </w:rPr>
        <w:t>concern about the number of units being revised in other packages which may impact these qualifications</w:t>
      </w:r>
    </w:p>
    <w:p w14:paraId="7C718354" w14:textId="77777777" w:rsidR="002E7999" w:rsidRDefault="002E7999" w:rsidP="002E7999">
      <w:pPr>
        <w:ind w:left="360"/>
        <w:rPr>
          <w:bCs/>
          <w:iCs/>
          <w:color w:val="000000" w:themeColor="text1"/>
        </w:rPr>
      </w:pPr>
    </w:p>
    <w:p w14:paraId="29C834C3" w14:textId="77777777" w:rsidR="002E7999" w:rsidRPr="0063557E" w:rsidRDefault="002E7999" w:rsidP="002E7999">
      <w:pPr>
        <w:rPr>
          <w:bCs/>
          <w:iCs/>
          <w:color w:val="000000" w:themeColor="text1"/>
        </w:rPr>
      </w:pPr>
      <w:r w:rsidRPr="0063557E">
        <w:rPr>
          <w:bCs/>
          <w:iCs/>
          <w:color w:val="000000" w:themeColor="text1"/>
        </w:rPr>
        <w:t>The TAG considered this feedback and noted that the volume of learning in the new qualification is in the same order as the previous qualification, that the packaging rules combine two previous qualifications with low enrolment numbers – thus making the new qualification more viable to deliver</w:t>
      </w:r>
      <w:r>
        <w:rPr>
          <w:bCs/>
          <w:iCs/>
          <w:color w:val="000000" w:themeColor="text1"/>
        </w:rPr>
        <w:t>,</w:t>
      </w:r>
      <w:r w:rsidRPr="0063557E">
        <w:rPr>
          <w:bCs/>
          <w:iCs/>
          <w:color w:val="000000" w:themeColor="text1"/>
        </w:rPr>
        <w:t xml:space="preserve"> and amended the packaging rule to allow up to five units to be imported from any other training package to increase flexibility and future proof the joinery sector from convergence with other sectors, in particular manufacturing.  The TAG also reviewed the units and updated them to current industry practice.</w:t>
      </w:r>
    </w:p>
    <w:p w14:paraId="009CF170" w14:textId="77777777" w:rsidR="002E7999" w:rsidRDefault="002E7999" w:rsidP="002E7999"/>
    <w:p w14:paraId="1FE70BF0" w14:textId="77777777" w:rsidR="002E7999" w:rsidRPr="00093F44" w:rsidRDefault="002E7999" w:rsidP="002E7999">
      <w:pPr>
        <w:rPr>
          <w:b/>
        </w:rPr>
      </w:pPr>
      <w:r w:rsidRPr="00093F44">
        <w:rPr>
          <w:b/>
        </w:rPr>
        <w:t xml:space="preserve">Other </w:t>
      </w:r>
      <w:r>
        <w:rPr>
          <w:b/>
        </w:rPr>
        <w:t>Industry Decisions</w:t>
      </w:r>
    </w:p>
    <w:p w14:paraId="7DC1BD24" w14:textId="77777777" w:rsidR="002E7999" w:rsidRDefault="002E7999" w:rsidP="002E7999">
      <w:r>
        <w:t xml:space="preserve">On the 18 April 2019, a unanimous decision was made by the Construction, Plumbing and Services </w:t>
      </w:r>
      <w:r>
        <w:lastRenderedPageBreak/>
        <w:t xml:space="preserve">IRC that the unit </w:t>
      </w:r>
      <w:r w:rsidRPr="00093F44">
        <w:rPr>
          <w:i/>
        </w:rPr>
        <w:t>CPCCWHS1001 Prepare to work safely in the construction industry</w:t>
      </w:r>
      <w:r>
        <w:t xml:space="preserve"> be an entry requirement of all CPC AQF I-III qualifications.</w:t>
      </w:r>
    </w:p>
    <w:p w14:paraId="0C821A4F" w14:textId="77777777" w:rsidR="002E7999" w:rsidRDefault="002E7999" w:rsidP="002E7999"/>
    <w:p w14:paraId="5F5BBECA" w14:textId="77777777" w:rsidR="002E7999" w:rsidRDefault="002E7999" w:rsidP="002E7999">
      <w:pPr>
        <w:pStyle w:val="ArtibusCfE2"/>
        <w:spacing w:before="0"/>
      </w:pPr>
      <w:r>
        <w:t xml:space="preserve">Dissenting views and alternative approaches explored </w:t>
      </w:r>
    </w:p>
    <w:p w14:paraId="5DB3407F" w14:textId="77777777" w:rsidR="002E7999" w:rsidRDefault="002E7999" w:rsidP="002E7999"/>
    <w:p w14:paraId="40BE1E4E" w14:textId="77777777" w:rsidR="002E7999" w:rsidRDefault="002E7999" w:rsidP="002E7999">
      <w:r>
        <w:t xml:space="preserve">As discussed in detail above, stakeholder feedback was divided on several issues, such as qualification packaging, number of units, flexibility, and meeting jurisdictional licensing and skills demand requirements. Where stakeholders did not express a consensus or dominant view, the TAG’s representatives critically assessed the feedback and, informed by industry knowledge and subject matter experts, reached majority decisions. </w:t>
      </w:r>
    </w:p>
    <w:p w14:paraId="589D6BD4" w14:textId="77777777" w:rsidR="002E7999" w:rsidRDefault="002E7999" w:rsidP="002E7999"/>
    <w:p w14:paraId="2A3E8786" w14:textId="77777777" w:rsidR="002E7999" w:rsidRDefault="002E7999" w:rsidP="002E7999">
      <w:pPr>
        <w:pStyle w:val="ArtibusCfE2"/>
        <w:spacing w:before="0"/>
      </w:pPr>
      <w:r>
        <w:t xml:space="preserve">State/Territory Training Authorities </w:t>
      </w:r>
    </w:p>
    <w:p w14:paraId="3BE1DB8C" w14:textId="77777777" w:rsidR="002E7999" w:rsidRDefault="002E7999" w:rsidP="002E7999"/>
    <w:p w14:paraId="62B068B8" w14:textId="77777777" w:rsidR="002E7999" w:rsidRDefault="002E7999" w:rsidP="002E7999">
      <w:r w:rsidRPr="00737681">
        <w:t xml:space="preserve">STAs </w:t>
      </w:r>
      <w:r>
        <w:t>were kept informed</w:t>
      </w:r>
      <w:r w:rsidRPr="00737681">
        <w:t xml:space="preserve"> of the project</w:t>
      </w:r>
      <w:r>
        <w:t>’s progress</w:t>
      </w:r>
      <w:r w:rsidRPr="00737681">
        <w:t xml:space="preserve"> via newsletters and direct email correspondence. STA </w:t>
      </w:r>
      <w:r>
        <w:t xml:space="preserve">approval </w:t>
      </w:r>
      <w:r w:rsidRPr="00737681">
        <w:t>feedback on the project was reviewed and put forward to the TAG to consider.</w:t>
      </w:r>
      <w:r>
        <w:t xml:space="preserve"> </w:t>
      </w:r>
    </w:p>
    <w:p w14:paraId="24AE3309" w14:textId="77777777" w:rsidR="002E7999" w:rsidRDefault="002E7999" w:rsidP="002E7999">
      <w:r>
        <w:t>It is noteworthy that all State Training Authorities (STAs) were invited to, but the majority did not participate in, the stakeholder surveys and forums where these issues were explicitly raised with stakeholders and their responses actively considered by the TAG during the project development process. The STAs for Western Australia and South Australia both participated in the industry forums.</w:t>
      </w:r>
    </w:p>
    <w:p w14:paraId="49E8B217" w14:textId="77777777" w:rsidR="002E7999" w:rsidRDefault="002E7999" w:rsidP="002E7999"/>
    <w:p w14:paraId="7F0503AE" w14:textId="77777777" w:rsidR="002E7999" w:rsidRDefault="002E7999" w:rsidP="002E7999">
      <w:r>
        <w:t xml:space="preserve">Six STAs responded to the Case for Endorsement. The majority of these supported the project. </w:t>
      </w:r>
    </w:p>
    <w:p w14:paraId="46813EE4" w14:textId="77777777" w:rsidR="002E7999" w:rsidRDefault="002E7999" w:rsidP="002E7999"/>
    <w:p w14:paraId="67568DAA" w14:textId="77777777" w:rsidR="002E7999" w:rsidRDefault="002E7999" w:rsidP="002E7999">
      <w:r>
        <w:rPr>
          <w:b/>
        </w:rPr>
        <w:t>Table 7: State and Territory Training Authority responses to the Case for Endorsement</w:t>
      </w:r>
    </w:p>
    <w:tbl>
      <w:tblPr>
        <w:tblStyle w:val="TableGrid"/>
        <w:tblW w:w="0" w:type="auto"/>
        <w:tblLook w:val="04A0" w:firstRow="1" w:lastRow="0" w:firstColumn="1" w:lastColumn="0" w:noHBand="0" w:noVBand="1"/>
      </w:tblPr>
      <w:tblGrid>
        <w:gridCol w:w="2254"/>
        <w:gridCol w:w="1427"/>
        <w:gridCol w:w="3081"/>
        <w:gridCol w:w="2254"/>
      </w:tblGrid>
      <w:tr w:rsidR="002E7999" w:rsidRPr="00351FF3" w14:paraId="7FCAC775" w14:textId="77777777" w:rsidTr="002E7999">
        <w:tc>
          <w:tcPr>
            <w:tcW w:w="2254" w:type="dxa"/>
            <w:shd w:val="clear" w:color="auto" w:fill="EEECE1" w:themeFill="background2"/>
          </w:tcPr>
          <w:p w14:paraId="7E858E9E" w14:textId="77777777" w:rsidR="002E7999" w:rsidRPr="008E0D2F" w:rsidRDefault="002E7999" w:rsidP="002E7999">
            <w:pPr>
              <w:rPr>
                <w:b/>
                <w:sz w:val="20"/>
                <w:szCs w:val="20"/>
              </w:rPr>
            </w:pPr>
            <w:r w:rsidRPr="008E0D2F">
              <w:rPr>
                <w:b/>
                <w:sz w:val="20"/>
                <w:szCs w:val="20"/>
              </w:rPr>
              <w:t>STA</w:t>
            </w:r>
          </w:p>
        </w:tc>
        <w:tc>
          <w:tcPr>
            <w:tcW w:w="1427" w:type="dxa"/>
            <w:shd w:val="clear" w:color="auto" w:fill="EEECE1" w:themeFill="background2"/>
          </w:tcPr>
          <w:p w14:paraId="64BD37C3" w14:textId="77777777" w:rsidR="002E7999" w:rsidRPr="008E0D2F" w:rsidRDefault="002E7999" w:rsidP="002E7999">
            <w:pPr>
              <w:rPr>
                <w:b/>
                <w:sz w:val="20"/>
                <w:szCs w:val="20"/>
              </w:rPr>
            </w:pPr>
            <w:r w:rsidRPr="008E0D2F">
              <w:rPr>
                <w:b/>
                <w:sz w:val="20"/>
                <w:szCs w:val="20"/>
              </w:rPr>
              <w:t>Date</w:t>
            </w:r>
          </w:p>
        </w:tc>
        <w:tc>
          <w:tcPr>
            <w:tcW w:w="3081" w:type="dxa"/>
            <w:shd w:val="clear" w:color="auto" w:fill="EEECE1" w:themeFill="background2"/>
          </w:tcPr>
          <w:p w14:paraId="4A111120" w14:textId="77777777" w:rsidR="002E7999" w:rsidRPr="008E0D2F" w:rsidRDefault="002E7999" w:rsidP="002E7999">
            <w:pPr>
              <w:rPr>
                <w:b/>
                <w:sz w:val="20"/>
                <w:szCs w:val="20"/>
              </w:rPr>
            </w:pPr>
            <w:r w:rsidRPr="008E0D2F">
              <w:rPr>
                <w:b/>
                <w:sz w:val="20"/>
                <w:szCs w:val="20"/>
              </w:rPr>
              <w:t>STA Response</w:t>
            </w:r>
          </w:p>
        </w:tc>
        <w:tc>
          <w:tcPr>
            <w:tcW w:w="2254" w:type="dxa"/>
            <w:shd w:val="clear" w:color="auto" w:fill="EEECE1" w:themeFill="background2"/>
          </w:tcPr>
          <w:p w14:paraId="0BCAD7F0" w14:textId="77777777" w:rsidR="002E7999" w:rsidRPr="008E0D2F" w:rsidRDefault="002E7999" w:rsidP="002E7999">
            <w:pPr>
              <w:rPr>
                <w:b/>
                <w:sz w:val="20"/>
                <w:szCs w:val="20"/>
              </w:rPr>
            </w:pPr>
            <w:r w:rsidRPr="008E0D2F">
              <w:rPr>
                <w:b/>
                <w:sz w:val="20"/>
                <w:szCs w:val="20"/>
              </w:rPr>
              <w:t>Artibus Response</w:t>
            </w:r>
          </w:p>
        </w:tc>
      </w:tr>
      <w:tr w:rsidR="002E7999" w14:paraId="68F8C88C" w14:textId="77777777" w:rsidTr="002E7999">
        <w:tc>
          <w:tcPr>
            <w:tcW w:w="2254" w:type="dxa"/>
          </w:tcPr>
          <w:p w14:paraId="2152D954" w14:textId="77777777" w:rsidR="002E7999" w:rsidRPr="008E0D2F" w:rsidRDefault="002E7999" w:rsidP="002E7999">
            <w:pPr>
              <w:rPr>
                <w:sz w:val="20"/>
                <w:szCs w:val="20"/>
              </w:rPr>
            </w:pPr>
            <w:r w:rsidRPr="008E0D2F">
              <w:rPr>
                <w:sz w:val="20"/>
                <w:szCs w:val="20"/>
              </w:rPr>
              <w:t>New South Wales</w:t>
            </w:r>
          </w:p>
        </w:tc>
        <w:tc>
          <w:tcPr>
            <w:tcW w:w="1427" w:type="dxa"/>
          </w:tcPr>
          <w:p w14:paraId="02682EE1" w14:textId="77777777" w:rsidR="002E7999" w:rsidRPr="008E0D2F" w:rsidRDefault="002E7999" w:rsidP="002E7999">
            <w:pPr>
              <w:rPr>
                <w:sz w:val="20"/>
                <w:szCs w:val="20"/>
              </w:rPr>
            </w:pPr>
          </w:p>
        </w:tc>
        <w:tc>
          <w:tcPr>
            <w:tcW w:w="3081" w:type="dxa"/>
          </w:tcPr>
          <w:p w14:paraId="71DB2C87" w14:textId="77777777" w:rsidR="002E7999" w:rsidRPr="008E0D2F" w:rsidRDefault="002E7999" w:rsidP="002E7999">
            <w:pPr>
              <w:rPr>
                <w:sz w:val="20"/>
                <w:szCs w:val="20"/>
              </w:rPr>
            </w:pPr>
            <w:r w:rsidRPr="008E0D2F">
              <w:rPr>
                <w:sz w:val="20"/>
                <w:szCs w:val="20"/>
              </w:rPr>
              <w:t>Support for Case for Endorsement</w:t>
            </w:r>
          </w:p>
        </w:tc>
        <w:tc>
          <w:tcPr>
            <w:tcW w:w="2254" w:type="dxa"/>
          </w:tcPr>
          <w:p w14:paraId="00481921" w14:textId="77777777" w:rsidR="002E7999" w:rsidRPr="008E0D2F" w:rsidRDefault="002E7999" w:rsidP="002E7999">
            <w:pPr>
              <w:rPr>
                <w:sz w:val="20"/>
                <w:szCs w:val="20"/>
              </w:rPr>
            </w:pPr>
          </w:p>
        </w:tc>
      </w:tr>
      <w:tr w:rsidR="002E7999" w14:paraId="4CC74284" w14:textId="77777777" w:rsidTr="002E7999">
        <w:tc>
          <w:tcPr>
            <w:tcW w:w="2254" w:type="dxa"/>
          </w:tcPr>
          <w:p w14:paraId="2B32A098" w14:textId="77777777" w:rsidR="002E7999" w:rsidRPr="008E0D2F" w:rsidRDefault="002E7999" w:rsidP="002E7999">
            <w:pPr>
              <w:rPr>
                <w:sz w:val="20"/>
                <w:szCs w:val="20"/>
              </w:rPr>
            </w:pPr>
            <w:r w:rsidRPr="008E0D2F">
              <w:rPr>
                <w:sz w:val="20"/>
                <w:szCs w:val="20"/>
              </w:rPr>
              <w:t>Northern Territory</w:t>
            </w:r>
          </w:p>
        </w:tc>
        <w:tc>
          <w:tcPr>
            <w:tcW w:w="1427" w:type="dxa"/>
          </w:tcPr>
          <w:p w14:paraId="5047A123" w14:textId="77777777" w:rsidR="002E7999" w:rsidRPr="008E0D2F" w:rsidRDefault="002E7999" w:rsidP="002E7999">
            <w:pPr>
              <w:rPr>
                <w:sz w:val="20"/>
                <w:szCs w:val="20"/>
              </w:rPr>
            </w:pPr>
          </w:p>
        </w:tc>
        <w:tc>
          <w:tcPr>
            <w:tcW w:w="3081" w:type="dxa"/>
          </w:tcPr>
          <w:p w14:paraId="66FDA536" w14:textId="77777777" w:rsidR="002E7999" w:rsidRPr="008E0D2F" w:rsidRDefault="002E7999" w:rsidP="002E7999">
            <w:pPr>
              <w:rPr>
                <w:sz w:val="20"/>
                <w:szCs w:val="20"/>
              </w:rPr>
            </w:pPr>
            <w:r w:rsidRPr="008E0D2F">
              <w:rPr>
                <w:sz w:val="20"/>
                <w:szCs w:val="20"/>
              </w:rPr>
              <w:t>Support for Case for Endorsement</w:t>
            </w:r>
          </w:p>
        </w:tc>
        <w:tc>
          <w:tcPr>
            <w:tcW w:w="2254" w:type="dxa"/>
          </w:tcPr>
          <w:p w14:paraId="2BB7FF3B" w14:textId="77777777" w:rsidR="002E7999" w:rsidRPr="008E0D2F" w:rsidRDefault="002E7999" w:rsidP="002E7999">
            <w:pPr>
              <w:rPr>
                <w:sz w:val="20"/>
                <w:szCs w:val="20"/>
              </w:rPr>
            </w:pPr>
          </w:p>
        </w:tc>
      </w:tr>
      <w:tr w:rsidR="002E7999" w14:paraId="5AB350DA" w14:textId="77777777" w:rsidTr="002E7999">
        <w:tc>
          <w:tcPr>
            <w:tcW w:w="2254" w:type="dxa"/>
          </w:tcPr>
          <w:p w14:paraId="134F91C1" w14:textId="77777777" w:rsidR="002E7999" w:rsidRPr="008E0D2F" w:rsidRDefault="002E7999" w:rsidP="002E7999">
            <w:pPr>
              <w:rPr>
                <w:sz w:val="20"/>
                <w:szCs w:val="20"/>
              </w:rPr>
            </w:pPr>
            <w:r w:rsidRPr="008E0D2F">
              <w:rPr>
                <w:sz w:val="20"/>
                <w:szCs w:val="20"/>
              </w:rPr>
              <w:t>Western Australia</w:t>
            </w:r>
          </w:p>
        </w:tc>
        <w:tc>
          <w:tcPr>
            <w:tcW w:w="1427" w:type="dxa"/>
          </w:tcPr>
          <w:p w14:paraId="6E975DBF" w14:textId="77777777" w:rsidR="002E7999" w:rsidRPr="008E0D2F" w:rsidRDefault="002E7999" w:rsidP="002E7999">
            <w:pPr>
              <w:rPr>
                <w:sz w:val="20"/>
                <w:szCs w:val="20"/>
              </w:rPr>
            </w:pPr>
          </w:p>
        </w:tc>
        <w:tc>
          <w:tcPr>
            <w:tcW w:w="3081" w:type="dxa"/>
          </w:tcPr>
          <w:p w14:paraId="3FF450E9" w14:textId="77777777" w:rsidR="002E7999" w:rsidRPr="008E0D2F" w:rsidRDefault="002E7999" w:rsidP="002E7999">
            <w:pPr>
              <w:rPr>
                <w:sz w:val="20"/>
                <w:szCs w:val="20"/>
              </w:rPr>
            </w:pPr>
            <w:r w:rsidRPr="008E0D2F">
              <w:rPr>
                <w:sz w:val="20"/>
                <w:szCs w:val="20"/>
              </w:rPr>
              <w:t>Support for Case for Endorsement</w:t>
            </w:r>
          </w:p>
        </w:tc>
        <w:tc>
          <w:tcPr>
            <w:tcW w:w="2254" w:type="dxa"/>
          </w:tcPr>
          <w:p w14:paraId="1AD0E379" w14:textId="77777777" w:rsidR="002E7999" w:rsidRPr="008E0D2F" w:rsidRDefault="002E7999" w:rsidP="002E7999">
            <w:pPr>
              <w:rPr>
                <w:sz w:val="20"/>
                <w:szCs w:val="20"/>
              </w:rPr>
            </w:pPr>
          </w:p>
        </w:tc>
      </w:tr>
      <w:tr w:rsidR="002E7999" w14:paraId="537EA73F" w14:textId="77777777" w:rsidTr="002E7999">
        <w:tc>
          <w:tcPr>
            <w:tcW w:w="2254" w:type="dxa"/>
          </w:tcPr>
          <w:p w14:paraId="2C31A85E" w14:textId="77777777" w:rsidR="002E7999" w:rsidRPr="008E0D2F" w:rsidRDefault="002E7999" w:rsidP="002E7999">
            <w:pPr>
              <w:rPr>
                <w:sz w:val="20"/>
                <w:szCs w:val="20"/>
              </w:rPr>
            </w:pPr>
            <w:r w:rsidRPr="008E0D2F">
              <w:rPr>
                <w:sz w:val="20"/>
                <w:szCs w:val="20"/>
              </w:rPr>
              <w:t>Queensland</w:t>
            </w:r>
          </w:p>
        </w:tc>
        <w:tc>
          <w:tcPr>
            <w:tcW w:w="1427" w:type="dxa"/>
          </w:tcPr>
          <w:p w14:paraId="0814EA94" w14:textId="77777777" w:rsidR="002E7999" w:rsidRPr="008E0D2F" w:rsidRDefault="002E7999" w:rsidP="002E7999">
            <w:pPr>
              <w:rPr>
                <w:sz w:val="20"/>
                <w:szCs w:val="20"/>
              </w:rPr>
            </w:pPr>
          </w:p>
        </w:tc>
        <w:tc>
          <w:tcPr>
            <w:tcW w:w="3081" w:type="dxa"/>
          </w:tcPr>
          <w:p w14:paraId="2577EDBC" w14:textId="77777777" w:rsidR="002E7999" w:rsidRPr="008E0D2F" w:rsidRDefault="002E7999" w:rsidP="002E7999">
            <w:pPr>
              <w:rPr>
                <w:sz w:val="20"/>
                <w:szCs w:val="20"/>
              </w:rPr>
            </w:pPr>
            <w:r w:rsidRPr="008E0D2F">
              <w:rPr>
                <w:sz w:val="20"/>
                <w:szCs w:val="20"/>
              </w:rPr>
              <w:t>Support for Case for Endorsement</w:t>
            </w:r>
          </w:p>
        </w:tc>
        <w:tc>
          <w:tcPr>
            <w:tcW w:w="2254" w:type="dxa"/>
          </w:tcPr>
          <w:p w14:paraId="04E80118" w14:textId="77777777" w:rsidR="002E7999" w:rsidRPr="008E0D2F" w:rsidRDefault="002E7999" w:rsidP="002E7999">
            <w:pPr>
              <w:rPr>
                <w:sz w:val="20"/>
                <w:szCs w:val="20"/>
              </w:rPr>
            </w:pPr>
          </w:p>
        </w:tc>
      </w:tr>
      <w:tr w:rsidR="002E7999" w14:paraId="057884BB" w14:textId="77777777" w:rsidTr="002E7999">
        <w:tc>
          <w:tcPr>
            <w:tcW w:w="2254" w:type="dxa"/>
          </w:tcPr>
          <w:p w14:paraId="3CE2F833" w14:textId="77777777" w:rsidR="002E7999" w:rsidRPr="008E0D2F" w:rsidRDefault="002E7999" w:rsidP="002E7999">
            <w:pPr>
              <w:rPr>
                <w:sz w:val="20"/>
                <w:szCs w:val="20"/>
              </w:rPr>
            </w:pPr>
            <w:r w:rsidRPr="008E0D2F">
              <w:rPr>
                <w:sz w:val="20"/>
                <w:szCs w:val="20"/>
              </w:rPr>
              <w:t>Australian Capital Territory</w:t>
            </w:r>
          </w:p>
        </w:tc>
        <w:tc>
          <w:tcPr>
            <w:tcW w:w="1427" w:type="dxa"/>
          </w:tcPr>
          <w:p w14:paraId="6A588DF9" w14:textId="77777777" w:rsidR="002E7999" w:rsidRPr="008E0D2F" w:rsidRDefault="002E7999" w:rsidP="002E7999">
            <w:pPr>
              <w:rPr>
                <w:sz w:val="20"/>
                <w:szCs w:val="20"/>
              </w:rPr>
            </w:pPr>
          </w:p>
        </w:tc>
        <w:tc>
          <w:tcPr>
            <w:tcW w:w="3081" w:type="dxa"/>
          </w:tcPr>
          <w:p w14:paraId="624B744E" w14:textId="77777777" w:rsidR="002E7999" w:rsidRPr="008E0D2F" w:rsidRDefault="002E7999" w:rsidP="002E7999">
            <w:pPr>
              <w:rPr>
                <w:sz w:val="20"/>
                <w:szCs w:val="20"/>
              </w:rPr>
            </w:pPr>
            <w:r w:rsidRPr="008E0D2F">
              <w:rPr>
                <w:sz w:val="20"/>
                <w:szCs w:val="20"/>
              </w:rPr>
              <w:t>No response received</w:t>
            </w:r>
          </w:p>
        </w:tc>
        <w:tc>
          <w:tcPr>
            <w:tcW w:w="2254" w:type="dxa"/>
          </w:tcPr>
          <w:p w14:paraId="03B9AEEE" w14:textId="77777777" w:rsidR="002E7999" w:rsidRPr="008E0D2F" w:rsidRDefault="002E7999" w:rsidP="002E7999">
            <w:pPr>
              <w:rPr>
                <w:sz w:val="20"/>
                <w:szCs w:val="20"/>
              </w:rPr>
            </w:pPr>
          </w:p>
        </w:tc>
      </w:tr>
      <w:tr w:rsidR="002E7999" w14:paraId="6B36EFF7" w14:textId="77777777" w:rsidTr="002E7999">
        <w:tc>
          <w:tcPr>
            <w:tcW w:w="2254" w:type="dxa"/>
          </w:tcPr>
          <w:p w14:paraId="7B88AA1C" w14:textId="77777777" w:rsidR="002E7999" w:rsidRPr="008E0D2F" w:rsidRDefault="002E7999" w:rsidP="002E7999">
            <w:pPr>
              <w:rPr>
                <w:sz w:val="20"/>
                <w:szCs w:val="20"/>
              </w:rPr>
            </w:pPr>
            <w:r w:rsidRPr="008E0D2F">
              <w:rPr>
                <w:sz w:val="20"/>
                <w:szCs w:val="20"/>
              </w:rPr>
              <w:t>South Australia</w:t>
            </w:r>
          </w:p>
        </w:tc>
        <w:tc>
          <w:tcPr>
            <w:tcW w:w="1427" w:type="dxa"/>
          </w:tcPr>
          <w:p w14:paraId="44F2EC82" w14:textId="77777777" w:rsidR="002E7999" w:rsidRPr="008E0D2F" w:rsidRDefault="002E7999" w:rsidP="002E7999">
            <w:pPr>
              <w:rPr>
                <w:sz w:val="20"/>
                <w:szCs w:val="20"/>
              </w:rPr>
            </w:pPr>
          </w:p>
        </w:tc>
        <w:tc>
          <w:tcPr>
            <w:tcW w:w="3081" w:type="dxa"/>
          </w:tcPr>
          <w:p w14:paraId="36680647" w14:textId="77777777" w:rsidR="002E7999" w:rsidRPr="008E0D2F" w:rsidRDefault="002E7999" w:rsidP="002E7999">
            <w:pPr>
              <w:rPr>
                <w:sz w:val="20"/>
                <w:szCs w:val="20"/>
              </w:rPr>
            </w:pPr>
            <w:r w:rsidRPr="008E0D2F">
              <w:rPr>
                <w:sz w:val="20"/>
                <w:szCs w:val="20"/>
              </w:rPr>
              <w:t>No response received</w:t>
            </w:r>
          </w:p>
        </w:tc>
        <w:tc>
          <w:tcPr>
            <w:tcW w:w="2254" w:type="dxa"/>
          </w:tcPr>
          <w:p w14:paraId="4FC59D78" w14:textId="77777777" w:rsidR="002E7999" w:rsidRPr="008E0D2F" w:rsidRDefault="002E7999" w:rsidP="002E7999">
            <w:pPr>
              <w:rPr>
                <w:sz w:val="20"/>
                <w:szCs w:val="20"/>
              </w:rPr>
            </w:pPr>
          </w:p>
        </w:tc>
      </w:tr>
      <w:tr w:rsidR="002E7999" w14:paraId="76724D9D" w14:textId="77777777" w:rsidTr="002E7999">
        <w:tc>
          <w:tcPr>
            <w:tcW w:w="2254" w:type="dxa"/>
          </w:tcPr>
          <w:p w14:paraId="35A0BBBC" w14:textId="77777777" w:rsidR="002E7999" w:rsidRPr="008E0D2F" w:rsidRDefault="002E7999" w:rsidP="002E7999">
            <w:pPr>
              <w:rPr>
                <w:sz w:val="20"/>
                <w:szCs w:val="20"/>
              </w:rPr>
            </w:pPr>
            <w:r w:rsidRPr="008E0D2F">
              <w:rPr>
                <w:sz w:val="20"/>
                <w:szCs w:val="20"/>
              </w:rPr>
              <w:t>Victoria</w:t>
            </w:r>
          </w:p>
        </w:tc>
        <w:tc>
          <w:tcPr>
            <w:tcW w:w="1427" w:type="dxa"/>
          </w:tcPr>
          <w:p w14:paraId="724EEF70" w14:textId="77777777" w:rsidR="002E7999" w:rsidRPr="008E0D2F" w:rsidRDefault="002E7999" w:rsidP="002E7999">
            <w:pPr>
              <w:rPr>
                <w:sz w:val="20"/>
                <w:szCs w:val="20"/>
              </w:rPr>
            </w:pPr>
            <w:r w:rsidRPr="008E0D2F">
              <w:rPr>
                <w:sz w:val="20"/>
                <w:szCs w:val="20"/>
              </w:rPr>
              <w:t>9 July 2019</w:t>
            </w:r>
          </w:p>
        </w:tc>
        <w:tc>
          <w:tcPr>
            <w:tcW w:w="3081" w:type="dxa"/>
          </w:tcPr>
          <w:p w14:paraId="59449B37" w14:textId="77777777" w:rsidR="002E7999" w:rsidRPr="008E0D2F" w:rsidRDefault="002E7999" w:rsidP="002E7999">
            <w:pPr>
              <w:rPr>
                <w:sz w:val="20"/>
                <w:szCs w:val="20"/>
              </w:rPr>
            </w:pPr>
            <w:r w:rsidRPr="008E0D2F">
              <w:rPr>
                <w:sz w:val="20"/>
                <w:szCs w:val="20"/>
              </w:rPr>
              <w:t>Does not support</w:t>
            </w:r>
          </w:p>
        </w:tc>
        <w:tc>
          <w:tcPr>
            <w:tcW w:w="2254" w:type="dxa"/>
          </w:tcPr>
          <w:p w14:paraId="38036CD1" w14:textId="77777777" w:rsidR="002E7999" w:rsidRPr="008E0D2F" w:rsidRDefault="002E7999" w:rsidP="002E7999">
            <w:pPr>
              <w:rPr>
                <w:sz w:val="20"/>
                <w:szCs w:val="20"/>
              </w:rPr>
            </w:pPr>
            <w:r w:rsidRPr="008E0D2F">
              <w:rPr>
                <w:sz w:val="20"/>
                <w:szCs w:val="20"/>
              </w:rPr>
              <w:t>10 July 2019</w:t>
            </w:r>
          </w:p>
        </w:tc>
      </w:tr>
      <w:tr w:rsidR="002E7999" w14:paraId="24950F51" w14:textId="77777777" w:rsidTr="002E7999">
        <w:tc>
          <w:tcPr>
            <w:tcW w:w="2254" w:type="dxa"/>
          </w:tcPr>
          <w:p w14:paraId="1A186903" w14:textId="77777777" w:rsidR="002E7999" w:rsidRPr="008E0D2F" w:rsidRDefault="002E7999" w:rsidP="002E7999">
            <w:pPr>
              <w:rPr>
                <w:sz w:val="20"/>
                <w:szCs w:val="20"/>
              </w:rPr>
            </w:pPr>
            <w:r w:rsidRPr="008E0D2F">
              <w:rPr>
                <w:sz w:val="20"/>
                <w:szCs w:val="20"/>
              </w:rPr>
              <w:t>Victoria</w:t>
            </w:r>
          </w:p>
        </w:tc>
        <w:tc>
          <w:tcPr>
            <w:tcW w:w="1427" w:type="dxa"/>
          </w:tcPr>
          <w:p w14:paraId="35815E00" w14:textId="77777777" w:rsidR="002E7999" w:rsidRPr="008E0D2F" w:rsidRDefault="002E7999" w:rsidP="002E7999">
            <w:pPr>
              <w:rPr>
                <w:sz w:val="20"/>
                <w:szCs w:val="20"/>
              </w:rPr>
            </w:pPr>
            <w:r w:rsidRPr="008E0D2F">
              <w:rPr>
                <w:sz w:val="20"/>
                <w:szCs w:val="20"/>
              </w:rPr>
              <w:t>17 July 2019</w:t>
            </w:r>
          </w:p>
        </w:tc>
        <w:tc>
          <w:tcPr>
            <w:tcW w:w="3081" w:type="dxa"/>
          </w:tcPr>
          <w:p w14:paraId="3EFFEB89" w14:textId="77777777" w:rsidR="002E7999" w:rsidRPr="008E0D2F" w:rsidRDefault="002E7999" w:rsidP="002E7999">
            <w:pPr>
              <w:rPr>
                <w:sz w:val="20"/>
                <w:szCs w:val="20"/>
              </w:rPr>
            </w:pPr>
            <w:r w:rsidRPr="008E0D2F">
              <w:rPr>
                <w:sz w:val="20"/>
                <w:szCs w:val="20"/>
              </w:rPr>
              <w:t>Does not support</w:t>
            </w:r>
          </w:p>
        </w:tc>
        <w:tc>
          <w:tcPr>
            <w:tcW w:w="2254" w:type="dxa"/>
          </w:tcPr>
          <w:p w14:paraId="7AFBAFD2" w14:textId="77777777" w:rsidR="002E7999" w:rsidRPr="008E0D2F" w:rsidRDefault="002E7999" w:rsidP="002E7999">
            <w:pPr>
              <w:rPr>
                <w:sz w:val="20"/>
                <w:szCs w:val="20"/>
              </w:rPr>
            </w:pPr>
            <w:r w:rsidRPr="008E0D2F">
              <w:rPr>
                <w:sz w:val="20"/>
                <w:szCs w:val="20"/>
              </w:rPr>
              <w:t>26 July 2019</w:t>
            </w:r>
          </w:p>
        </w:tc>
      </w:tr>
      <w:tr w:rsidR="002E7999" w14:paraId="770D239E" w14:textId="77777777" w:rsidTr="002E7999">
        <w:tc>
          <w:tcPr>
            <w:tcW w:w="2254" w:type="dxa"/>
          </w:tcPr>
          <w:p w14:paraId="05794C01" w14:textId="77777777" w:rsidR="002E7999" w:rsidRPr="008E0D2F" w:rsidRDefault="002E7999" w:rsidP="002E7999">
            <w:pPr>
              <w:rPr>
                <w:sz w:val="20"/>
                <w:szCs w:val="20"/>
              </w:rPr>
            </w:pPr>
            <w:r w:rsidRPr="008E0D2F">
              <w:rPr>
                <w:sz w:val="20"/>
                <w:szCs w:val="20"/>
              </w:rPr>
              <w:t>Tasmania</w:t>
            </w:r>
          </w:p>
        </w:tc>
        <w:tc>
          <w:tcPr>
            <w:tcW w:w="1427" w:type="dxa"/>
          </w:tcPr>
          <w:p w14:paraId="196570F9" w14:textId="77777777" w:rsidR="002E7999" w:rsidRPr="008E0D2F" w:rsidRDefault="002E7999" w:rsidP="002E7999">
            <w:pPr>
              <w:rPr>
                <w:sz w:val="20"/>
                <w:szCs w:val="20"/>
              </w:rPr>
            </w:pPr>
            <w:r w:rsidRPr="008E0D2F">
              <w:rPr>
                <w:sz w:val="20"/>
                <w:szCs w:val="20"/>
              </w:rPr>
              <w:t>11 July 2019</w:t>
            </w:r>
          </w:p>
        </w:tc>
        <w:tc>
          <w:tcPr>
            <w:tcW w:w="3081" w:type="dxa"/>
          </w:tcPr>
          <w:p w14:paraId="63ABB32E" w14:textId="77777777" w:rsidR="002E7999" w:rsidRPr="008E0D2F" w:rsidRDefault="002E7999" w:rsidP="002E7999">
            <w:pPr>
              <w:rPr>
                <w:sz w:val="20"/>
                <w:szCs w:val="20"/>
              </w:rPr>
            </w:pPr>
            <w:r w:rsidRPr="008E0D2F">
              <w:rPr>
                <w:sz w:val="20"/>
                <w:szCs w:val="20"/>
              </w:rPr>
              <w:t>Does not support</w:t>
            </w:r>
          </w:p>
        </w:tc>
        <w:tc>
          <w:tcPr>
            <w:tcW w:w="2254" w:type="dxa"/>
          </w:tcPr>
          <w:p w14:paraId="4D05EACA" w14:textId="77777777" w:rsidR="002E7999" w:rsidRPr="008E0D2F" w:rsidRDefault="002E7999" w:rsidP="002E7999">
            <w:pPr>
              <w:rPr>
                <w:sz w:val="20"/>
                <w:szCs w:val="20"/>
              </w:rPr>
            </w:pPr>
            <w:r w:rsidRPr="008E0D2F">
              <w:rPr>
                <w:sz w:val="20"/>
                <w:szCs w:val="20"/>
              </w:rPr>
              <w:t>11 July 2019</w:t>
            </w:r>
          </w:p>
        </w:tc>
      </w:tr>
    </w:tbl>
    <w:p w14:paraId="4E1C553D" w14:textId="77777777" w:rsidR="002E7999" w:rsidRDefault="002E7999" w:rsidP="002E7999"/>
    <w:p w14:paraId="2FFEF448" w14:textId="77777777" w:rsidR="002E7999" w:rsidRDefault="002E7999" w:rsidP="002E7999"/>
    <w:p w14:paraId="62EE2FF1" w14:textId="77777777" w:rsidR="002E7999" w:rsidRDefault="002E7999" w:rsidP="002E7999">
      <w:r>
        <w:t>Two STAs (Victoria and Tasmania) reviewed the project and raised concerns. The Tasmanian STA was concerned about:</w:t>
      </w:r>
    </w:p>
    <w:p w14:paraId="66B21CD2" w14:textId="77777777" w:rsidR="002E7999" w:rsidRDefault="002E7999" w:rsidP="005056E0">
      <w:pPr>
        <w:pStyle w:val="ListParagraph"/>
        <w:keepNext/>
        <w:keepLines/>
        <w:widowControl/>
        <w:numPr>
          <w:ilvl w:val="0"/>
          <w:numId w:val="20"/>
        </w:numPr>
        <w:autoSpaceDE/>
        <w:autoSpaceDN/>
        <w:contextualSpacing/>
      </w:pPr>
      <w:r>
        <w:t>packaging rules</w:t>
      </w:r>
    </w:p>
    <w:p w14:paraId="5A08902F" w14:textId="77777777" w:rsidR="002E7999" w:rsidRDefault="002E7999" w:rsidP="002E7999"/>
    <w:p w14:paraId="15904A7F" w14:textId="77777777" w:rsidR="002E7999" w:rsidRDefault="002E7999" w:rsidP="002E7999">
      <w:r>
        <w:t>The Victorian STA cited concerns about:</w:t>
      </w:r>
    </w:p>
    <w:p w14:paraId="5B86A16F" w14:textId="77777777" w:rsidR="002E7999" w:rsidRDefault="002E7999" w:rsidP="005056E0">
      <w:pPr>
        <w:pStyle w:val="ListParagraph"/>
        <w:keepNext/>
        <w:keepLines/>
        <w:widowControl/>
        <w:numPr>
          <w:ilvl w:val="0"/>
          <w:numId w:val="20"/>
        </w:numPr>
        <w:autoSpaceDE/>
        <w:autoSpaceDN/>
        <w:contextualSpacing/>
      </w:pPr>
      <w:r>
        <w:t>entry requirements</w:t>
      </w:r>
    </w:p>
    <w:p w14:paraId="56EBFB1C" w14:textId="77777777" w:rsidR="002E7999" w:rsidRDefault="002E7999" w:rsidP="005056E0">
      <w:pPr>
        <w:pStyle w:val="ListParagraph"/>
        <w:keepNext/>
        <w:keepLines/>
        <w:widowControl/>
        <w:numPr>
          <w:ilvl w:val="0"/>
          <w:numId w:val="20"/>
        </w:numPr>
        <w:autoSpaceDE/>
        <w:autoSpaceDN/>
        <w:contextualSpacing/>
      </w:pPr>
      <w:r>
        <w:t>unit equivalency</w:t>
      </w:r>
    </w:p>
    <w:p w14:paraId="360D4E91" w14:textId="77777777" w:rsidR="002E7999" w:rsidRDefault="002E7999" w:rsidP="005056E0">
      <w:pPr>
        <w:pStyle w:val="ListParagraph"/>
        <w:keepNext/>
        <w:keepLines/>
        <w:widowControl/>
        <w:numPr>
          <w:ilvl w:val="0"/>
          <w:numId w:val="20"/>
        </w:numPr>
        <w:autoSpaceDE/>
        <w:autoSpaceDN/>
        <w:contextualSpacing/>
      </w:pPr>
      <w:r>
        <w:t>unit referencing</w:t>
      </w:r>
    </w:p>
    <w:p w14:paraId="378BF202" w14:textId="77777777" w:rsidR="002E7999" w:rsidRDefault="002E7999" w:rsidP="005056E0">
      <w:pPr>
        <w:pStyle w:val="ListParagraph"/>
        <w:keepNext/>
        <w:keepLines/>
        <w:widowControl/>
        <w:numPr>
          <w:ilvl w:val="0"/>
          <w:numId w:val="20"/>
        </w:numPr>
        <w:autoSpaceDE/>
        <w:autoSpaceDN/>
        <w:contextualSpacing/>
      </w:pPr>
      <w:r>
        <w:t>packaging rules</w:t>
      </w:r>
    </w:p>
    <w:p w14:paraId="0ED00EB2" w14:textId="77777777" w:rsidR="002E7999" w:rsidRDefault="002E7999" w:rsidP="005056E0">
      <w:pPr>
        <w:pStyle w:val="ListParagraph"/>
        <w:keepNext/>
        <w:keepLines/>
        <w:widowControl/>
        <w:numPr>
          <w:ilvl w:val="0"/>
          <w:numId w:val="20"/>
        </w:numPr>
        <w:autoSpaceDE/>
        <w:autoSpaceDN/>
        <w:contextualSpacing/>
      </w:pPr>
      <w:r>
        <w:t>training package flexibility</w:t>
      </w:r>
    </w:p>
    <w:p w14:paraId="5ED07F94" w14:textId="77777777" w:rsidR="002E7999" w:rsidRDefault="002E7999" w:rsidP="002E7999"/>
    <w:p w14:paraId="7FBB4474" w14:textId="77777777" w:rsidR="002E7999" w:rsidRDefault="002E7999" w:rsidP="002E7999">
      <w:r>
        <w:t>Artibus responded to concerns identified by the Victorian and Tasmanian STAs by:</w:t>
      </w:r>
    </w:p>
    <w:p w14:paraId="4E3E015D" w14:textId="77777777" w:rsidR="002E7999" w:rsidRDefault="002E7999" w:rsidP="005056E0">
      <w:pPr>
        <w:pStyle w:val="ListParagraph"/>
        <w:keepNext/>
        <w:keepLines/>
        <w:widowControl/>
        <w:numPr>
          <w:ilvl w:val="0"/>
          <w:numId w:val="21"/>
        </w:numPr>
        <w:autoSpaceDE/>
        <w:autoSpaceDN/>
        <w:contextualSpacing/>
      </w:pPr>
      <w:r>
        <w:t>amending the training package components, where possible, and</w:t>
      </w:r>
    </w:p>
    <w:p w14:paraId="3BC723ED" w14:textId="77777777" w:rsidR="002E7999" w:rsidRDefault="002E7999" w:rsidP="005056E0">
      <w:pPr>
        <w:pStyle w:val="ListParagraph"/>
        <w:keepNext/>
        <w:keepLines/>
        <w:widowControl/>
        <w:numPr>
          <w:ilvl w:val="0"/>
          <w:numId w:val="21"/>
        </w:numPr>
        <w:autoSpaceDE/>
        <w:autoSpaceDN/>
        <w:contextualSpacing/>
      </w:pPr>
      <w:r>
        <w:t>providing rationales for TAG decisions.</w:t>
      </w:r>
    </w:p>
    <w:p w14:paraId="61BA1E73" w14:textId="77777777" w:rsidR="002E7999" w:rsidRDefault="002E7999" w:rsidP="002E7999">
      <w:pPr>
        <w:rPr>
          <w:color w:val="FF0000"/>
        </w:rPr>
      </w:pPr>
    </w:p>
    <w:p w14:paraId="3C2F1C6F" w14:textId="77777777" w:rsidR="002E7999" w:rsidRDefault="002E7999" w:rsidP="002E7999">
      <w:pPr>
        <w:rPr>
          <w:color w:val="000000" w:themeColor="text1"/>
        </w:rPr>
      </w:pPr>
      <w:r>
        <w:rPr>
          <w:color w:val="000000" w:themeColor="text1"/>
        </w:rPr>
        <w:t>These concerns and responses are explored in more detail below.</w:t>
      </w:r>
    </w:p>
    <w:p w14:paraId="7662B56C" w14:textId="77777777" w:rsidR="002E7999" w:rsidRDefault="002E7999" w:rsidP="002E7999">
      <w:pPr>
        <w:rPr>
          <w:color w:val="000000" w:themeColor="text1"/>
        </w:rPr>
      </w:pPr>
    </w:p>
    <w:p w14:paraId="43D6EE0A" w14:textId="77777777" w:rsidR="002E7999" w:rsidRPr="001D1C98" w:rsidRDefault="002E7999" w:rsidP="002E7999">
      <w:pPr>
        <w:rPr>
          <w:b/>
          <w:color w:val="000000" w:themeColor="text1"/>
        </w:rPr>
      </w:pPr>
      <w:r w:rsidRPr="001D1C98">
        <w:rPr>
          <w:b/>
          <w:color w:val="000000" w:themeColor="text1"/>
        </w:rPr>
        <w:lastRenderedPageBreak/>
        <w:t>Tasmania STA Concerns</w:t>
      </w:r>
    </w:p>
    <w:p w14:paraId="2776CE93" w14:textId="77777777" w:rsidR="002E7999" w:rsidRDefault="002E7999" w:rsidP="002E7999">
      <w:pPr>
        <w:rPr>
          <w:color w:val="000000" w:themeColor="text1"/>
        </w:rPr>
      </w:pPr>
    </w:p>
    <w:p w14:paraId="13DFA82F" w14:textId="77777777" w:rsidR="002E7999" w:rsidRDefault="002E7999" w:rsidP="002E7999">
      <w:pPr>
        <w:rPr>
          <w:color w:val="000000" w:themeColor="text1"/>
        </w:rPr>
      </w:pPr>
      <w:r w:rsidRPr="00033824">
        <w:rPr>
          <w:b/>
          <w:color w:val="000000" w:themeColor="text1"/>
        </w:rPr>
        <w:t>11 July 2019</w:t>
      </w:r>
      <w:r>
        <w:rPr>
          <w:color w:val="000000" w:themeColor="text1"/>
        </w:rPr>
        <w:tab/>
        <w:t>Feedback provided by the Tasmanian STA to Artibus</w:t>
      </w:r>
    </w:p>
    <w:p w14:paraId="0643D132" w14:textId="77777777" w:rsidR="002E7999" w:rsidRDefault="002E7999" w:rsidP="002E7999">
      <w:pPr>
        <w:rPr>
          <w:color w:val="000000" w:themeColor="text1"/>
        </w:rPr>
      </w:pPr>
      <w:r w:rsidRPr="00033824">
        <w:rPr>
          <w:b/>
          <w:color w:val="000000" w:themeColor="text1"/>
        </w:rPr>
        <w:t>11 July 2019</w:t>
      </w:r>
      <w:r>
        <w:rPr>
          <w:color w:val="000000" w:themeColor="text1"/>
        </w:rPr>
        <w:tab/>
        <w:t>Artibus provided a response to the Tasmanian STA</w:t>
      </w:r>
    </w:p>
    <w:p w14:paraId="72BD0E87" w14:textId="77777777" w:rsidR="002E7999" w:rsidRDefault="002E7999" w:rsidP="002E7999">
      <w:pPr>
        <w:rPr>
          <w:color w:val="000000" w:themeColor="text1"/>
        </w:rPr>
      </w:pPr>
    </w:p>
    <w:p w14:paraId="59E3470E" w14:textId="77777777" w:rsidR="002E7999" w:rsidRDefault="002E7999" w:rsidP="002E7999">
      <w:pPr>
        <w:rPr>
          <w:color w:val="000000" w:themeColor="text1"/>
        </w:rPr>
      </w:pPr>
      <w:r>
        <w:rPr>
          <w:color w:val="000000" w:themeColor="text1"/>
        </w:rPr>
        <w:t>The Tasmanian STA’s feedback on the project was received at sign-off stage. It stated:</w:t>
      </w:r>
    </w:p>
    <w:p w14:paraId="7F29C138" w14:textId="77777777" w:rsidR="002E7999" w:rsidRDefault="002E7999" w:rsidP="002E7999">
      <w:pPr>
        <w:rPr>
          <w:color w:val="000000" w:themeColor="text1"/>
        </w:rPr>
      </w:pPr>
    </w:p>
    <w:p w14:paraId="7FE67913" w14:textId="77777777" w:rsidR="002E7999" w:rsidRDefault="002E7999" w:rsidP="002E7999">
      <w:pPr>
        <w:ind w:left="720"/>
        <w:rPr>
          <w:color w:val="000000" w:themeColor="text1"/>
        </w:rPr>
      </w:pPr>
      <w:r>
        <w:rPr>
          <w:color w:val="000000" w:themeColor="text1"/>
        </w:rPr>
        <w:t>At this stage, we are not in a position to support the Case for Endorsement for CPC30219 Certificate III in Carpentry, given the concerns that have been expressed by the Tasmanian building and construction industry.</w:t>
      </w:r>
    </w:p>
    <w:p w14:paraId="47BFD84B" w14:textId="77777777" w:rsidR="002E7999" w:rsidRDefault="002E7999" w:rsidP="002E7999">
      <w:pPr>
        <w:ind w:left="720"/>
        <w:rPr>
          <w:color w:val="000000" w:themeColor="text1"/>
        </w:rPr>
      </w:pPr>
    </w:p>
    <w:p w14:paraId="25D9A1F8" w14:textId="77777777" w:rsidR="002E7999" w:rsidRDefault="002E7999" w:rsidP="002E7999">
      <w:pPr>
        <w:ind w:left="720"/>
        <w:rPr>
          <w:color w:val="000000" w:themeColor="text1"/>
        </w:rPr>
      </w:pPr>
      <w:r>
        <w:rPr>
          <w:color w:val="000000" w:themeColor="text1"/>
        </w:rPr>
        <w:t>These concerns relate to a packaging arrangement which provides (a) specialist streams or (b) a core and general pool of electives.</w:t>
      </w:r>
    </w:p>
    <w:p w14:paraId="29277013" w14:textId="77777777" w:rsidR="002E7999" w:rsidRDefault="002E7999" w:rsidP="002E7999">
      <w:pPr>
        <w:ind w:left="720"/>
        <w:rPr>
          <w:color w:val="000000" w:themeColor="text1"/>
        </w:rPr>
      </w:pPr>
    </w:p>
    <w:p w14:paraId="69035F98" w14:textId="77777777" w:rsidR="002E7999" w:rsidRDefault="002E7999" w:rsidP="002E7999">
      <w:pPr>
        <w:ind w:left="720"/>
        <w:rPr>
          <w:color w:val="000000" w:themeColor="text1"/>
        </w:rPr>
      </w:pPr>
      <w:r>
        <w:rPr>
          <w:color w:val="000000" w:themeColor="text1"/>
        </w:rPr>
        <w:t>We will continue to work with our industry stakeholders to understand the real or perceived impacts of the proposed changes on the building and construction industry, training and apprenticeships in Tasmania.</w:t>
      </w:r>
    </w:p>
    <w:p w14:paraId="41772A21" w14:textId="77777777" w:rsidR="002E7999" w:rsidRDefault="002E7999" w:rsidP="002E7999">
      <w:pPr>
        <w:rPr>
          <w:color w:val="000000" w:themeColor="text1"/>
        </w:rPr>
      </w:pPr>
    </w:p>
    <w:p w14:paraId="1397FAA6" w14:textId="77777777" w:rsidR="002E7999" w:rsidRPr="00076F68" w:rsidRDefault="002E7999" w:rsidP="002E7999">
      <w:pPr>
        <w:rPr>
          <w:color w:val="000000" w:themeColor="text1"/>
        </w:rPr>
      </w:pPr>
      <w:r w:rsidRPr="00076F68">
        <w:rPr>
          <w:color w:val="000000" w:themeColor="text1"/>
        </w:rPr>
        <w:t>Artibus responded to the Tasmanian STA’s opposition to the case with them and note that it is based upon a submission provided by the Tasmanian Building and Construction Industry Training Advisory Board (TBCITB). The TBCITB sought a more flexible packaging arrangement to reduce the number of core units and create a general pool of electives.</w:t>
      </w:r>
    </w:p>
    <w:p w14:paraId="487770CB" w14:textId="77777777" w:rsidR="002E7999" w:rsidRPr="00076F68" w:rsidRDefault="002E7999" w:rsidP="002E7999">
      <w:pPr>
        <w:rPr>
          <w:color w:val="000000" w:themeColor="text1"/>
        </w:rPr>
      </w:pPr>
    </w:p>
    <w:p w14:paraId="292F0852" w14:textId="77777777" w:rsidR="002E7999" w:rsidRPr="00076F68" w:rsidRDefault="002E7999" w:rsidP="002E7999">
      <w:pPr>
        <w:rPr>
          <w:color w:val="000000" w:themeColor="text1"/>
        </w:rPr>
      </w:pPr>
      <w:r w:rsidRPr="00076F68">
        <w:rPr>
          <w:color w:val="000000" w:themeColor="text1"/>
        </w:rPr>
        <w:t xml:space="preserve">To more fully understand the real or perceived impacts of the proposed changes on the building and construction industry, training and apprenticeships in Tasmania, Artibus Innovation undertook a further analysis of Tasmanian enrolments and completions in existing Carpentry qualifications and enrolments at the unit level. </w:t>
      </w:r>
    </w:p>
    <w:p w14:paraId="0C5EECD6" w14:textId="77777777" w:rsidR="002E7999" w:rsidRPr="00076F68" w:rsidRDefault="002E7999" w:rsidP="002E7999">
      <w:pPr>
        <w:rPr>
          <w:color w:val="000000" w:themeColor="text1"/>
        </w:rPr>
      </w:pPr>
    </w:p>
    <w:p w14:paraId="30B08650" w14:textId="77777777" w:rsidR="002E7999" w:rsidRPr="00076F68" w:rsidRDefault="002E7999" w:rsidP="002E7999">
      <w:pPr>
        <w:rPr>
          <w:color w:val="000000" w:themeColor="text1"/>
        </w:rPr>
      </w:pPr>
      <w:r w:rsidRPr="00076F68">
        <w:rPr>
          <w:color w:val="000000" w:themeColor="text1"/>
        </w:rPr>
        <w:t xml:space="preserve">This revealed that enrolments and completions in the two existing Carpentry qualifications (CPC30211 Certificate III in Carpentry and CPC32011 Certificate III in Carpentry and Joinery) have remained consistent over the 2015-2018 time period, with the exception of considerable increases in enrolments in the CPC30211 Certificate III in Carpentry where enrolments rose from 460 in 2015 to 804 in 2018. These enrolment increases are yet to translate into substantial increases in completions. </w:t>
      </w:r>
    </w:p>
    <w:p w14:paraId="3993C5A9" w14:textId="77777777" w:rsidR="002E7999" w:rsidRDefault="002E7999">
      <w:pPr>
        <w:pStyle w:val="BodyText"/>
      </w:pPr>
    </w:p>
    <w:p w14:paraId="26E602FA" w14:textId="77777777" w:rsidR="002E7999" w:rsidRPr="006165C3" w:rsidRDefault="002E7999" w:rsidP="002E7999">
      <w:pPr>
        <w:rPr>
          <w:b/>
          <w:color w:val="000000" w:themeColor="text1"/>
        </w:rPr>
      </w:pPr>
      <w:r w:rsidRPr="006165C3">
        <w:rPr>
          <w:b/>
          <w:color w:val="000000" w:themeColor="text1"/>
        </w:rPr>
        <w:t>TAG Rationale</w:t>
      </w:r>
    </w:p>
    <w:p w14:paraId="610CE98A" w14:textId="77777777" w:rsidR="002E7999" w:rsidRDefault="002E7999" w:rsidP="002E7999">
      <w:pPr>
        <w:rPr>
          <w:color w:val="000000" w:themeColor="text1"/>
        </w:rPr>
      </w:pPr>
      <w:r>
        <w:rPr>
          <w:color w:val="000000" w:themeColor="text1"/>
        </w:rPr>
        <w:t>Industry and stakeholder feedback on packaging models was sought and explored through surveys and forums across Australia. The TBCITB packaging model (and others) was considered at length by the Technical Advisory Board (TAG) who made a majority resolution to adopt an alternative approach with a strong core that:</w:t>
      </w:r>
    </w:p>
    <w:p w14:paraId="4768403A" w14:textId="77777777" w:rsidR="002E7999" w:rsidRDefault="002E7999" w:rsidP="002E7999">
      <w:pPr>
        <w:rPr>
          <w:color w:val="000000" w:themeColor="text1"/>
        </w:rPr>
      </w:pPr>
    </w:p>
    <w:p w14:paraId="0574DCE5" w14:textId="77777777" w:rsidR="002E7999" w:rsidRDefault="002E7999" w:rsidP="005056E0">
      <w:pPr>
        <w:pStyle w:val="ListParagraph"/>
        <w:keepNext/>
        <w:keepLines/>
        <w:widowControl/>
        <w:numPr>
          <w:ilvl w:val="0"/>
          <w:numId w:val="28"/>
        </w:numPr>
        <w:autoSpaceDE/>
        <w:autoSpaceDN/>
        <w:contextualSpacing/>
        <w:rPr>
          <w:color w:val="000000" w:themeColor="text1"/>
        </w:rPr>
      </w:pPr>
      <w:r>
        <w:rPr>
          <w:color w:val="000000" w:themeColor="text1"/>
        </w:rPr>
        <w:t>covers all state and territory licensing regimes</w:t>
      </w:r>
    </w:p>
    <w:p w14:paraId="6F4AFF47" w14:textId="77777777" w:rsidR="002E7999" w:rsidRDefault="002E7999" w:rsidP="005056E0">
      <w:pPr>
        <w:pStyle w:val="ListParagraph"/>
        <w:keepNext/>
        <w:keepLines/>
        <w:widowControl/>
        <w:numPr>
          <w:ilvl w:val="0"/>
          <w:numId w:val="28"/>
        </w:numPr>
        <w:autoSpaceDE/>
        <w:autoSpaceDN/>
        <w:contextualSpacing/>
        <w:rPr>
          <w:color w:val="000000" w:themeColor="text1"/>
        </w:rPr>
      </w:pPr>
      <w:r>
        <w:rPr>
          <w:color w:val="000000" w:themeColor="text1"/>
        </w:rPr>
        <w:t>responds to employer feedback recommending a strong common core for all carpenters so that it is easier to understand the skill set of apprentices</w:t>
      </w:r>
    </w:p>
    <w:p w14:paraId="2B302893" w14:textId="77777777" w:rsidR="002E7999" w:rsidRDefault="002E7999" w:rsidP="005056E0">
      <w:pPr>
        <w:pStyle w:val="ListParagraph"/>
        <w:keepNext/>
        <w:keepLines/>
        <w:widowControl/>
        <w:numPr>
          <w:ilvl w:val="0"/>
          <w:numId w:val="28"/>
        </w:numPr>
        <w:autoSpaceDE/>
        <w:autoSpaceDN/>
        <w:contextualSpacing/>
        <w:rPr>
          <w:color w:val="000000" w:themeColor="text1"/>
        </w:rPr>
      </w:pPr>
      <w:r>
        <w:rPr>
          <w:color w:val="000000" w:themeColor="text1"/>
        </w:rPr>
        <w:t>responds to employer feedback that most carpenters will work across residential and commercial streams (at some point in their careers) and require a strong common core in apprentice training to equip them with a solid skill set to enable flexibility and future proof their careers</w:t>
      </w:r>
    </w:p>
    <w:p w14:paraId="71916AE3" w14:textId="77777777" w:rsidR="002E7999" w:rsidRDefault="002E7999" w:rsidP="005056E0">
      <w:pPr>
        <w:pStyle w:val="ListParagraph"/>
        <w:keepNext/>
        <w:keepLines/>
        <w:widowControl/>
        <w:numPr>
          <w:ilvl w:val="0"/>
          <w:numId w:val="28"/>
        </w:numPr>
        <w:autoSpaceDE/>
        <w:autoSpaceDN/>
        <w:contextualSpacing/>
        <w:rPr>
          <w:color w:val="000000" w:themeColor="text1"/>
        </w:rPr>
      </w:pPr>
      <w:r>
        <w:rPr>
          <w:color w:val="000000" w:themeColor="text1"/>
        </w:rPr>
        <w:t>provides RTOs with clear resourcing requirements, as opposed to an open flexible model with students with widely different training plans</w:t>
      </w:r>
    </w:p>
    <w:p w14:paraId="72BE7E59" w14:textId="77777777" w:rsidR="002E7999" w:rsidRDefault="002E7999" w:rsidP="005056E0">
      <w:pPr>
        <w:pStyle w:val="ListParagraph"/>
        <w:keepNext/>
        <w:keepLines/>
        <w:widowControl/>
        <w:numPr>
          <w:ilvl w:val="0"/>
          <w:numId w:val="28"/>
        </w:numPr>
        <w:autoSpaceDE/>
        <w:autoSpaceDN/>
        <w:contextualSpacing/>
        <w:rPr>
          <w:color w:val="000000" w:themeColor="text1"/>
        </w:rPr>
      </w:pPr>
      <w:r>
        <w:rPr>
          <w:color w:val="000000" w:themeColor="text1"/>
        </w:rPr>
        <w:t>ensures national consistency – it was notes that while Tasmania and the Northern Territory may have different requirements to rest of Australia, the qualification needs to cater for the large majority and enable labour mobility.</w:t>
      </w:r>
    </w:p>
    <w:p w14:paraId="11020E27" w14:textId="77777777" w:rsidR="002E7999" w:rsidRDefault="002E7999" w:rsidP="002E7999">
      <w:pPr>
        <w:rPr>
          <w:color w:val="000000" w:themeColor="text1"/>
        </w:rPr>
      </w:pPr>
    </w:p>
    <w:p w14:paraId="16E59E5A" w14:textId="2FA47DBB" w:rsidR="002E7999" w:rsidRDefault="002E7999" w:rsidP="002E7999">
      <w:pPr>
        <w:rPr>
          <w:color w:val="000000" w:themeColor="text1"/>
        </w:rPr>
      </w:pPr>
      <w:r>
        <w:rPr>
          <w:color w:val="000000" w:themeColor="text1"/>
        </w:rPr>
        <w:lastRenderedPageBreak/>
        <w:t>The final advice of the TAG to support packaging model proposed in the Case for Endorsement was considered and unanimously endorsed by the Industry Reference Committee</w:t>
      </w:r>
      <w:r w:rsidR="00757981">
        <w:rPr>
          <w:color w:val="000000" w:themeColor="text1"/>
        </w:rPr>
        <w:t>.</w:t>
      </w:r>
    </w:p>
    <w:p w14:paraId="01F88E4F" w14:textId="77777777" w:rsidR="002E7999" w:rsidRDefault="002E7999" w:rsidP="002E7999"/>
    <w:p w14:paraId="3778153C" w14:textId="77777777" w:rsidR="002E7999" w:rsidRPr="00822F02" w:rsidRDefault="002E7999" w:rsidP="002E7999">
      <w:pPr>
        <w:rPr>
          <w:color w:val="000000" w:themeColor="text1"/>
        </w:rPr>
      </w:pPr>
    </w:p>
    <w:p w14:paraId="14D382E8" w14:textId="77777777" w:rsidR="002E7999" w:rsidRDefault="002E7999" w:rsidP="002E7999">
      <w:pPr>
        <w:rPr>
          <w:b/>
          <w:color w:val="000000" w:themeColor="text1"/>
        </w:rPr>
      </w:pPr>
      <w:r>
        <w:rPr>
          <w:b/>
          <w:color w:val="000000" w:themeColor="text1"/>
        </w:rPr>
        <w:t xml:space="preserve">Victorian </w:t>
      </w:r>
      <w:r w:rsidRPr="001D1C98">
        <w:rPr>
          <w:b/>
          <w:color w:val="000000" w:themeColor="text1"/>
        </w:rPr>
        <w:t>STA Concerns</w:t>
      </w:r>
    </w:p>
    <w:p w14:paraId="1151BC2D" w14:textId="77777777" w:rsidR="002E7999" w:rsidRDefault="002E7999" w:rsidP="002E7999"/>
    <w:p w14:paraId="07ACBF2D" w14:textId="77777777" w:rsidR="002E7999" w:rsidRDefault="002E7999" w:rsidP="002E7999">
      <w:r w:rsidRPr="006165C3">
        <w:rPr>
          <w:b/>
        </w:rPr>
        <w:t>9 July 2019</w:t>
      </w:r>
      <w:r>
        <w:tab/>
        <w:t>Feedback provided by the Victorian STA to Artibus</w:t>
      </w:r>
    </w:p>
    <w:p w14:paraId="092ED700" w14:textId="77777777" w:rsidR="002E7999" w:rsidRDefault="002E7999" w:rsidP="002E7999">
      <w:r w:rsidRPr="006165C3">
        <w:rPr>
          <w:b/>
        </w:rPr>
        <w:t>10 July 2019</w:t>
      </w:r>
      <w:r>
        <w:tab/>
        <w:t>Artibus response to the Victorian STA</w:t>
      </w:r>
    </w:p>
    <w:p w14:paraId="64FAD092" w14:textId="77777777" w:rsidR="002E7999" w:rsidRDefault="002E7999" w:rsidP="002E7999">
      <w:r w:rsidRPr="006165C3">
        <w:rPr>
          <w:b/>
        </w:rPr>
        <w:t>17 July 2019</w:t>
      </w:r>
      <w:r>
        <w:tab/>
        <w:t>Victorian STA response to Artibus</w:t>
      </w:r>
    </w:p>
    <w:p w14:paraId="05206C60" w14:textId="77777777" w:rsidR="002E7999" w:rsidRDefault="002E7999" w:rsidP="002E7999">
      <w:r w:rsidRPr="006165C3">
        <w:rPr>
          <w:b/>
        </w:rPr>
        <w:t>26 July 2019</w:t>
      </w:r>
      <w:r>
        <w:tab/>
        <w:t>Artibus response to the Victorian STA</w:t>
      </w:r>
    </w:p>
    <w:p w14:paraId="47EA519A" w14:textId="77777777" w:rsidR="002E7999" w:rsidRDefault="002E7999" w:rsidP="002E7999"/>
    <w:p w14:paraId="034959AA" w14:textId="77777777" w:rsidR="002E7999" w:rsidRDefault="002E7999" w:rsidP="002E7999">
      <w:r>
        <w:t>The Victorian STA’s feedback on the project was received at sign-off stage. Artibus sought to address the Victorian STA’s concerns through two rounds of explanation of project rationales and amendments, where possible. The concerns identified by the Victorian STA are presented thematically below.</w:t>
      </w:r>
    </w:p>
    <w:p w14:paraId="300184A2" w14:textId="77777777" w:rsidR="002E7999" w:rsidRDefault="002E7999" w:rsidP="002E7999"/>
    <w:p w14:paraId="454A0555" w14:textId="77777777" w:rsidR="002E7999" w:rsidRPr="006165C3" w:rsidRDefault="002E7999" w:rsidP="002E7999">
      <w:pPr>
        <w:rPr>
          <w:b/>
          <w:i/>
        </w:rPr>
      </w:pPr>
      <w:r w:rsidRPr="006165C3">
        <w:rPr>
          <w:b/>
          <w:i/>
        </w:rPr>
        <w:t>Entry requirement</w:t>
      </w:r>
      <w:r>
        <w:rPr>
          <w:b/>
          <w:i/>
        </w:rPr>
        <w:t>s</w:t>
      </w:r>
      <w:r w:rsidRPr="006165C3">
        <w:rPr>
          <w:b/>
          <w:i/>
        </w:rPr>
        <w:t>: CPCCWHS1001 Prepare to work safely in the construction industry</w:t>
      </w:r>
    </w:p>
    <w:p w14:paraId="43BB6D7D" w14:textId="77777777" w:rsidR="002E7999" w:rsidRDefault="002E7999" w:rsidP="002E7999">
      <w:r>
        <w:t xml:space="preserve">On the 18 April 2019, a unanimous decision was made by the Construction, Plumbing and Services IRC that the unit </w:t>
      </w:r>
      <w:r w:rsidRPr="00093F44">
        <w:rPr>
          <w:i/>
        </w:rPr>
        <w:t>CPCCWHS1001 Prepare to work safely in the construction industry</w:t>
      </w:r>
      <w:r>
        <w:t xml:space="preserve"> be an entry requirement of all CPC AQF I-III qualifications. This decision impacted on this project.</w:t>
      </w:r>
    </w:p>
    <w:p w14:paraId="08642590" w14:textId="77777777" w:rsidR="002E7999" w:rsidRDefault="002E7999" w:rsidP="002E7999"/>
    <w:p w14:paraId="0501ADED" w14:textId="77777777" w:rsidR="002E7999" w:rsidRDefault="002E7999" w:rsidP="002E7999">
      <w:r>
        <w:t>The Victorian STA (9/7) argued that this unit is an employment requirement and not a foundational skill on which to build the vocational outcome and does not comply with Standard 2. If it is considered an essential requirement for all job role outcomes of the qualification, then it should be included as a core unit, where it can be contextualised to the industry outcome.</w:t>
      </w:r>
    </w:p>
    <w:p w14:paraId="2C7A21CF" w14:textId="77777777" w:rsidR="002E7999" w:rsidRDefault="002E7999" w:rsidP="002E7999"/>
    <w:p w14:paraId="646FCB54" w14:textId="77777777" w:rsidR="002E7999" w:rsidRDefault="002E7999" w:rsidP="002E7999">
      <w:r>
        <w:t xml:space="preserve">Artibus responded (10/7) by explaining the rationale of the IRC in deciding that the completion of the general construction induction training program specified by the model Code of Practice for Construction Work is required for any person who is to carry out construction work. </w:t>
      </w:r>
    </w:p>
    <w:p w14:paraId="2FD83A25" w14:textId="77777777" w:rsidR="002E7999" w:rsidRDefault="002E7999" w:rsidP="002E7999"/>
    <w:p w14:paraId="153B751C" w14:textId="77777777" w:rsidR="002E7999" w:rsidRDefault="002E7999" w:rsidP="002E7999">
      <w:r>
        <w:t xml:space="preserve">Artibus further explained that the IRC decision has been specified as an entry requirement in accordance with industry advice. The approach taken in qualification design notes that the unit is a stand-alone unit of competency compliant to the model code of practice and is therefore not customised to meet different sub-sector requirements. A further consideration of the learner pathway is that the majority of Certificate II apprentices already hold the unit of competency attained through lower level qualifications. </w:t>
      </w:r>
    </w:p>
    <w:p w14:paraId="25087A95" w14:textId="77777777" w:rsidR="002E7999" w:rsidRDefault="002E7999" w:rsidP="002E7999"/>
    <w:p w14:paraId="51535D93" w14:textId="77777777" w:rsidR="002E7999" w:rsidRDefault="002E7999" w:rsidP="002E7999">
      <w:r>
        <w:t>The Victorian STA (17/7) responded by reiterating their view that if the unit is an employment requirement, rather than a foundational skill, then it should be included as a core unit. Artibus responded (26/7) by reiterating the rationale for the IRC decision to make this unit an entry requirement.</w:t>
      </w:r>
    </w:p>
    <w:p w14:paraId="0639BA21" w14:textId="77777777" w:rsidR="002E7999" w:rsidRDefault="002E7999" w:rsidP="002E7999"/>
    <w:p w14:paraId="6FA642C7" w14:textId="77777777" w:rsidR="002E7999" w:rsidRDefault="002E7999" w:rsidP="002E7999">
      <w:r>
        <w:t xml:space="preserve">No further response was received from the Victorian STA on this issue. It is noteworthy that Victoria is the only jurisdiction to raise concerns about the specification of this unit as an entry requirement. </w:t>
      </w:r>
    </w:p>
    <w:p w14:paraId="585CAE5F" w14:textId="77777777" w:rsidR="002E7999" w:rsidRDefault="002E7999" w:rsidP="002E7999"/>
    <w:p w14:paraId="769A69DF" w14:textId="54784733" w:rsidR="002E7999" w:rsidRPr="009F14A6" w:rsidRDefault="002E7999" w:rsidP="002E7999">
      <w:pPr>
        <w:rPr>
          <w:b/>
          <w:i/>
        </w:rPr>
      </w:pPr>
      <w:r w:rsidRPr="009F14A6">
        <w:rPr>
          <w:b/>
          <w:i/>
        </w:rPr>
        <w:t>Unit equivalency: CPCCWHS20</w:t>
      </w:r>
      <w:r w:rsidR="00757981">
        <w:rPr>
          <w:b/>
          <w:i/>
        </w:rPr>
        <w:t>0</w:t>
      </w:r>
      <w:r w:rsidRPr="009F14A6">
        <w:rPr>
          <w:b/>
          <w:i/>
        </w:rPr>
        <w:t>1 Apply WHS requirements, policies and procedures in the construction industry</w:t>
      </w:r>
    </w:p>
    <w:p w14:paraId="1CDC776A" w14:textId="77777777" w:rsidR="002E7999" w:rsidRDefault="002E7999" w:rsidP="002E7999"/>
    <w:p w14:paraId="50DDEA75" w14:textId="77777777" w:rsidR="002E7999" w:rsidRDefault="002E7999" w:rsidP="002E7999">
      <w:r>
        <w:t>The Victorian STA (9/7) identified that:</w:t>
      </w:r>
    </w:p>
    <w:p w14:paraId="6C78793F" w14:textId="77777777" w:rsidR="002E7999" w:rsidRDefault="002E7999" w:rsidP="005056E0">
      <w:pPr>
        <w:pStyle w:val="ListParagraph"/>
        <w:keepNext/>
        <w:keepLines/>
        <w:widowControl/>
        <w:numPr>
          <w:ilvl w:val="0"/>
          <w:numId w:val="29"/>
        </w:numPr>
        <w:autoSpaceDE/>
        <w:autoSpaceDN/>
        <w:contextualSpacing/>
      </w:pPr>
      <w:r>
        <w:lastRenderedPageBreak/>
        <w:t xml:space="preserve">the Certificate III in Joinery includes both the current unit (CPCCWHS2001) and its superseded unit (CPCCOHS2001A) as elective units, with the superseded unit included because it is a prerequisite to a single unit (CPCCSH2003A) imported from the CPC08 Construction, Plumbing and Services Training package. </w:t>
      </w:r>
    </w:p>
    <w:p w14:paraId="64D0518F" w14:textId="77777777" w:rsidR="002E7999" w:rsidRDefault="002E7999" w:rsidP="005056E0">
      <w:pPr>
        <w:pStyle w:val="ListParagraph"/>
        <w:keepNext/>
        <w:keepLines/>
        <w:widowControl/>
        <w:numPr>
          <w:ilvl w:val="0"/>
          <w:numId w:val="29"/>
        </w:numPr>
        <w:autoSpaceDE/>
        <w:autoSpaceDN/>
        <w:contextualSpacing/>
      </w:pPr>
      <w:r>
        <w:t>the Certificate III in Carpentry included both the current unit (CPCCWHS2001) and its superseded unit (CPCCOHS2001A) as elective units, with the superseded unit included because it is a prerequisite to a single unit (CPCCSH3003A) imported from the CPC08 Construction, Plumbing and Services Training package.</w:t>
      </w:r>
    </w:p>
    <w:p w14:paraId="26D5B58A" w14:textId="77777777" w:rsidR="002E7999" w:rsidRDefault="002E7999" w:rsidP="002E7999"/>
    <w:p w14:paraId="13F32EA2" w14:textId="7350C335" w:rsidR="00757981" w:rsidRDefault="002E7999" w:rsidP="002E7999">
      <w:r>
        <w:t xml:space="preserve">As currently documented, these qualifications require learners to undertake two equivalent iterations of the same unit and does not support industry relevant training and assessment practices. </w:t>
      </w:r>
    </w:p>
    <w:p w14:paraId="7C5DB798" w14:textId="77777777" w:rsidR="00757981" w:rsidRDefault="00757981" w:rsidP="002E7999"/>
    <w:p w14:paraId="6FA239C2" w14:textId="25504852" w:rsidR="002E7999" w:rsidRDefault="002E7999" w:rsidP="002E7999">
      <w:r>
        <w:t>The STA asked how this issue was to be managed.</w:t>
      </w:r>
    </w:p>
    <w:p w14:paraId="3D8EC462" w14:textId="77777777" w:rsidR="002E7999" w:rsidRDefault="002E7999" w:rsidP="002E7999">
      <w:r>
        <w:t>Artibus responded (10/7) outlining that it will seek IRC approval to update all units of competency to:</w:t>
      </w:r>
    </w:p>
    <w:p w14:paraId="2910B5A6" w14:textId="77777777" w:rsidR="002E7999" w:rsidRDefault="002E7999" w:rsidP="005056E0">
      <w:pPr>
        <w:pStyle w:val="ListParagraph"/>
        <w:keepNext/>
        <w:keepLines/>
        <w:widowControl/>
        <w:numPr>
          <w:ilvl w:val="0"/>
          <w:numId w:val="30"/>
        </w:numPr>
        <w:autoSpaceDE/>
        <w:autoSpaceDN/>
        <w:contextualSpacing/>
      </w:pPr>
      <w:r>
        <w:t>remove the unit CPCCOHS2001A as a prerequisite and replace it with the updated CPCCWHS2001 unit in the Certificate III in Joinery</w:t>
      </w:r>
    </w:p>
    <w:p w14:paraId="0115772D" w14:textId="77777777" w:rsidR="002E7999" w:rsidRDefault="002E7999" w:rsidP="005056E0">
      <w:pPr>
        <w:pStyle w:val="ListParagraph"/>
        <w:keepNext/>
        <w:keepLines/>
        <w:widowControl/>
        <w:numPr>
          <w:ilvl w:val="0"/>
          <w:numId w:val="30"/>
        </w:numPr>
        <w:autoSpaceDE/>
        <w:autoSpaceDN/>
        <w:contextualSpacing/>
      </w:pPr>
      <w:r>
        <w:t>remove the unit CPCCOHS2001A as a prerequisite and replace it with the updated CPCCWHS2001 unit in the Certificate III in Carpentry.</w:t>
      </w:r>
    </w:p>
    <w:p w14:paraId="2F89B2F8" w14:textId="77777777" w:rsidR="002E7999" w:rsidRDefault="002E7999" w:rsidP="002E7999"/>
    <w:p w14:paraId="50A3A1B8" w14:textId="77777777" w:rsidR="002E7999" w:rsidRDefault="002E7999" w:rsidP="002E7999">
      <w:r>
        <w:t xml:space="preserve">The Victorian STA responded (17/7) to this proposal by stating that it does not support the Artibus proposal to seek IRC approval to update by removing the unit CPCCOHS2001A as a prerequisite and replacing it with the updated CPCCWHS2001 unit. The Victorian STA’s rationale for opposing this approach is because it is contrary to Training Package Products Policy. </w:t>
      </w:r>
    </w:p>
    <w:p w14:paraId="307FFC14" w14:textId="77777777" w:rsidR="002E7999" w:rsidRDefault="002E7999" w:rsidP="002E7999"/>
    <w:p w14:paraId="38F66089" w14:textId="77777777" w:rsidR="002E7999" w:rsidRDefault="002E7999" w:rsidP="002E7999">
      <w:r>
        <w:t>Artibus responded (26/7) by explaining that we are seeking a resolution to this issue within policy guidelines and that we have sought advice from the IRC’s chair on this matter. Duplicate qualifications have been relisted in the CPC qualifications to comply with policy requirements until this matter is resolved. No further response was received from the Victorian STA on this issue.</w:t>
      </w:r>
    </w:p>
    <w:p w14:paraId="68B7653B" w14:textId="77777777" w:rsidR="002E7999" w:rsidRDefault="002E7999" w:rsidP="002E7999"/>
    <w:p w14:paraId="5EB371B5" w14:textId="77777777" w:rsidR="002E7999" w:rsidRPr="0038644F" w:rsidRDefault="002E7999" w:rsidP="002E7999">
      <w:pPr>
        <w:rPr>
          <w:b/>
          <w:i/>
        </w:rPr>
      </w:pPr>
      <w:r w:rsidRPr="0038644F">
        <w:rPr>
          <w:b/>
          <w:i/>
        </w:rPr>
        <w:t>Victorian Stakeholder Feedback not addressed</w:t>
      </w:r>
    </w:p>
    <w:p w14:paraId="251E0E76" w14:textId="77777777" w:rsidR="002E7999" w:rsidRDefault="002E7999" w:rsidP="002E7999"/>
    <w:p w14:paraId="0D1D9951" w14:textId="77777777" w:rsidR="002E7999" w:rsidRDefault="002E7999" w:rsidP="002E7999">
      <w:r>
        <w:t>The Victorian STA (9/7) requested an explanation why Victorian stakeholder feedback provided in relation to the content of the core and specialist streams had not been addressed. Artibus responded (10/7) that feedback from the Teachers Network had been responded to in the following ways:</w:t>
      </w:r>
    </w:p>
    <w:p w14:paraId="438F60BD" w14:textId="77777777" w:rsidR="002E7999" w:rsidRDefault="002E7999" w:rsidP="005056E0">
      <w:pPr>
        <w:pStyle w:val="ListParagraph"/>
        <w:keepNext/>
        <w:keepLines/>
        <w:widowControl/>
        <w:numPr>
          <w:ilvl w:val="0"/>
          <w:numId w:val="31"/>
        </w:numPr>
        <w:autoSpaceDE/>
        <w:autoSpaceDN/>
        <w:contextualSpacing/>
      </w:pPr>
      <w:r>
        <w:t>incorrect mapping and duplication addressed at the Quality Assurance stage</w:t>
      </w:r>
    </w:p>
    <w:p w14:paraId="6E7F01DB" w14:textId="77777777" w:rsidR="002E7999" w:rsidRDefault="002E7999" w:rsidP="005056E0">
      <w:pPr>
        <w:pStyle w:val="ListParagraph"/>
        <w:keepNext/>
        <w:keepLines/>
        <w:widowControl/>
        <w:numPr>
          <w:ilvl w:val="0"/>
          <w:numId w:val="31"/>
        </w:numPr>
        <w:autoSpaceDE/>
        <w:autoSpaceDN/>
        <w:contextualSpacing/>
      </w:pPr>
      <w:r>
        <w:t xml:space="preserve">advice on core and elective content had been considered by the TAG throughout the project. </w:t>
      </w:r>
    </w:p>
    <w:p w14:paraId="19772E8A" w14:textId="77777777" w:rsidR="002E7999" w:rsidRDefault="002E7999" w:rsidP="002E7999"/>
    <w:p w14:paraId="0C4120E7" w14:textId="77777777" w:rsidR="002E7999" w:rsidRDefault="002E7999" w:rsidP="002E7999">
      <w:r>
        <w:t xml:space="preserve">Artibus explained that the packaging rules allow for significant flexibility and importation from other training packages and some of the Teachers Network’s concerns can be catered for at the local level. However, industry feedback differs from the Victorian Teachers Network and there is not a neat consensus across states and territories. The TAG made decisions based on industry knowledge, policy </w:t>
      </w:r>
      <w:r w:rsidRPr="00757981">
        <w:t>requirements, and fitness for purpose within the National Training Package, including the stated support of the Victorian Building Authority (see Appendix [x] for letter of support).</w:t>
      </w:r>
      <w:r>
        <w:t xml:space="preserve"> No further response was received from the Victorian STA on this issue.</w:t>
      </w:r>
    </w:p>
    <w:p w14:paraId="3997FD4F" w14:textId="77777777" w:rsidR="002E7999" w:rsidRDefault="002E7999" w:rsidP="002E7999"/>
    <w:p w14:paraId="16DD8CCE" w14:textId="77777777" w:rsidR="002E7999" w:rsidRDefault="002E7999" w:rsidP="002E7999">
      <w:pPr>
        <w:pStyle w:val="ArtibusCfE2"/>
        <w:spacing w:before="0"/>
      </w:pPr>
      <w:r>
        <w:t xml:space="preserve">Report by exception </w:t>
      </w:r>
    </w:p>
    <w:p w14:paraId="4C6F6ACA" w14:textId="77777777" w:rsidR="002E7999" w:rsidRDefault="002E7999" w:rsidP="002E7999">
      <w:pPr>
        <w:pStyle w:val="ArtibusCfE2"/>
        <w:spacing w:before="0"/>
      </w:pPr>
    </w:p>
    <w:p w14:paraId="6960AACF" w14:textId="33790B50" w:rsidR="002E7999" w:rsidRDefault="002E7999" w:rsidP="002E7999">
      <w:r>
        <w:t>After reviewing the Artibus responses, no further responses were received from the Victorian and Tasmanian STAs, however both declined to support the project progressing to the AISC for endorsement at this time.</w:t>
      </w:r>
    </w:p>
    <w:p w14:paraId="45B3DD18" w14:textId="2035C42D" w:rsidR="00607F6E" w:rsidRDefault="00607F6E" w:rsidP="002E7999"/>
    <w:p w14:paraId="0FCFF495" w14:textId="77777777" w:rsidR="00607F6E" w:rsidRDefault="00607F6E" w:rsidP="00607F6E">
      <w:pPr>
        <w:pStyle w:val="BodyText"/>
        <w:spacing w:before="5"/>
      </w:pPr>
    </w:p>
    <w:p w14:paraId="37E6A4B6" w14:textId="5A3E66DC" w:rsidR="00607F6E" w:rsidRDefault="00607F6E" w:rsidP="00607F6E">
      <w:pPr>
        <w:spacing w:line="235" w:lineRule="auto"/>
        <w:ind w:left="119" w:right="599"/>
      </w:pPr>
      <w:r w:rsidRPr="00D87885">
        <w:t xml:space="preserve">Appendix </w:t>
      </w:r>
      <w:r w:rsidR="00D87885" w:rsidRPr="00D87885">
        <w:t>B</w:t>
      </w:r>
      <w:r w:rsidRPr="00D87885">
        <w:t xml:space="preserve">: STA concerns on the Carpentry and Joinery Project outlines the concerns raised </w:t>
      </w:r>
      <w:r w:rsidRPr="00D87885">
        <w:lastRenderedPageBreak/>
        <w:t>by both STAs and the response provided by Artibus.</w:t>
      </w:r>
    </w:p>
    <w:p w14:paraId="49B3BFC0" w14:textId="77777777" w:rsidR="00607F6E" w:rsidRDefault="00607F6E" w:rsidP="002E7999"/>
    <w:p w14:paraId="66FA1349" w14:textId="22C2C6B7" w:rsidR="002E7999" w:rsidRDefault="002E7999">
      <w:pPr>
        <w:pStyle w:val="BodyText"/>
      </w:pPr>
    </w:p>
    <w:p w14:paraId="19D47AB8" w14:textId="77777777" w:rsidR="008A2EDE" w:rsidRDefault="00A50BD3">
      <w:pPr>
        <w:pStyle w:val="Heading7"/>
        <w:jc w:val="both"/>
      </w:pPr>
      <w:r>
        <w:t>AISC decision being sought</w:t>
      </w:r>
    </w:p>
    <w:p w14:paraId="0774ABA8" w14:textId="77777777" w:rsidR="008A2EDE" w:rsidRDefault="008A2EDE">
      <w:pPr>
        <w:pStyle w:val="BodyText"/>
        <w:spacing w:before="1"/>
        <w:rPr>
          <w:b/>
        </w:rPr>
      </w:pPr>
    </w:p>
    <w:p w14:paraId="21E9F219" w14:textId="77777777" w:rsidR="008A2EDE" w:rsidRDefault="00A50BD3">
      <w:pPr>
        <w:pStyle w:val="BodyText"/>
        <w:ind w:left="119"/>
        <w:jc w:val="both"/>
      </w:pPr>
      <w:r>
        <w:t>To note the work undertaken and approve the submission.</w:t>
      </w:r>
    </w:p>
    <w:p w14:paraId="26F9670D" w14:textId="77777777" w:rsidR="008A2EDE" w:rsidRDefault="008A2EDE">
      <w:pPr>
        <w:jc w:val="both"/>
        <w:sectPr w:rsidR="008A2EDE">
          <w:pgSz w:w="11900" w:h="16840"/>
          <w:pgMar w:top="1600" w:right="1260" w:bottom="820" w:left="1580" w:header="0" w:footer="638" w:gutter="0"/>
          <w:cols w:space="720"/>
        </w:sectPr>
      </w:pPr>
    </w:p>
    <w:p w14:paraId="48F31984" w14:textId="77777777" w:rsidR="008A2EDE" w:rsidRDefault="00A50BD3" w:rsidP="005056E0">
      <w:pPr>
        <w:pStyle w:val="Heading1"/>
        <w:numPr>
          <w:ilvl w:val="0"/>
          <w:numId w:val="3"/>
        </w:numPr>
        <w:tabs>
          <w:tab w:val="left" w:pos="480"/>
        </w:tabs>
        <w:spacing w:before="79"/>
      </w:pPr>
      <w:bookmarkStart w:id="3" w:name="_Toc23938248"/>
      <w:r>
        <w:rPr>
          <w:color w:val="A2A9AF"/>
        </w:rPr>
        <w:lastRenderedPageBreak/>
        <w:t>Evidence of industry</w:t>
      </w:r>
      <w:r>
        <w:rPr>
          <w:color w:val="A2A9AF"/>
          <w:spacing w:val="-6"/>
        </w:rPr>
        <w:t xml:space="preserve"> </w:t>
      </w:r>
      <w:r>
        <w:rPr>
          <w:color w:val="A2A9AF"/>
        </w:rPr>
        <w:t>support</w:t>
      </w:r>
      <w:bookmarkEnd w:id="3"/>
    </w:p>
    <w:p w14:paraId="02D93F0F" w14:textId="74A09F88" w:rsidR="008A2EDE" w:rsidRDefault="008A2EDE">
      <w:pPr>
        <w:pStyle w:val="BodyText"/>
        <w:spacing w:before="5"/>
      </w:pPr>
    </w:p>
    <w:p w14:paraId="06801749" w14:textId="39C622F6" w:rsidR="00757981" w:rsidRDefault="00757981" w:rsidP="00757981">
      <w:r>
        <w:rPr>
          <w:b/>
        </w:rPr>
        <w:t>State and Territory Training Authority responses to the Case for Endorsement</w:t>
      </w:r>
    </w:p>
    <w:tbl>
      <w:tblPr>
        <w:tblStyle w:val="TableGrid"/>
        <w:tblW w:w="0" w:type="auto"/>
        <w:tblLook w:val="04A0" w:firstRow="1" w:lastRow="0" w:firstColumn="1" w:lastColumn="0" w:noHBand="0" w:noVBand="1"/>
      </w:tblPr>
      <w:tblGrid>
        <w:gridCol w:w="2254"/>
        <w:gridCol w:w="1427"/>
        <w:gridCol w:w="3081"/>
        <w:gridCol w:w="2254"/>
      </w:tblGrid>
      <w:tr w:rsidR="00757981" w:rsidRPr="00351FF3" w14:paraId="6FE0B49D" w14:textId="77777777" w:rsidTr="00264BC4">
        <w:tc>
          <w:tcPr>
            <w:tcW w:w="2254" w:type="dxa"/>
            <w:shd w:val="clear" w:color="auto" w:fill="EEECE1" w:themeFill="background2"/>
          </w:tcPr>
          <w:p w14:paraId="7B09FF5E" w14:textId="77777777" w:rsidR="00757981" w:rsidRPr="008E0D2F" w:rsidRDefault="00757981" w:rsidP="00264BC4">
            <w:pPr>
              <w:rPr>
                <w:b/>
                <w:sz w:val="20"/>
                <w:szCs w:val="20"/>
              </w:rPr>
            </w:pPr>
            <w:r w:rsidRPr="008E0D2F">
              <w:rPr>
                <w:b/>
                <w:sz w:val="20"/>
                <w:szCs w:val="20"/>
              </w:rPr>
              <w:t>STA</w:t>
            </w:r>
          </w:p>
        </w:tc>
        <w:tc>
          <w:tcPr>
            <w:tcW w:w="1427" w:type="dxa"/>
            <w:shd w:val="clear" w:color="auto" w:fill="EEECE1" w:themeFill="background2"/>
          </w:tcPr>
          <w:p w14:paraId="4996ADA9" w14:textId="77777777" w:rsidR="00757981" w:rsidRPr="008E0D2F" w:rsidRDefault="00757981" w:rsidP="00264BC4">
            <w:pPr>
              <w:rPr>
                <w:b/>
                <w:sz w:val="20"/>
                <w:szCs w:val="20"/>
              </w:rPr>
            </w:pPr>
            <w:r w:rsidRPr="008E0D2F">
              <w:rPr>
                <w:b/>
                <w:sz w:val="20"/>
                <w:szCs w:val="20"/>
              </w:rPr>
              <w:t>Date</w:t>
            </w:r>
          </w:p>
        </w:tc>
        <w:tc>
          <w:tcPr>
            <w:tcW w:w="3081" w:type="dxa"/>
            <w:shd w:val="clear" w:color="auto" w:fill="EEECE1" w:themeFill="background2"/>
          </w:tcPr>
          <w:p w14:paraId="3491179E" w14:textId="77777777" w:rsidR="00757981" w:rsidRPr="008E0D2F" w:rsidRDefault="00757981" w:rsidP="00264BC4">
            <w:pPr>
              <w:rPr>
                <w:b/>
                <w:sz w:val="20"/>
                <w:szCs w:val="20"/>
              </w:rPr>
            </w:pPr>
            <w:r w:rsidRPr="008E0D2F">
              <w:rPr>
                <w:b/>
                <w:sz w:val="20"/>
                <w:szCs w:val="20"/>
              </w:rPr>
              <w:t>STA Response</w:t>
            </w:r>
          </w:p>
        </w:tc>
        <w:tc>
          <w:tcPr>
            <w:tcW w:w="2254" w:type="dxa"/>
            <w:shd w:val="clear" w:color="auto" w:fill="EEECE1" w:themeFill="background2"/>
          </w:tcPr>
          <w:p w14:paraId="3D43DF77" w14:textId="77777777" w:rsidR="00757981" w:rsidRPr="008E0D2F" w:rsidRDefault="00757981" w:rsidP="00264BC4">
            <w:pPr>
              <w:rPr>
                <w:b/>
                <w:sz w:val="20"/>
                <w:szCs w:val="20"/>
              </w:rPr>
            </w:pPr>
            <w:r w:rsidRPr="008E0D2F">
              <w:rPr>
                <w:b/>
                <w:sz w:val="20"/>
                <w:szCs w:val="20"/>
              </w:rPr>
              <w:t>Artibus Response</w:t>
            </w:r>
          </w:p>
        </w:tc>
      </w:tr>
      <w:tr w:rsidR="00757981" w14:paraId="2AFCAA3B" w14:textId="77777777" w:rsidTr="00264BC4">
        <w:tc>
          <w:tcPr>
            <w:tcW w:w="2254" w:type="dxa"/>
          </w:tcPr>
          <w:p w14:paraId="1A7DE9D1" w14:textId="77777777" w:rsidR="00757981" w:rsidRPr="008E0D2F" w:rsidRDefault="00757981" w:rsidP="00264BC4">
            <w:pPr>
              <w:rPr>
                <w:sz w:val="20"/>
                <w:szCs w:val="20"/>
              </w:rPr>
            </w:pPr>
            <w:r w:rsidRPr="008E0D2F">
              <w:rPr>
                <w:sz w:val="20"/>
                <w:szCs w:val="20"/>
              </w:rPr>
              <w:t>New South Wales</w:t>
            </w:r>
          </w:p>
        </w:tc>
        <w:tc>
          <w:tcPr>
            <w:tcW w:w="1427" w:type="dxa"/>
          </w:tcPr>
          <w:p w14:paraId="6B7FB749" w14:textId="77777777" w:rsidR="00757981" w:rsidRPr="008E0D2F" w:rsidRDefault="00757981" w:rsidP="00264BC4">
            <w:pPr>
              <w:rPr>
                <w:sz w:val="20"/>
                <w:szCs w:val="20"/>
              </w:rPr>
            </w:pPr>
          </w:p>
        </w:tc>
        <w:tc>
          <w:tcPr>
            <w:tcW w:w="3081" w:type="dxa"/>
          </w:tcPr>
          <w:p w14:paraId="1DA76CD9" w14:textId="77777777" w:rsidR="00757981" w:rsidRPr="008E0D2F" w:rsidRDefault="00757981" w:rsidP="00264BC4">
            <w:pPr>
              <w:rPr>
                <w:sz w:val="20"/>
                <w:szCs w:val="20"/>
              </w:rPr>
            </w:pPr>
            <w:r w:rsidRPr="008E0D2F">
              <w:rPr>
                <w:sz w:val="20"/>
                <w:szCs w:val="20"/>
              </w:rPr>
              <w:t>Support for Case for Endorsement</w:t>
            </w:r>
          </w:p>
        </w:tc>
        <w:tc>
          <w:tcPr>
            <w:tcW w:w="2254" w:type="dxa"/>
          </w:tcPr>
          <w:p w14:paraId="3B078817" w14:textId="77777777" w:rsidR="00757981" w:rsidRPr="008E0D2F" w:rsidRDefault="00757981" w:rsidP="00264BC4">
            <w:pPr>
              <w:rPr>
                <w:sz w:val="20"/>
                <w:szCs w:val="20"/>
              </w:rPr>
            </w:pPr>
          </w:p>
        </w:tc>
      </w:tr>
      <w:tr w:rsidR="00757981" w14:paraId="4C7EBCBD" w14:textId="77777777" w:rsidTr="00264BC4">
        <w:tc>
          <w:tcPr>
            <w:tcW w:w="2254" w:type="dxa"/>
          </w:tcPr>
          <w:p w14:paraId="3A1B6509" w14:textId="77777777" w:rsidR="00757981" w:rsidRPr="008E0D2F" w:rsidRDefault="00757981" w:rsidP="00264BC4">
            <w:pPr>
              <w:rPr>
                <w:sz w:val="20"/>
                <w:szCs w:val="20"/>
              </w:rPr>
            </w:pPr>
            <w:r w:rsidRPr="008E0D2F">
              <w:rPr>
                <w:sz w:val="20"/>
                <w:szCs w:val="20"/>
              </w:rPr>
              <w:t>Northern Territory</w:t>
            </w:r>
          </w:p>
        </w:tc>
        <w:tc>
          <w:tcPr>
            <w:tcW w:w="1427" w:type="dxa"/>
          </w:tcPr>
          <w:p w14:paraId="47FFEEAC" w14:textId="77777777" w:rsidR="00757981" w:rsidRPr="008E0D2F" w:rsidRDefault="00757981" w:rsidP="00264BC4">
            <w:pPr>
              <w:rPr>
                <w:sz w:val="20"/>
                <w:szCs w:val="20"/>
              </w:rPr>
            </w:pPr>
          </w:p>
        </w:tc>
        <w:tc>
          <w:tcPr>
            <w:tcW w:w="3081" w:type="dxa"/>
          </w:tcPr>
          <w:p w14:paraId="4074259C" w14:textId="77777777" w:rsidR="00757981" w:rsidRPr="008E0D2F" w:rsidRDefault="00757981" w:rsidP="00264BC4">
            <w:pPr>
              <w:rPr>
                <w:sz w:val="20"/>
                <w:szCs w:val="20"/>
              </w:rPr>
            </w:pPr>
            <w:r w:rsidRPr="008E0D2F">
              <w:rPr>
                <w:sz w:val="20"/>
                <w:szCs w:val="20"/>
              </w:rPr>
              <w:t>Support for Case for Endorsement</w:t>
            </w:r>
          </w:p>
        </w:tc>
        <w:tc>
          <w:tcPr>
            <w:tcW w:w="2254" w:type="dxa"/>
          </w:tcPr>
          <w:p w14:paraId="42D3A571" w14:textId="77777777" w:rsidR="00757981" w:rsidRPr="008E0D2F" w:rsidRDefault="00757981" w:rsidP="00264BC4">
            <w:pPr>
              <w:rPr>
                <w:sz w:val="20"/>
                <w:szCs w:val="20"/>
              </w:rPr>
            </w:pPr>
          </w:p>
        </w:tc>
      </w:tr>
      <w:tr w:rsidR="00757981" w14:paraId="3B5D2B45" w14:textId="77777777" w:rsidTr="00264BC4">
        <w:tc>
          <w:tcPr>
            <w:tcW w:w="2254" w:type="dxa"/>
          </w:tcPr>
          <w:p w14:paraId="351B6C96" w14:textId="77777777" w:rsidR="00757981" w:rsidRPr="008E0D2F" w:rsidRDefault="00757981" w:rsidP="00264BC4">
            <w:pPr>
              <w:rPr>
                <w:sz w:val="20"/>
                <w:szCs w:val="20"/>
              </w:rPr>
            </w:pPr>
            <w:r w:rsidRPr="008E0D2F">
              <w:rPr>
                <w:sz w:val="20"/>
                <w:szCs w:val="20"/>
              </w:rPr>
              <w:t>Western Australia</w:t>
            </w:r>
          </w:p>
        </w:tc>
        <w:tc>
          <w:tcPr>
            <w:tcW w:w="1427" w:type="dxa"/>
          </w:tcPr>
          <w:p w14:paraId="78218CBB" w14:textId="77777777" w:rsidR="00757981" w:rsidRPr="008E0D2F" w:rsidRDefault="00757981" w:rsidP="00264BC4">
            <w:pPr>
              <w:rPr>
                <w:sz w:val="20"/>
                <w:szCs w:val="20"/>
              </w:rPr>
            </w:pPr>
          </w:p>
        </w:tc>
        <w:tc>
          <w:tcPr>
            <w:tcW w:w="3081" w:type="dxa"/>
          </w:tcPr>
          <w:p w14:paraId="3A20E4C2" w14:textId="77777777" w:rsidR="00757981" w:rsidRPr="008E0D2F" w:rsidRDefault="00757981" w:rsidP="00264BC4">
            <w:pPr>
              <w:rPr>
                <w:sz w:val="20"/>
                <w:szCs w:val="20"/>
              </w:rPr>
            </w:pPr>
            <w:r w:rsidRPr="008E0D2F">
              <w:rPr>
                <w:sz w:val="20"/>
                <w:szCs w:val="20"/>
              </w:rPr>
              <w:t>Support for Case for Endorsement</w:t>
            </w:r>
          </w:p>
        </w:tc>
        <w:tc>
          <w:tcPr>
            <w:tcW w:w="2254" w:type="dxa"/>
          </w:tcPr>
          <w:p w14:paraId="1AF4C603" w14:textId="77777777" w:rsidR="00757981" w:rsidRPr="008E0D2F" w:rsidRDefault="00757981" w:rsidP="00264BC4">
            <w:pPr>
              <w:rPr>
                <w:sz w:val="20"/>
                <w:szCs w:val="20"/>
              </w:rPr>
            </w:pPr>
          </w:p>
        </w:tc>
      </w:tr>
      <w:tr w:rsidR="00757981" w14:paraId="2C619311" w14:textId="77777777" w:rsidTr="00264BC4">
        <w:tc>
          <w:tcPr>
            <w:tcW w:w="2254" w:type="dxa"/>
          </w:tcPr>
          <w:p w14:paraId="0051C92B" w14:textId="77777777" w:rsidR="00757981" w:rsidRPr="008E0D2F" w:rsidRDefault="00757981" w:rsidP="00264BC4">
            <w:pPr>
              <w:rPr>
                <w:sz w:val="20"/>
                <w:szCs w:val="20"/>
              </w:rPr>
            </w:pPr>
            <w:r w:rsidRPr="008E0D2F">
              <w:rPr>
                <w:sz w:val="20"/>
                <w:szCs w:val="20"/>
              </w:rPr>
              <w:t>Queensland</w:t>
            </w:r>
          </w:p>
        </w:tc>
        <w:tc>
          <w:tcPr>
            <w:tcW w:w="1427" w:type="dxa"/>
          </w:tcPr>
          <w:p w14:paraId="5C9F1497" w14:textId="77777777" w:rsidR="00757981" w:rsidRPr="008E0D2F" w:rsidRDefault="00757981" w:rsidP="00264BC4">
            <w:pPr>
              <w:rPr>
                <w:sz w:val="20"/>
                <w:szCs w:val="20"/>
              </w:rPr>
            </w:pPr>
          </w:p>
        </w:tc>
        <w:tc>
          <w:tcPr>
            <w:tcW w:w="3081" w:type="dxa"/>
          </w:tcPr>
          <w:p w14:paraId="5DE5D7DF" w14:textId="77777777" w:rsidR="00757981" w:rsidRPr="008E0D2F" w:rsidRDefault="00757981" w:rsidP="00264BC4">
            <w:pPr>
              <w:rPr>
                <w:sz w:val="20"/>
                <w:szCs w:val="20"/>
              </w:rPr>
            </w:pPr>
            <w:r w:rsidRPr="008E0D2F">
              <w:rPr>
                <w:sz w:val="20"/>
                <w:szCs w:val="20"/>
              </w:rPr>
              <w:t>Support for Case for Endorsement</w:t>
            </w:r>
          </w:p>
        </w:tc>
        <w:tc>
          <w:tcPr>
            <w:tcW w:w="2254" w:type="dxa"/>
          </w:tcPr>
          <w:p w14:paraId="55976745" w14:textId="77777777" w:rsidR="00757981" w:rsidRPr="008E0D2F" w:rsidRDefault="00757981" w:rsidP="00264BC4">
            <w:pPr>
              <w:rPr>
                <w:sz w:val="20"/>
                <w:szCs w:val="20"/>
              </w:rPr>
            </w:pPr>
          </w:p>
        </w:tc>
      </w:tr>
      <w:tr w:rsidR="00757981" w14:paraId="22C4D3D4" w14:textId="77777777" w:rsidTr="00264BC4">
        <w:tc>
          <w:tcPr>
            <w:tcW w:w="2254" w:type="dxa"/>
          </w:tcPr>
          <w:p w14:paraId="3653B437" w14:textId="77777777" w:rsidR="00757981" w:rsidRPr="008E0D2F" w:rsidRDefault="00757981" w:rsidP="00264BC4">
            <w:pPr>
              <w:rPr>
                <w:sz w:val="20"/>
                <w:szCs w:val="20"/>
              </w:rPr>
            </w:pPr>
            <w:r w:rsidRPr="008E0D2F">
              <w:rPr>
                <w:sz w:val="20"/>
                <w:szCs w:val="20"/>
              </w:rPr>
              <w:t>Australian Capital Territory</w:t>
            </w:r>
          </w:p>
        </w:tc>
        <w:tc>
          <w:tcPr>
            <w:tcW w:w="1427" w:type="dxa"/>
          </w:tcPr>
          <w:p w14:paraId="44356EEF" w14:textId="77777777" w:rsidR="00757981" w:rsidRPr="008E0D2F" w:rsidRDefault="00757981" w:rsidP="00264BC4">
            <w:pPr>
              <w:rPr>
                <w:sz w:val="20"/>
                <w:szCs w:val="20"/>
              </w:rPr>
            </w:pPr>
          </w:p>
        </w:tc>
        <w:tc>
          <w:tcPr>
            <w:tcW w:w="3081" w:type="dxa"/>
          </w:tcPr>
          <w:p w14:paraId="50ED8F34" w14:textId="77777777" w:rsidR="00757981" w:rsidRPr="008E0D2F" w:rsidRDefault="00757981" w:rsidP="00264BC4">
            <w:pPr>
              <w:rPr>
                <w:sz w:val="20"/>
                <w:szCs w:val="20"/>
              </w:rPr>
            </w:pPr>
            <w:r w:rsidRPr="008E0D2F">
              <w:rPr>
                <w:sz w:val="20"/>
                <w:szCs w:val="20"/>
              </w:rPr>
              <w:t>No response received</w:t>
            </w:r>
          </w:p>
        </w:tc>
        <w:tc>
          <w:tcPr>
            <w:tcW w:w="2254" w:type="dxa"/>
          </w:tcPr>
          <w:p w14:paraId="449BA990" w14:textId="77777777" w:rsidR="00757981" w:rsidRPr="008E0D2F" w:rsidRDefault="00757981" w:rsidP="00264BC4">
            <w:pPr>
              <w:rPr>
                <w:sz w:val="20"/>
                <w:szCs w:val="20"/>
              </w:rPr>
            </w:pPr>
          </w:p>
        </w:tc>
      </w:tr>
      <w:tr w:rsidR="00757981" w14:paraId="6C4B420C" w14:textId="77777777" w:rsidTr="00264BC4">
        <w:tc>
          <w:tcPr>
            <w:tcW w:w="2254" w:type="dxa"/>
          </w:tcPr>
          <w:p w14:paraId="73FF2FAC" w14:textId="77777777" w:rsidR="00757981" w:rsidRPr="008E0D2F" w:rsidRDefault="00757981" w:rsidP="00264BC4">
            <w:pPr>
              <w:rPr>
                <w:sz w:val="20"/>
                <w:szCs w:val="20"/>
              </w:rPr>
            </w:pPr>
            <w:r w:rsidRPr="008E0D2F">
              <w:rPr>
                <w:sz w:val="20"/>
                <w:szCs w:val="20"/>
              </w:rPr>
              <w:t>South Australia</w:t>
            </w:r>
          </w:p>
        </w:tc>
        <w:tc>
          <w:tcPr>
            <w:tcW w:w="1427" w:type="dxa"/>
          </w:tcPr>
          <w:p w14:paraId="1FD4DA83" w14:textId="77777777" w:rsidR="00757981" w:rsidRPr="008E0D2F" w:rsidRDefault="00757981" w:rsidP="00264BC4">
            <w:pPr>
              <w:rPr>
                <w:sz w:val="20"/>
                <w:szCs w:val="20"/>
              </w:rPr>
            </w:pPr>
          </w:p>
        </w:tc>
        <w:tc>
          <w:tcPr>
            <w:tcW w:w="3081" w:type="dxa"/>
          </w:tcPr>
          <w:p w14:paraId="43CFA556" w14:textId="77777777" w:rsidR="00757981" w:rsidRPr="008E0D2F" w:rsidRDefault="00757981" w:rsidP="00264BC4">
            <w:pPr>
              <w:rPr>
                <w:sz w:val="20"/>
                <w:szCs w:val="20"/>
              </w:rPr>
            </w:pPr>
            <w:r w:rsidRPr="008E0D2F">
              <w:rPr>
                <w:sz w:val="20"/>
                <w:szCs w:val="20"/>
              </w:rPr>
              <w:t>No response received</w:t>
            </w:r>
          </w:p>
        </w:tc>
        <w:tc>
          <w:tcPr>
            <w:tcW w:w="2254" w:type="dxa"/>
          </w:tcPr>
          <w:p w14:paraId="1006B49A" w14:textId="77777777" w:rsidR="00757981" w:rsidRPr="008E0D2F" w:rsidRDefault="00757981" w:rsidP="00264BC4">
            <w:pPr>
              <w:rPr>
                <w:sz w:val="20"/>
                <w:szCs w:val="20"/>
              </w:rPr>
            </w:pPr>
          </w:p>
        </w:tc>
      </w:tr>
      <w:tr w:rsidR="00757981" w14:paraId="2AE7258D" w14:textId="77777777" w:rsidTr="00264BC4">
        <w:tc>
          <w:tcPr>
            <w:tcW w:w="2254" w:type="dxa"/>
          </w:tcPr>
          <w:p w14:paraId="1E31B8DA" w14:textId="77777777" w:rsidR="00757981" w:rsidRPr="008E0D2F" w:rsidRDefault="00757981" w:rsidP="00264BC4">
            <w:pPr>
              <w:rPr>
                <w:sz w:val="20"/>
                <w:szCs w:val="20"/>
              </w:rPr>
            </w:pPr>
            <w:r w:rsidRPr="008E0D2F">
              <w:rPr>
                <w:sz w:val="20"/>
                <w:szCs w:val="20"/>
              </w:rPr>
              <w:t>Victoria</w:t>
            </w:r>
          </w:p>
        </w:tc>
        <w:tc>
          <w:tcPr>
            <w:tcW w:w="1427" w:type="dxa"/>
          </w:tcPr>
          <w:p w14:paraId="748D4BA6" w14:textId="77777777" w:rsidR="00757981" w:rsidRPr="008E0D2F" w:rsidRDefault="00757981" w:rsidP="00264BC4">
            <w:pPr>
              <w:rPr>
                <w:sz w:val="20"/>
                <w:szCs w:val="20"/>
              </w:rPr>
            </w:pPr>
            <w:r w:rsidRPr="008E0D2F">
              <w:rPr>
                <w:sz w:val="20"/>
                <w:szCs w:val="20"/>
              </w:rPr>
              <w:t>9 July 2019</w:t>
            </w:r>
          </w:p>
        </w:tc>
        <w:tc>
          <w:tcPr>
            <w:tcW w:w="3081" w:type="dxa"/>
          </w:tcPr>
          <w:p w14:paraId="6B9C11F1" w14:textId="77777777" w:rsidR="00757981" w:rsidRPr="008E0D2F" w:rsidRDefault="00757981" w:rsidP="00264BC4">
            <w:pPr>
              <w:rPr>
                <w:sz w:val="20"/>
                <w:szCs w:val="20"/>
              </w:rPr>
            </w:pPr>
            <w:r w:rsidRPr="008E0D2F">
              <w:rPr>
                <w:sz w:val="20"/>
                <w:szCs w:val="20"/>
              </w:rPr>
              <w:t>Does not support</w:t>
            </w:r>
          </w:p>
        </w:tc>
        <w:tc>
          <w:tcPr>
            <w:tcW w:w="2254" w:type="dxa"/>
          </w:tcPr>
          <w:p w14:paraId="5D694774" w14:textId="77777777" w:rsidR="00757981" w:rsidRPr="008E0D2F" w:rsidRDefault="00757981" w:rsidP="00264BC4">
            <w:pPr>
              <w:rPr>
                <w:sz w:val="20"/>
                <w:szCs w:val="20"/>
              </w:rPr>
            </w:pPr>
            <w:r w:rsidRPr="008E0D2F">
              <w:rPr>
                <w:sz w:val="20"/>
                <w:szCs w:val="20"/>
              </w:rPr>
              <w:t>10 July 2019</w:t>
            </w:r>
          </w:p>
        </w:tc>
      </w:tr>
      <w:tr w:rsidR="00757981" w14:paraId="1CAD0D5D" w14:textId="77777777" w:rsidTr="00264BC4">
        <w:tc>
          <w:tcPr>
            <w:tcW w:w="2254" w:type="dxa"/>
          </w:tcPr>
          <w:p w14:paraId="00986818" w14:textId="77777777" w:rsidR="00757981" w:rsidRPr="008E0D2F" w:rsidRDefault="00757981" w:rsidP="00264BC4">
            <w:pPr>
              <w:rPr>
                <w:sz w:val="20"/>
                <w:szCs w:val="20"/>
              </w:rPr>
            </w:pPr>
            <w:r w:rsidRPr="008E0D2F">
              <w:rPr>
                <w:sz w:val="20"/>
                <w:szCs w:val="20"/>
              </w:rPr>
              <w:t>Victoria</w:t>
            </w:r>
          </w:p>
        </w:tc>
        <w:tc>
          <w:tcPr>
            <w:tcW w:w="1427" w:type="dxa"/>
          </w:tcPr>
          <w:p w14:paraId="71DE1A56" w14:textId="77777777" w:rsidR="00757981" w:rsidRPr="008E0D2F" w:rsidRDefault="00757981" w:rsidP="00264BC4">
            <w:pPr>
              <w:rPr>
                <w:sz w:val="20"/>
                <w:szCs w:val="20"/>
              </w:rPr>
            </w:pPr>
            <w:r w:rsidRPr="008E0D2F">
              <w:rPr>
                <w:sz w:val="20"/>
                <w:szCs w:val="20"/>
              </w:rPr>
              <w:t>17 July 2019</w:t>
            </w:r>
          </w:p>
        </w:tc>
        <w:tc>
          <w:tcPr>
            <w:tcW w:w="3081" w:type="dxa"/>
          </w:tcPr>
          <w:p w14:paraId="70A5493B" w14:textId="77777777" w:rsidR="00757981" w:rsidRPr="008E0D2F" w:rsidRDefault="00757981" w:rsidP="00264BC4">
            <w:pPr>
              <w:rPr>
                <w:sz w:val="20"/>
                <w:szCs w:val="20"/>
              </w:rPr>
            </w:pPr>
            <w:r w:rsidRPr="008E0D2F">
              <w:rPr>
                <w:sz w:val="20"/>
                <w:szCs w:val="20"/>
              </w:rPr>
              <w:t>Does not support</w:t>
            </w:r>
          </w:p>
        </w:tc>
        <w:tc>
          <w:tcPr>
            <w:tcW w:w="2254" w:type="dxa"/>
          </w:tcPr>
          <w:p w14:paraId="0FF748B5" w14:textId="77777777" w:rsidR="00757981" w:rsidRPr="008E0D2F" w:rsidRDefault="00757981" w:rsidP="00264BC4">
            <w:pPr>
              <w:rPr>
                <w:sz w:val="20"/>
                <w:szCs w:val="20"/>
              </w:rPr>
            </w:pPr>
            <w:r w:rsidRPr="008E0D2F">
              <w:rPr>
                <w:sz w:val="20"/>
                <w:szCs w:val="20"/>
              </w:rPr>
              <w:t>26 July 2019</w:t>
            </w:r>
          </w:p>
        </w:tc>
      </w:tr>
      <w:tr w:rsidR="00757981" w14:paraId="1FC51E10" w14:textId="77777777" w:rsidTr="00264BC4">
        <w:tc>
          <w:tcPr>
            <w:tcW w:w="2254" w:type="dxa"/>
          </w:tcPr>
          <w:p w14:paraId="35E678CF" w14:textId="77777777" w:rsidR="00757981" w:rsidRPr="008E0D2F" w:rsidRDefault="00757981" w:rsidP="00264BC4">
            <w:pPr>
              <w:rPr>
                <w:sz w:val="20"/>
                <w:szCs w:val="20"/>
              </w:rPr>
            </w:pPr>
            <w:r w:rsidRPr="008E0D2F">
              <w:rPr>
                <w:sz w:val="20"/>
                <w:szCs w:val="20"/>
              </w:rPr>
              <w:t>Tasmania</w:t>
            </w:r>
          </w:p>
        </w:tc>
        <w:tc>
          <w:tcPr>
            <w:tcW w:w="1427" w:type="dxa"/>
          </w:tcPr>
          <w:p w14:paraId="65B576BD" w14:textId="77777777" w:rsidR="00757981" w:rsidRPr="008E0D2F" w:rsidRDefault="00757981" w:rsidP="00264BC4">
            <w:pPr>
              <w:rPr>
                <w:sz w:val="20"/>
                <w:szCs w:val="20"/>
              </w:rPr>
            </w:pPr>
            <w:r w:rsidRPr="008E0D2F">
              <w:rPr>
                <w:sz w:val="20"/>
                <w:szCs w:val="20"/>
              </w:rPr>
              <w:t>11 July 2019</w:t>
            </w:r>
          </w:p>
        </w:tc>
        <w:tc>
          <w:tcPr>
            <w:tcW w:w="3081" w:type="dxa"/>
          </w:tcPr>
          <w:p w14:paraId="7D990CD2" w14:textId="77777777" w:rsidR="00757981" w:rsidRPr="008E0D2F" w:rsidRDefault="00757981" w:rsidP="00264BC4">
            <w:pPr>
              <w:rPr>
                <w:sz w:val="20"/>
                <w:szCs w:val="20"/>
              </w:rPr>
            </w:pPr>
            <w:r w:rsidRPr="008E0D2F">
              <w:rPr>
                <w:sz w:val="20"/>
                <w:szCs w:val="20"/>
              </w:rPr>
              <w:t>Does not support</w:t>
            </w:r>
          </w:p>
        </w:tc>
        <w:tc>
          <w:tcPr>
            <w:tcW w:w="2254" w:type="dxa"/>
          </w:tcPr>
          <w:p w14:paraId="738DBE29" w14:textId="77777777" w:rsidR="00757981" w:rsidRPr="008E0D2F" w:rsidRDefault="00757981" w:rsidP="00264BC4">
            <w:pPr>
              <w:rPr>
                <w:sz w:val="20"/>
                <w:szCs w:val="20"/>
              </w:rPr>
            </w:pPr>
            <w:r w:rsidRPr="008E0D2F">
              <w:rPr>
                <w:sz w:val="20"/>
                <w:szCs w:val="20"/>
              </w:rPr>
              <w:t>11 July 2019</w:t>
            </w:r>
          </w:p>
        </w:tc>
      </w:tr>
    </w:tbl>
    <w:p w14:paraId="5115279B" w14:textId="339D413F" w:rsidR="00757981" w:rsidRDefault="00757981">
      <w:pPr>
        <w:pStyle w:val="BodyText"/>
        <w:spacing w:before="5"/>
      </w:pPr>
    </w:p>
    <w:p w14:paraId="76F536F8" w14:textId="77777777" w:rsidR="00607F6E" w:rsidRDefault="00607F6E" w:rsidP="00607F6E"/>
    <w:p w14:paraId="6AAD220D" w14:textId="1D378BA7" w:rsidR="00607F6E" w:rsidRDefault="00607F6E" w:rsidP="00607F6E">
      <w:r>
        <w:t>The Construction, Plumbing and Services IRC supports the submission of the training package components put forward in this Case for Endorsement.</w:t>
      </w:r>
    </w:p>
    <w:p w14:paraId="0F002D62" w14:textId="77777777" w:rsidR="00607F6E" w:rsidRDefault="00607F6E" w:rsidP="00607F6E"/>
    <w:p w14:paraId="4ED17288" w14:textId="77777777" w:rsidR="00607F6E" w:rsidRDefault="00607F6E" w:rsidP="00607F6E">
      <w:r>
        <w:t xml:space="preserve">Signed on behalf by the appointed Chair of the Construction, Plumbing and Services IRC. </w:t>
      </w:r>
    </w:p>
    <w:p w14:paraId="7692B30A" w14:textId="77777777" w:rsidR="00607F6E" w:rsidRDefault="00607F6E" w:rsidP="00607F6E"/>
    <w:p w14:paraId="14D9C838" w14:textId="5423A58B" w:rsidR="00607F6E" w:rsidRDefault="00607F6E" w:rsidP="00607F6E">
      <w:r>
        <w:t>Name of Chair:</w:t>
      </w:r>
    </w:p>
    <w:p w14:paraId="0816EEB8" w14:textId="77777777" w:rsidR="00607F6E" w:rsidRDefault="00607F6E" w:rsidP="00607F6E">
      <w:r>
        <w:t xml:space="preserve">Stuart Maxwell </w:t>
      </w:r>
    </w:p>
    <w:p w14:paraId="4F6A89B7" w14:textId="77777777" w:rsidR="00607F6E" w:rsidRDefault="00607F6E" w:rsidP="00607F6E"/>
    <w:p w14:paraId="2D8707D7" w14:textId="77777777" w:rsidR="00607F6E" w:rsidRDefault="00607F6E" w:rsidP="00607F6E"/>
    <w:p w14:paraId="01E2C7FE" w14:textId="30448A83" w:rsidR="00607F6E" w:rsidRDefault="00607F6E" w:rsidP="00607F6E">
      <w:r>
        <w:t>Signature of Chair:</w:t>
      </w:r>
    </w:p>
    <w:p w14:paraId="5082A166" w14:textId="3E76AFC7" w:rsidR="00607F6E" w:rsidRDefault="00607F6E" w:rsidP="00607F6E"/>
    <w:p w14:paraId="6A424A72" w14:textId="0C2ED980" w:rsidR="00607F6E" w:rsidRDefault="00607F6E" w:rsidP="00607F6E"/>
    <w:p w14:paraId="7C5AAE0E" w14:textId="4F6628C9" w:rsidR="00607F6E" w:rsidRDefault="00607F6E" w:rsidP="00607F6E">
      <w:r>
        <w:t>Date:</w:t>
      </w:r>
    </w:p>
    <w:p w14:paraId="32DCE2DB" w14:textId="5EF7C4A6" w:rsidR="00757981" w:rsidRDefault="00757981">
      <w:pPr>
        <w:pStyle w:val="BodyText"/>
        <w:spacing w:before="5"/>
      </w:pPr>
    </w:p>
    <w:p w14:paraId="623FED05" w14:textId="4974B50E" w:rsidR="00757981" w:rsidRDefault="00757981">
      <w:pPr>
        <w:pStyle w:val="BodyText"/>
        <w:spacing w:before="5"/>
      </w:pPr>
    </w:p>
    <w:p w14:paraId="478EAE8E" w14:textId="77777777" w:rsidR="008A2EDE" w:rsidRDefault="008A2EDE">
      <w:pPr>
        <w:spacing w:line="235" w:lineRule="auto"/>
        <w:sectPr w:rsidR="008A2EDE">
          <w:pgSz w:w="11900" w:h="16840"/>
          <w:pgMar w:top="1360" w:right="1260" w:bottom="820" w:left="1580" w:header="0" w:footer="638" w:gutter="0"/>
          <w:cols w:space="720"/>
        </w:sectPr>
      </w:pPr>
    </w:p>
    <w:p w14:paraId="47CB5687" w14:textId="77777777" w:rsidR="008A2EDE" w:rsidRDefault="00A50BD3" w:rsidP="005056E0">
      <w:pPr>
        <w:pStyle w:val="Heading1"/>
        <w:numPr>
          <w:ilvl w:val="0"/>
          <w:numId w:val="3"/>
        </w:numPr>
        <w:tabs>
          <w:tab w:val="left" w:pos="480"/>
        </w:tabs>
      </w:pPr>
      <w:bookmarkStart w:id="4" w:name="_Toc23938249"/>
      <w:r>
        <w:rPr>
          <w:color w:val="A2A9AF"/>
        </w:rPr>
        <w:lastRenderedPageBreak/>
        <w:t>Industry expectations about training</w:t>
      </w:r>
      <w:r>
        <w:rPr>
          <w:color w:val="A2A9AF"/>
          <w:spacing w:val="-5"/>
        </w:rPr>
        <w:t xml:space="preserve"> </w:t>
      </w:r>
      <w:r>
        <w:rPr>
          <w:color w:val="A2A9AF"/>
        </w:rPr>
        <w:t>delivery</w:t>
      </w:r>
      <w:bookmarkEnd w:id="4"/>
    </w:p>
    <w:p w14:paraId="5EC343D2" w14:textId="77777777" w:rsidR="008A2EDE" w:rsidRDefault="008A2EDE">
      <w:pPr>
        <w:pStyle w:val="BodyText"/>
        <w:spacing w:before="1"/>
        <w:rPr>
          <w:sz w:val="30"/>
        </w:rPr>
      </w:pPr>
    </w:p>
    <w:p w14:paraId="040DB3C6" w14:textId="77777777" w:rsidR="008A2EDE" w:rsidRDefault="00A50BD3">
      <w:pPr>
        <w:pStyle w:val="Heading3"/>
      </w:pPr>
      <w:r>
        <w:t>Advice about industry’s expectations of training delivery</w:t>
      </w:r>
    </w:p>
    <w:p w14:paraId="1CB6564C" w14:textId="77777777" w:rsidR="008A2EDE" w:rsidRDefault="00A50BD3">
      <w:pPr>
        <w:pStyle w:val="BodyText"/>
        <w:spacing w:before="273"/>
        <w:ind w:left="119"/>
      </w:pPr>
      <w:r>
        <w:t>This project aimed to follow the AISC’s requirements and support the COAG Industry and Skills Council reforms to training packages by developing:</w:t>
      </w:r>
    </w:p>
    <w:p w14:paraId="1A197143" w14:textId="77777777" w:rsidR="008A2EDE" w:rsidRDefault="008A2EDE">
      <w:pPr>
        <w:pStyle w:val="BodyText"/>
        <w:spacing w:before="10"/>
        <w:rPr>
          <w:sz w:val="21"/>
        </w:rPr>
      </w:pPr>
    </w:p>
    <w:p w14:paraId="5D1ACE09" w14:textId="77777777" w:rsidR="008A2EDE" w:rsidRDefault="00A50BD3" w:rsidP="005056E0">
      <w:pPr>
        <w:pStyle w:val="ListParagraph"/>
        <w:numPr>
          <w:ilvl w:val="1"/>
          <w:numId w:val="3"/>
        </w:numPr>
        <w:tabs>
          <w:tab w:val="left" w:pos="839"/>
          <w:tab w:val="left" w:pos="840"/>
        </w:tabs>
        <w:spacing w:line="279" w:lineRule="exact"/>
        <w:ind w:left="839"/>
        <w:rPr>
          <w:rFonts w:ascii="Symbol" w:hAnsi="Symbol"/>
        </w:rPr>
      </w:pPr>
      <w:r>
        <w:t>qualifications that better reflect occupational</w:t>
      </w:r>
      <w:r>
        <w:rPr>
          <w:spacing w:val="-8"/>
        </w:rPr>
        <w:t xml:space="preserve"> </w:t>
      </w:r>
      <w:r>
        <w:t>standards</w:t>
      </w:r>
    </w:p>
    <w:p w14:paraId="685F2009" w14:textId="77777777" w:rsidR="008A2EDE" w:rsidRDefault="00A50BD3" w:rsidP="005056E0">
      <w:pPr>
        <w:pStyle w:val="ListParagraph"/>
        <w:numPr>
          <w:ilvl w:val="1"/>
          <w:numId w:val="3"/>
        </w:numPr>
        <w:tabs>
          <w:tab w:val="left" w:pos="839"/>
          <w:tab w:val="left" w:pos="840"/>
        </w:tabs>
        <w:spacing w:line="279" w:lineRule="exact"/>
        <w:ind w:left="839"/>
        <w:rPr>
          <w:rFonts w:ascii="Symbol" w:hAnsi="Symbol"/>
        </w:rPr>
      </w:pPr>
      <w:r>
        <w:t>units of competency that provide a clear intended</w:t>
      </w:r>
      <w:r>
        <w:rPr>
          <w:spacing w:val="-11"/>
        </w:rPr>
        <w:t xml:space="preserve"> </w:t>
      </w:r>
      <w:r>
        <w:t>outcome</w:t>
      </w:r>
    </w:p>
    <w:p w14:paraId="245CE146" w14:textId="77777777" w:rsidR="008A2EDE" w:rsidRDefault="00A50BD3" w:rsidP="005056E0">
      <w:pPr>
        <w:pStyle w:val="ListParagraph"/>
        <w:numPr>
          <w:ilvl w:val="1"/>
          <w:numId w:val="3"/>
        </w:numPr>
        <w:tabs>
          <w:tab w:val="left" w:pos="840"/>
        </w:tabs>
        <w:spacing w:before="3"/>
        <w:ind w:left="839" w:right="437"/>
        <w:jc w:val="both"/>
        <w:rPr>
          <w:rFonts w:ascii="Symbol" w:hAnsi="Symbol"/>
        </w:rPr>
      </w:pPr>
      <w:r>
        <w:t>a comprehensive skills and knowledge base for ensuring that vital life safety work associated</w:t>
      </w:r>
      <w:r>
        <w:rPr>
          <w:spacing w:val="-8"/>
        </w:rPr>
        <w:t xml:space="preserve"> </w:t>
      </w:r>
      <w:r>
        <w:t>with</w:t>
      </w:r>
      <w:r>
        <w:rPr>
          <w:spacing w:val="-8"/>
        </w:rPr>
        <w:t xml:space="preserve"> </w:t>
      </w:r>
      <w:r>
        <w:t>these</w:t>
      </w:r>
      <w:r>
        <w:rPr>
          <w:spacing w:val="-7"/>
        </w:rPr>
        <w:t xml:space="preserve"> </w:t>
      </w:r>
      <w:r>
        <w:t>qualifications</w:t>
      </w:r>
      <w:r>
        <w:rPr>
          <w:spacing w:val="-8"/>
        </w:rPr>
        <w:t xml:space="preserve"> </w:t>
      </w:r>
      <w:r>
        <w:t>respond</w:t>
      </w:r>
      <w:r>
        <w:rPr>
          <w:spacing w:val="-8"/>
        </w:rPr>
        <w:t xml:space="preserve"> </w:t>
      </w:r>
      <w:r>
        <w:t>to</w:t>
      </w:r>
      <w:r>
        <w:rPr>
          <w:spacing w:val="-7"/>
        </w:rPr>
        <w:t xml:space="preserve"> </w:t>
      </w:r>
      <w:r>
        <w:t>various</w:t>
      </w:r>
      <w:r>
        <w:rPr>
          <w:spacing w:val="-8"/>
        </w:rPr>
        <w:t xml:space="preserve"> </w:t>
      </w:r>
      <w:r>
        <w:t>government</w:t>
      </w:r>
      <w:r>
        <w:rPr>
          <w:spacing w:val="-7"/>
        </w:rPr>
        <w:t xml:space="preserve"> </w:t>
      </w:r>
      <w:r>
        <w:t>fire</w:t>
      </w:r>
      <w:r>
        <w:rPr>
          <w:spacing w:val="-8"/>
        </w:rPr>
        <w:t xml:space="preserve"> </w:t>
      </w:r>
      <w:r>
        <w:t>safety</w:t>
      </w:r>
      <w:r>
        <w:rPr>
          <w:spacing w:val="-8"/>
        </w:rPr>
        <w:t xml:space="preserve"> </w:t>
      </w:r>
      <w:r>
        <w:t>inquiries and community</w:t>
      </w:r>
      <w:r>
        <w:rPr>
          <w:spacing w:val="-3"/>
        </w:rPr>
        <w:t xml:space="preserve"> </w:t>
      </w:r>
      <w:r>
        <w:t>expectations.</w:t>
      </w:r>
    </w:p>
    <w:p w14:paraId="1A3AF267" w14:textId="77777777" w:rsidR="008A2EDE" w:rsidRDefault="008A2EDE">
      <w:pPr>
        <w:pStyle w:val="BodyText"/>
        <w:spacing w:before="1"/>
      </w:pPr>
    </w:p>
    <w:p w14:paraId="62722731" w14:textId="77777777" w:rsidR="008A2EDE" w:rsidRDefault="00A50BD3">
      <w:pPr>
        <w:ind w:left="119" w:right="348"/>
      </w:pPr>
      <w:r>
        <w:t xml:space="preserve">The revised units of competency have been transitioned to align with the </w:t>
      </w:r>
      <w:r>
        <w:rPr>
          <w:i/>
        </w:rPr>
        <w:t>Standards for Training Packages 2012</w:t>
      </w:r>
      <w:r>
        <w:t>.</w:t>
      </w:r>
    </w:p>
    <w:p w14:paraId="50567178" w14:textId="77777777" w:rsidR="008A2EDE" w:rsidRDefault="008A2EDE">
      <w:pPr>
        <w:pStyle w:val="BodyText"/>
        <w:spacing w:before="1"/>
      </w:pPr>
    </w:p>
    <w:p w14:paraId="1F4BED4D" w14:textId="77777777" w:rsidR="008A2EDE" w:rsidRDefault="00A50BD3">
      <w:pPr>
        <w:pStyle w:val="BodyText"/>
        <w:ind w:left="119"/>
      </w:pPr>
      <w:r>
        <w:t>The impact of the changes of the proposed endorsed components are as follows:</w:t>
      </w:r>
    </w:p>
    <w:p w14:paraId="3EDB5B3F" w14:textId="77777777" w:rsidR="008A2EDE" w:rsidRDefault="008A2EDE">
      <w:pPr>
        <w:pStyle w:val="BodyText"/>
        <w:spacing w:before="3"/>
      </w:pPr>
    </w:p>
    <w:p w14:paraId="0048432D" w14:textId="77777777" w:rsidR="008A2EDE" w:rsidRDefault="00A50BD3" w:rsidP="005056E0">
      <w:pPr>
        <w:pStyle w:val="ListParagraph"/>
        <w:numPr>
          <w:ilvl w:val="1"/>
          <w:numId w:val="3"/>
        </w:numPr>
        <w:tabs>
          <w:tab w:val="left" w:pos="839"/>
          <w:tab w:val="left" w:pos="840"/>
        </w:tabs>
        <w:spacing w:line="256" w:lineRule="auto"/>
        <w:ind w:left="839" w:right="440"/>
        <w:rPr>
          <w:rFonts w:ascii="Symbol" w:hAnsi="Symbol"/>
        </w:rPr>
      </w:pPr>
      <w:r>
        <w:t>RTOs will be notified by training.gov.au of the changes in the units of competency and their assessment</w:t>
      </w:r>
      <w:r>
        <w:rPr>
          <w:spacing w:val="-3"/>
        </w:rPr>
        <w:t xml:space="preserve"> </w:t>
      </w:r>
      <w:r>
        <w:t>requirements</w:t>
      </w:r>
    </w:p>
    <w:p w14:paraId="6F45CD2B" w14:textId="77777777" w:rsidR="008A2EDE" w:rsidRDefault="00A50BD3" w:rsidP="005056E0">
      <w:pPr>
        <w:pStyle w:val="ListParagraph"/>
        <w:numPr>
          <w:ilvl w:val="1"/>
          <w:numId w:val="3"/>
        </w:numPr>
        <w:tabs>
          <w:tab w:val="left" w:pos="839"/>
          <w:tab w:val="left" w:pos="840"/>
        </w:tabs>
        <w:spacing w:before="4" w:line="256" w:lineRule="auto"/>
        <w:ind w:left="839" w:right="439"/>
        <w:rPr>
          <w:rFonts w:ascii="Symbol" w:hAnsi="Symbol"/>
        </w:rPr>
      </w:pPr>
      <w:r>
        <w:t>RTOs will be required to adapt all aspects of training and assessment to the changes in structure</w:t>
      </w:r>
      <w:r>
        <w:rPr>
          <w:spacing w:val="-4"/>
        </w:rPr>
        <w:t xml:space="preserve"> </w:t>
      </w:r>
      <w:r>
        <w:t>and</w:t>
      </w:r>
      <w:r>
        <w:rPr>
          <w:spacing w:val="-3"/>
        </w:rPr>
        <w:t xml:space="preserve"> </w:t>
      </w:r>
      <w:r>
        <w:t>content</w:t>
      </w:r>
      <w:r>
        <w:rPr>
          <w:spacing w:val="-4"/>
        </w:rPr>
        <w:t xml:space="preserve"> </w:t>
      </w:r>
      <w:r>
        <w:t>in</w:t>
      </w:r>
      <w:r>
        <w:rPr>
          <w:spacing w:val="-3"/>
        </w:rPr>
        <w:t xml:space="preserve"> </w:t>
      </w:r>
      <w:r>
        <w:t>the</w:t>
      </w:r>
      <w:r>
        <w:rPr>
          <w:spacing w:val="-4"/>
        </w:rPr>
        <w:t xml:space="preserve"> </w:t>
      </w:r>
      <w:r>
        <w:t>units</w:t>
      </w:r>
      <w:r>
        <w:rPr>
          <w:spacing w:val="-3"/>
        </w:rPr>
        <w:t xml:space="preserve"> </w:t>
      </w:r>
      <w:r>
        <w:t>of</w:t>
      </w:r>
      <w:r>
        <w:rPr>
          <w:spacing w:val="-4"/>
        </w:rPr>
        <w:t xml:space="preserve"> </w:t>
      </w:r>
      <w:r>
        <w:t>competency</w:t>
      </w:r>
      <w:r>
        <w:rPr>
          <w:spacing w:val="-2"/>
        </w:rPr>
        <w:t xml:space="preserve"> </w:t>
      </w:r>
      <w:r>
        <w:t>and</w:t>
      </w:r>
      <w:r>
        <w:rPr>
          <w:spacing w:val="-4"/>
        </w:rPr>
        <w:t xml:space="preserve"> </w:t>
      </w:r>
      <w:r>
        <w:t>their</w:t>
      </w:r>
      <w:r>
        <w:rPr>
          <w:spacing w:val="-3"/>
        </w:rPr>
        <w:t xml:space="preserve"> </w:t>
      </w:r>
      <w:r>
        <w:t>assessment</w:t>
      </w:r>
      <w:r>
        <w:rPr>
          <w:spacing w:val="-4"/>
        </w:rPr>
        <w:t xml:space="preserve"> </w:t>
      </w:r>
      <w:r>
        <w:t>requirements.</w:t>
      </w:r>
    </w:p>
    <w:p w14:paraId="63DCD0D3" w14:textId="77777777" w:rsidR="008A2EDE" w:rsidRDefault="00A50BD3">
      <w:pPr>
        <w:pStyle w:val="BodyText"/>
        <w:spacing w:before="160"/>
        <w:ind w:left="119"/>
      </w:pPr>
      <w:r>
        <w:t>RTOs can expect a series of changes. RTOs will be required to:</w:t>
      </w:r>
    </w:p>
    <w:p w14:paraId="29440D97" w14:textId="77777777" w:rsidR="008A2EDE" w:rsidRDefault="008A2EDE">
      <w:pPr>
        <w:pStyle w:val="BodyText"/>
        <w:spacing w:before="3"/>
      </w:pPr>
    </w:p>
    <w:p w14:paraId="32CA12A7" w14:textId="77777777" w:rsidR="008A2EDE" w:rsidRDefault="00A50BD3" w:rsidP="005056E0">
      <w:pPr>
        <w:pStyle w:val="ListParagraph"/>
        <w:numPr>
          <w:ilvl w:val="1"/>
          <w:numId w:val="3"/>
        </w:numPr>
        <w:tabs>
          <w:tab w:val="left" w:pos="839"/>
          <w:tab w:val="left" w:pos="840"/>
        </w:tabs>
        <w:spacing w:line="256" w:lineRule="auto"/>
        <w:ind w:left="839" w:right="439"/>
        <w:rPr>
          <w:rFonts w:ascii="Symbol" w:hAnsi="Symbol"/>
        </w:rPr>
      </w:pPr>
      <w:r>
        <w:t>assess and implement the mandatory delivery and assessment requirements specified in the endorsed</w:t>
      </w:r>
      <w:r>
        <w:rPr>
          <w:spacing w:val="-4"/>
        </w:rPr>
        <w:t xml:space="preserve"> </w:t>
      </w:r>
      <w:r>
        <w:t>components</w:t>
      </w:r>
    </w:p>
    <w:p w14:paraId="0D3A5E5F" w14:textId="77777777" w:rsidR="008A2EDE" w:rsidRDefault="00A50BD3" w:rsidP="005056E0">
      <w:pPr>
        <w:pStyle w:val="ListParagraph"/>
        <w:numPr>
          <w:ilvl w:val="1"/>
          <w:numId w:val="3"/>
        </w:numPr>
        <w:tabs>
          <w:tab w:val="left" w:pos="839"/>
          <w:tab w:val="left" w:pos="840"/>
        </w:tabs>
        <w:spacing w:before="9"/>
        <w:ind w:left="839"/>
        <w:rPr>
          <w:rFonts w:ascii="Symbol" w:hAnsi="Symbol"/>
        </w:rPr>
      </w:pPr>
      <w:r>
        <w:t>adjust training and assessment</w:t>
      </w:r>
      <w:r>
        <w:rPr>
          <w:spacing w:val="-5"/>
        </w:rPr>
        <w:t xml:space="preserve"> </w:t>
      </w:r>
      <w:r>
        <w:t>strategies</w:t>
      </w:r>
    </w:p>
    <w:p w14:paraId="134323DA" w14:textId="77777777" w:rsidR="008A2EDE" w:rsidRDefault="00A50BD3" w:rsidP="005056E0">
      <w:pPr>
        <w:pStyle w:val="ListParagraph"/>
        <w:numPr>
          <w:ilvl w:val="1"/>
          <w:numId w:val="3"/>
        </w:numPr>
        <w:tabs>
          <w:tab w:val="left" w:pos="839"/>
          <w:tab w:val="left" w:pos="840"/>
        </w:tabs>
        <w:spacing w:before="17"/>
        <w:ind w:left="839"/>
        <w:rPr>
          <w:rFonts w:ascii="Symbol" w:hAnsi="Symbol"/>
        </w:rPr>
      </w:pPr>
      <w:r>
        <w:t>review delivery and assessment</w:t>
      </w:r>
      <w:r>
        <w:rPr>
          <w:spacing w:val="-5"/>
        </w:rPr>
        <w:t xml:space="preserve"> </w:t>
      </w:r>
      <w:r>
        <w:t>resources</w:t>
      </w:r>
    </w:p>
    <w:p w14:paraId="11C324A9" w14:textId="77777777" w:rsidR="008A2EDE" w:rsidRDefault="00A50BD3" w:rsidP="005056E0">
      <w:pPr>
        <w:pStyle w:val="ListParagraph"/>
        <w:numPr>
          <w:ilvl w:val="1"/>
          <w:numId w:val="3"/>
        </w:numPr>
        <w:tabs>
          <w:tab w:val="left" w:pos="839"/>
          <w:tab w:val="left" w:pos="840"/>
        </w:tabs>
        <w:spacing w:before="22" w:line="256" w:lineRule="auto"/>
        <w:ind w:left="839" w:right="444"/>
        <w:rPr>
          <w:rFonts w:ascii="Symbol" w:hAnsi="Symbol"/>
        </w:rPr>
      </w:pPr>
      <w:r>
        <w:t>address and enhance supporting material and resources to address assessment requirements.</w:t>
      </w:r>
    </w:p>
    <w:p w14:paraId="06621F4B" w14:textId="77777777" w:rsidR="008A2EDE" w:rsidRDefault="00A50BD3">
      <w:pPr>
        <w:pStyle w:val="Heading7"/>
        <w:spacing w:before="165"/>
      </w:pPr>
      <w:r>
        <w:t>Quality principles</w:t>
      </w:r>
    </w:p>
    <w:p w14:paraId="7D57470D" w14:textId="77777777" w:rsidR="008A2EDE" w:rsidRDefault="00A50BD3">
      <w:pPr>
        <w:spacing w:before="177"/>
        <w:ind w:left="119"/>
        <w:rPr>
          <w:i/>
        </w:rPr>
      </w:pPr>
      <w:r>
        <w:rPr>
          <w:i/>
        </w:rPr>
        <w:t>Flexibility and Recognition</w:t>
      </w:r>
    </w:p>
    <w:p w14:paraId="184DB084" w14:textId="77777777" w:rsidR="008A2EDE" w:rsidRDefault="00A50BD3">
      <w:pPr>
        <w:pStyle w:val="BodyText"/>
        <w:spacing w:before="183"/>
        <w:ind w:left="119" w:right="355"/>
      </w:pPr>
      <w:r>
        <w:t>Each qualification allows for units to be selected from a pool of elective units, including units that may be drawn from other CPC qualifications, or another relevant Training Package.</w:t>
      </w:r>
    </w:p>
    <w:p w14:paraId="777975EA" w14:textId="77777777" w:rsidR="008A2EDE" w:rsidRDefault="008A2EDE">
      <w:pPr>
        <w:pStyle w:val="BodyText"/>
        <w:spacing w:before="1"/>
      </w:pPr>
    </w:p>
    <w:p w14:paraId="09AD9A88" w14:textId="77777777" w:rsidR="008A2EDE" w:rsidRDefault="00A50BD3">
      <w:pPr>
        <w:ind w:left="119"/>
        <w:rPr>
          <w:i/>
        </w:rPr>
      </w:pPr>
      <w:r>
        <w:rPr>
          <w:i/>
        </w:rPr>
        <w:t>Access and Equity</w:t>
      </w:r>
    </w:p>
    <w:p w14:paraId="640E0515" w14:textId="77777777" w:rsidR="008A2EDE" w:rsidRDefault="008A2EDE">
      <w:pPr>
        <w:pStyle w:val="BodyText"/>
        <w:rPr>
          <w:i/>
        </w:rPr>
      </w:pPr>
    </w:p>
    <w:p w14:paraId="08E5E0E2" w14:textId="77777777" w:rsidR="008A2EDE" w:rsidRDefault="00A50BD3">
      <w:pPr>
        <w:pStyle w:val="BodyText"/>
        <w:ind w:left="119" w:right="440"/>
        <w:jc w:val="both"/>
      </w:pPr>
      <w:r>
        <w:t>The qualifications contain robust packaging rules that provide the flexibility required to accommodate</w:t>
      </w:r>
      <w:r>
        <w:rPr>
          <w:spacing w:val="-15"/>
        </w:rPr>
        <w:t xml:space="preserve"> </w:t>
      </w:r>
      <w:r>
        <w:t>a</w:t>
      </w:r>
      <w:r>
        <w:rPr>
          <w:spacing w:val="-15"/>
        </w:rPr>
        <w:t xml:space="preserve"> </w:t>
      </w:r>
      <w:r>
        <w:t>diverse</w:t>
      </w:r>
      <w:r>
        <w:rPr>
          <w:spacing w:val="-15"/>
        </w:rPr>
        <w:t xml:space="preserve"> </w:t>
      </w:r>
      <w:r>
        <w:t>range</w:t>
      </w:r>
      <w:r>
        <w:rPr>
          <w:spacing w:val="-14"/>
        </w:rPr>
        <w:t xml:space="preserve"> </w:t>
      </w:r>
      <w:r>
        <w:t>of</w:t>
      </w:r>
      <w:r>
        <w:rPr>
          <w:spacing w:val="-15"/>
        </w:rPr>
        <w:t xml:space="preserve"> </w:t>
      </w:r>
      <w:r>
        <w:t>potential</w:t>
      </w:r>
      <w:r>
        <w:rPr>
          <w:spacing w:val="-15"/>
        </w:rPr>
        <w:t xml:space="preserve"> </w:t>
      </w:r>
      <w:r>
        <w:t>learners</w:t>
      </w:r>
      <w:r>
        <w:rPr>
          <w:spacing w:val="-14"/>
        </w:rPr>
        <w:t xml:space="preserve"> </w:t>
      </w:r>
      <w:r>
        <w:t>and</w:t>
      </w:r>
      <w:r>
        <w:rPr>
          <w:spacing w:val="-15"/>
        </w:rPr>
        <w:t xml:space="preserve"> </w:t>
      </w:r>
      <w:r>
        <w:t>work</w:t>
      </w:r>
      <w:r>
        <w:rPr>
          <w:spacing w:val="-15"/>
        </w:rPr>
        <w:t xml:space="preserve"> </w:t>
      </w:r>
      <w:r>
        <w:t>contexts</w:t>
      </w:r>
      <w:r>
        <w:rPr>
          <w:spacing w:val="-14"/>
        </w:rPr>
        <w:t xml:space="preserve"> </w:t>
      </w:r>
      <w:r>
        <w:t>across</w:t>
      </w:r>
      <w:r>
        <w:rPr>
          <w:spacing w:val="-15"/>
        </w:rPr>
        <w:t xml:space="preserve"> </w:t>
      </w:r>
      <w:r>
        <w:t>the</w:t>
      </w:r>
      <w:r>
        <w:rPr>
          <w:spacing w:val="-15"/>
        </w:rPr>
        <w:t xml:space="preserve"> </w:t>
      </w:r>
      <w:r>
        <w:t>different</w:t>
      </w:r>
      <w:r>
        <w:rPr>
          <w:spacing w:val="-17"/>
        </w:rPr>
        <w:t xml:space="preserve"> </w:t>
      </w:r>
      <w:r>
        <w:t>states and territories. The qualifications include elective units of competency that meet the diverse learning and pathway needs of the</w:t>
      </w:r>
      <w:r>
        <w:rPr>
          <w:spacing w:val="-7"/>
        </w:rPr>
        <w:t xml:space="preserve"> </w:t>
      </w:r>
      <w:r>
        <w:t>learner.</w:t>
      </w:r>
    </w:p>
    <w:p w14:paraId="75F0E0F1" w14:textId="77777777" w:rsidR="008A2EDE" w:rsidRDefault="008A2EDE">
      <w:pPr>
        <w:jc w:val="both"/>
        <w:sectPr w:rsidR="008A2EDE">
          <w:pgSz w:w="11900" w:h="16840"/>
          <w:pgMar w:top="1600" w:right="1260" w:bottom="820" w:left="1580" w:header="0" w:footer="638" w:gutter="0"/>
          <w:cols w:space="720"/>
        </w:sectPr>
      </w:pPr>
    </w:p>
    <w:p w14:paraId="34F26926" w14:textId="77777777" w:rsidR="008A2EDE" w:rsidRDefault="00A50BD3">
      <w:pPr>
        <w:pStyle w:val="BodyText"/>
        <w:spacing w:before="110"/>
        <w:ind w:left="119" w:right="439"/>
        <w:jc w:val="both"/>
      </w:pPr>
      <w:r>
        <w:lastRenderedPageBreak/>
        <w:t>The qualifications support equitable access and progression of learners by allowing for direct entry. The inclusion of nominal AQF level I and II units provide preparatory skills for carpenters and</w:t>
      </w:r>
      <w:r>
        <w:rPr>
          <w:spacing w:val="-7"/>
        </w:rPr>
        <w:t xml:space="preserve"> </w:t>
      </w:r>
      <w:r>
        <w:t>joiners,</w:t>
      </w:r>
      <w:r>
        <w:rPr>
          <w:spacing w:val="-6"/>
        </w:rPr>
        <w:t xml:space="preserve"> </w:t>
      </w:r>
      <w:r>
        <w:t>as</w:t>
      </w:r>
      <w:r>
        <w:rPr>
          <w:spacing w:val="-7"/>
        </w:rPr>
        <w:t xml:space="preserve"> </w:t>
      </w:r>
      <w:r>
        <w:t>well</w:t>
      </w:r>
      <w:r>
        <w:rPr>
          <w:spacing w:val="-6"/>
        </w:rPr>
        <w:t xml:space="preserve"> </w:t>
      </w:r>
      <w:r>
        <w:t>as</w:t>
      </w:r>
      <w:r>
        <w:rPr>
          <w:spacing w:val="-6"/>
        </w:rPr>
        <w:t xml:space="preserve"> </w:t>
      </w:r>
      <w:r>
        <w:t>an</w:t>
      </w:r>
      <w:r>
        <w:rPr>
          <w:spacing w:val="-7"/>
        </w:rPr>
        <w:t xml:space="preserve"> </w:t>
      </w:r>
      <w:r>
        <w:t>articulation</w:t>
      </w:r>
      <w:r>
        <w:rPr>
          <w:spacing w:val="-6"/>
        </w:rPr>
        <w:t xml:space="preserve"> </w:t>
      </w:r>
      <w:r>
        <w:t>pathway</w:t>
      </w:r>
      <w:r>
        <w:rPr>
          <w:spacing w:val="-6"/>
        </w:rPr>
        <w:t xml:space="preserve"> </w:t>
      </w:r>
      <w:r>
        <w:t>for</w:t>
      </w:r>
      <w:r>
        <w:rPr>
          <w:spacing w:val="-7"/>
        </w:rPr>
        <w:t xml:space="preserve"> </w:t>
      </w:r>
      <w:r>
        <w:t>graduates</w:t>
      </w:r>
      <w:r>
        <w:rPr>
          <w:spacing w:val="-5"/>
        </w:rPr>
        <w:t xml:space="preserve"> </w:t>
      </w:r>
      <w:r>
        <w:t>of</w:t>
      </w:r>
      <w:r>
        <w:rPr>
          <w:spacing w:val="-6"/>
        </w:rPr>
        <w:t xml:space="preserve"> </w:t>
      </w:r>
      <w:r>
        <w:t>level</w:t>
      </w:r>
      <w:r>
        <w:rPr>
          <w:spacing w:val="-6"/>
        </w:rPr>
        <w:t xml:space="preserve"> </w:t>
      </w:r>
      <w:r>
        <w:t>I</w:t>
      </w:r>
      <w:r>
        <w:rPr>
          <w:spacing w:val="-5"/>
        </w:rPr>
        <w:t xml:space="preserve"> </w:t>
      </w:r>
      <w:r>
        <w:t>and</w:t>
      </w:r>
      <w:r>
        <w:rPr>
          <w:spacing w:val="-7"/>
        </w:rPr>
        <w:t xml:space="preserve"> </w:t>
      </w:r>
      <w:r>
        <w:t>II</w:t>
      </w:r>
      <w:r>
        <w:rPr>
          <w:spacing w:val="-5"/>
        </w:rPr>
        <w:t xml:space="preserve"> </w:t>
      </w:r>
      <w:r>
        <w:t>entry</w:t>
      </w:r>
      <w:r>
        <w:rPr>
          <w:spacing w:val="-11"/>
        </w:rPr>
        <w:t xml:space="preserve"> </w:t>
      </w:r>
      <w:r>
        <w:t>qualifications.</w:t>
      </w:r>
    </w:p>
    <w:p w14:paraId="52B8AA59" w14:textId="77777777" w:rsidR="008A2EDE" w:rsidRDefault="008A2EDE">
      <w:pPr>
        <w:pStyle w:val="BodyText"/>
        <w:spacing w:before="1"/>
      </w:pPr>
    </w:p>
    <w:p w14:paraId="116C067B" w14:textId="77777777" w:rsidR="008A2EDE" w:rsidRDefault="00A50BD3">
      <w:pPr>
        <w:pStyle w:val="BodyText"/>
        <w:ind w:left="119" w:right="442"/>
        <w:jc w:val="both"/>
      </w:pPr>
      <w:r>
        <w:t>The redesigned units have been written clearly and explicitly according to the 2012 Standards for Training Packages.</w:t>
      </w:r>
    </w:p>
    <w:p w14:paraId="7841509B" w14:textId="77777777" w:rsidR="008A2EDE" w:rsidRDefault="008A2EDE">
      <w:pPr>
        <w:jc w:val="both"/>
        <w:sectPr w:rsidR="008A2EDE">
          <w:pgSz w:w="11900" w:h="16840"/>
          <w:pgMar w:top="1600" w:right="1260" w:bottom="820" w:left="1580" w:header="0" w:footer="638" w:gutter="0"/>
          <w:cols w:space="720"/>
        </w:sectPr>
      </w:pPr>
    </w:p>
    <w:p w14:paraId="7CBE45C9" w14:textId="77777777" w:rsidR="008A2EDE" w:rsidRDefault="00A50BD3" w:rsidP="005056E0">
      <w:pPr>
        <w:pStyle w:val="Heading1"/>
        <w:numPr>
          <w:ilvl w:val="0"/>
          <w:numId w:val="3"/>
        </w:numPr>
        <w:tabs>
          <w:tab w:val="left" w:pos="480"/>
        </w:tabs>
        <w:spacing w:before="79"/>
        <w:jc w:val="both"/>
      </w:pPr>
      <w:bookmarkStart w:id="5" w:name="_Toc23938250"/>
      <w:r>
        <w:rPr>
          <w:color w:val="A2A9AF"/>
        </w:rPr>
        <w:lastRenderedPageBreak/>
        <w:t>Implementation of new training</w:t>
      </w:r>
      <w:r>
        <w:rPr>
          <w:color w:val="A2A9AF"/>
          <w:spacing w:val="-6"/>
        </w:rPr>
        <w:t xml:space="preserve"> </w:t>
      </w:r>
      <w:r>
        <w:rPr>
          <w:color w:val="A2A9AF"/>
        </w:rPr>
        <w:t>packages</w:t>
      </w:r>
      <w:bookmarkEnd w:id="5"/>
    </w:p>
    <w:p w14:paraId="2A883D69" w14:textId="77777777" w:rsidR="008A2EDE" w:rsidRDefault="00A50BD3">
      <w:pPr>
        <w:pStyle w:val="Heading7"/>
        <w:spacing w:before="300"/>
      </w:pPr>
      <w:r>
        <w:t>IRC recommendation on traineeships and apprenticeships</w:t>
      </w:r>
    </w:p>
    <w:p w14:paraId="47A8B5B1" w14:textId="6D1A4A59" w:rsidR="008A2EDE" w:rsidRDefault="00A50BD3">
      <w:pPr>
        <w:pStyle w:val="BodyText"/>
        <w:spacing w:before="182" w:line="261" w:lineRule="auto"/>
        <w:ind w:left="119" w:right="440"/>
        <w:jc w:val="both"/>
      </w:pPr>
      <w:r>
        <w:t>Both the CPC302</w:t>
      </w:r>
      <w:r w:rsidR="00757981">
        <w:t>20</w:t>
      </w:r>
      <w:r>
        <w:t xml:space="preserve"> Certificate III in Carpentry and CPC319</w:t>
      </w:r>
      <w:r w:rsidR="00757981">
        <w:t>20</w:t>
      </w:r>
      <w:r>
        <w:t xml:space="preserve"> Certificate III in Joinery have been developed to enhance the quality of apprenticeships.</w:t>
      </w:r>
    </w:p>
    <w:p w14:paraId="2E4F2B42" w14:textId="77777777" w:rsidR="008A2EDE" w:rsidRDefault="00A50BD3">
      <w:pPr>
        <w:pStyle w:val="Heading7"/>
        <w:spacing w:before="154"/>
      </w:pPr>
      <w:r>
        <w:t>Advice on occupational and licensing requirements</w:t>
      </w:r>
    </w:p>
    <w:p w14:paraId="2E3B424B" w14:textId="77777777" w:rsidR="008A2EDE" w:rsidRDefault="00A50BD3">
      <w:pPr>
        <w:pStyle w:val="BodyText"/>
        <w:spacing w:before="183"/>
        <w:ind w:left="119" w:right="440"/>
        <w:jc w:val="both"/>
      </w:pPr>
      <w:r>
        <w:t>The qualifications and associated units of competency do not lead to licensing outcomes because the industry does not license these the occupations of carpenter or joiner. Workers who</w:t>
      </w:r>
      <w:r>
        <w:rPr>
          <w:spacing w:val="-15"/>
        </w:rPr>
        <w:t xml:space="preserve"> </w:t>
      </w:r>
      <w:r>
        <w:t>are</w:t>
      </w:r>
      <w:r>
        <w:rPr>
          <w:spacing w:val="-14"/>
        </w:rPr>
        <w:t xml:space="preserve"> </w:t>
      </w:r>
      <w:r>
        <w:t>employed</w:t>
      </w:r>
      <w:r>
        <w:rPr>
          <w:spacing w:val="-14"/>
        </w:rPr>
        <w:t xml:space="preserve"> </w:t>
      </w:r>
      <w:r>
        <w:t>by</w:t>
      </w:r>
      <w:r>
        <w:rPr>
          <w:spacing w:val="-15"/>
        </w:rPr>
        <w:t xml:space="preserve"> </w:t>
      </w:r>
      <w:r>
        <w:t>carpentry</w:t>
      </w:r>
      <w:r>
        <w:rPr>
          <w:spacing w:val="-16"/>
        </w:rPr>
        <w:t xml:space="preserve"> </w:t>
      </w:r>
      <w:r>
        <w:t>and/or</w:t>
      </w:r>
      <w:r>
        <w:rPr>
          <w:spacing w:val="-14"/>
        </w:rPr>
        <w:t xml:space="preserve"> </w:t>
      </w:r>
      <w:r>
        <w:t>joinery</w:t>
      </w:r>
      <w:r>
        <w:rPr>
          <w:spacing w:val="-14"/>
        </w:rPr>
        <w:t xml:space="preserve"> </w:t>
      </w:r>
      <w:r>
        <w:t>contractors</w:t>
      </w:r>
      <w:r>
        <w:rPr>
          <w:spacing w:val="-14"/>
        </w:rPr>
        <w:t xml:space="preserve"> </w:t>
      </w:r>
      <w:r>
        <w:t>do</w:t>
      </w:r>
      <w:r>
        <w:rPr>
          <w:spacing w:val="-15"/>
        </w:rPr>
        <w:t xml:space="preserve"> </w:t>
      </w:r>
      <w:r>
        <w:t>not</w:t>
      </w:r>
      <w:r>
        <w:rPr>
          <w:spacing w:val="-16"/>
        </w:rPr>
        <w:t xml:space="preserve"> </w:t>
      </w:r>
      <w:r>
        <w:t>need</w:t>
      </w:r>
      <w:r>
        <w:rPr>
          <w:spacing w:val="-15"/>
        </w:rPr>
        <w:t xml:space="preserve"> </w:t>
      </w:r>
      <w:r>
        <w:t>to</w:t>
      </w:r>
      <w:r>
        <w:rPr>
          <w:spacing w:val="-13"/>
        </w:rPr>
        <w:t xml:space="preserve"> </w:t>
      </w:r>
      <w:r>
        <w:t>be</w:t>
      </w:r>
      <w:r>
        <w:rPr>
          <w:spacing w:val="-15"/>
        </w:rPr>
        <w:t xml:space="preserve"> </w:t>
      </w:r>
      <w:r>
        <w:t>licensed.</w:t>
      </w:r>
      <w:r>
        <w:rPr>
          <w:spacing w:val="-15"/>
        </w:rPr>
        <w:t xml:space="preserve"> </w:t>
      </w:r>
      <w:r>
        <w:t>However, licensing requirements may apply for these contractors in different states and</w:t>
      </w:r>
      <w:r>
        <w:rPr>
          <w:spacing w:val="-31"/>
        </w:rPr>
        <w:t xml:space="preserve"> </w:t>
      </w:r>
      <w:r>
        <w:t>territories.</w:t>
      </w:r>
    </w:p>
    <w:p w14:paraId="326AFD61" w14:textId="77777777" w:rsidR="008A2EDE" w:rsidRDefault="008A2EDE">
      <w:pPr>
        <w:pStyle w:val="BodyText"/>
        <w:spacing w:before="3"/>
      </w:pPr>
    </w:p>
    <w:p w14:paraId="4D874CAD" w14:textId="77777777" w:rsidR="008A2EDE" w:rsidRDefault="00A50BD3">
      <w:pPr>
        <w:pStyle w:val="BodyText"/>
        <w:spacing w:line="237" w:lineRule="auto"/>
        <w:ind w:left="119" w:right="440"/>
        <w:jc w:val="both"/>
      </w:pPr>
      <w:r>
        <w:t>RTOs and other users of the qualifications will need to contact the relevant regulatory authorities when seeking advice for candidates for licensing purposes. The contact details of those regulatory authorities are provided in the accompanying CPC Companion Volume Implementation Guide.</w:t>
      </w:r>
    </w:p>
    <w:p w14:paraId="5A956BE7" w14:textId="77777777" w:rsidR="008A2EDE" w:rsidRDefault="008A2EDE">
      <w:pPr>
        <w:pStyle w:val="BodyText"/>
        <w:spacing w:before="5"/>
      </w:pPr>
    </w:p>
    <w:p w14:paraId="31595BB4" w14:textId="77777777" w:rsidR="008A2EDE" w:rsidRDefault="00A50BD3">
      <w:pPr>
        <w:pStyle w:val="Heading7"/>
      </w:pPr>
      <w:r>
        <w:t>Implementation issues of note and management strategy</w:t>
      </w:r>
    </w:p>
    <w:p w14:paraId="4C1FD99D" w14:textId="77777777" w:rsidR="008A2EDE" w:rsidRDefault="00A50BD3">
      <w:pPr>
        <w:pStyle w:val="BodyText"/>
        <w:spacing w:before="183"/>
        <w:ind w:left="119"/>
      </w:pPr>
      <w:r>
        <w:t>The endorsed components have been developed to:</w:t>
      </w:r>
    </w:p>
    <w:p w14:paraId="7CEC31F9" w14:textId="77777777" w:rsidR="008A2EDE" w:rsidRDefault="00A50BD3" w:rsidP="005056E0">
      <w:pPr>
        <w:pStyle w:val="ListParagraph"/>
        <w:numPr>
          <w:ilvl w:val="1"/>
          <w:numId w:val="3"/>
        </w:numPr>
        <w:tabs>
          <w:tab w:val="left" w:pos="839"/>
          <w:tab w:val="left" w:pos="840"/>
        </w:tabs>
        <w:spacing w:before="185"/>
        <w:ind w:left="839"/>
        <w:rPr>
          <w:rFonts w:ascii="Symbol" w:hAnsi="Symbol"/>
        </w:rPr>
      </w:pPr>
      <w:r>
        <w:t xml:space="preserve">align with the </w:t>
      </w:r>
      <w:r w:rsidRPr="00757981">
        <w:rPr>
          <w:i/>
          <w:iCs/>
        </w:rPr>
        <w:t>Standards for Training Packages</w:t>
      </w:r>
      <w:r w:rsidRPr="00757981">
        <w:rPr>
          <w:i/>
          <w:iCs/>
          <w:spacing w:val="-8"/>
        </w:rPr>
        <w:t xml:space="preserve"> </w:t>
      </w:r>
      <w:r w:rsidRPr="00757981">
        <w:rPr>
          <w:i/>
          <w:iCs/>
        </w:rPr>
        <w:t>2012</w:t>
      </w:r>
    </w:p>
    <w:p w14:paraId="0C462AC6" w14:textId="77777777" w:rsidR="008A2EDE" w:rsidRDefault="00A50BD3" w:rsidP="005056E0">
      <w:pPr>
        <w:pStyle w:val="ListParagraph"/>
        <w:numPr>
          <w:ilvl w:val="1"/>
          <w:numId w:val="3"/>
        </w:numPr>
        <w:tabs>
          <w:tab w:val="left" w:pos="839"/>
          <w:tab w:val="left" w:pos="840"/>
        </w:tabs>
        <w:spacing w:before="22" w:line="252" w:lineRule="auto"/>
        <w:ind w:left="839" w:right="444"/>
        <w:rPr>
          <w:rFonts w:ascii="Symbol" w:hAnsi="Symbol"/>
        </w:rPr>
      </w:pPr>
      <w:r>
        <w:t>support the approach of the standards to develop qualifications that are accessible in content, format and</w:t>
      </w:r>
      <w:r>
        <w:rPr>
          <w:spacing w:val="-4"/>
        </w:rPr>
        <w:t xml:space="preserve"> </w:t>
      </w:r>
      <w:r>
        <w:t>logic</w:t>
      </w:r>
    </w:p>
    <w:p w14:paraId="7AE3B795" w14:textId="77777777" w:rsidR="008A2EDE" w:rsidRDefault="00A50BD3" w:rsidP="005056E0">
      <w:pPr>
        <w:pStyle w:val="ListParagraph"/>
        <w:numPr>
          <w:ilvl w:val="1"/>
          <w:numId w:val="3"/>
        </w:numPr>
        <w:tabs>
          <w:tab w:val="left" w:pos="839"/>
          <w:tab w:val="left" w:pos="840"/>
        </w:tabs>
        <w:spacing w:before="10"/>
        <w:ind w:left="839"/>
        <w:rPr>
          <w:rFonts w:ascii="Symbol" w:hAnsi="Symbol"/>
        </w:rPr>
      </w:pPr>
      <w:r>
        <w:t>support industry relevant training and assessment</w:t>
      </w:r>
      <w:r>
        <w:rPr>
          <w:spacing w:val="-9"/>
        </w:rPr>
        <w:t xml:space="preserve"> </w:t>
      </w:r>
      <w:r>
        <w:t>practices.</w:t>
      </w:r>
    </w:p>
    <w:p w14:paraId="0D06BE2D" w14:textId="77777777" w:rsidR="008A2EDE" w:rsidRDefault="00A50BD3">
      <w:pPr>
        <w:pStyle w:val="BodyText"/>
        <w:spacing w:before="183" w:line="259" w:lineRule="auto"/>
        <w:ind w:left="119" w:right="436"/>
        <w:jc w:val="both"/>
      </w:pPr>
      <w:r>
        <w:t>The</w:t>
      </w:r>
      <w:r>
        <w:rPr>
          <w:spacing w:val="-14"/>
        </w:rPr>
        <w:t xml:space="preserve"> </w:t>
      </w:r>
      <w:r>
        <w:t>impact</w:t>
      </w:r>
      <w:r>
        <w:rPr>
          <w:spacing w:val="-13"/>
        </w:rPr>
        <w:t xml:space="preserve"> </w:t>
      </w:r>
      <w:r>
        <w:t>for</w:t>
      </w:r>
      <w:r>
        <w:rPr>
          <w:spacing w:val="-13"/>
        </w:rPr>
        <w:t xml:space="preserve"> </w:t>
      </w:r>
      <w:r>
        <w:t>enterprises</w:t>
      </w:r>
      <w:r>
        <w:rPr>
          <w:spacing w:val="-13"/>
        </w:rPr>
        <w:t xml:space="preserve"> </w:t>
      </w:r>
      <w:r>
        <w:t>is</w:t>
      </w:r>
      <w:r>
        <w:rPr>
          <w:spacing w:val="-13"/>
        </w:rPr>
        <w:t xml:space="preserve"> </w:t>
      </w:r>
      <w:r>
        <w:t>expected</w:t>
      </w:r>
      <w:r>
        <w:rPr>
          <w:spacing w:val="-12"/>
        </w:rPr>
        <w:t xml:space="preserve"> </w:t>
      </w:r>
      <w:r>
        <w:t>to</w:t>
      </w:r>
      <w:r>
        <w:rPr>
          <w:spacing w:val="-13"/>
        </w:rPr>
        <w:t xml:space="preserve"> </w:t>
      </w:r>
      <w:r>
        <w:t>be</w:t>
      </w:r>
      <w:r>
        <w:rPr>
          <w:spacing w:val="-12"/>
        </w:rPr>
        <w:t xml:space="preserve"> </w:t>
      </w:r>
      <w:r>
        <w:t>a</w:t>
      </w:r>
      <w:r>
        <w:rPr>
          <w:spacing w:val="-12"/>
        </w:rPr>
        <w:t xml:space="preserve"> </w:t>
      </w:r>
      <w:r>
        <w:t>positive</w:t>
      </w:r>
      <w:r>
        <w:rPr>
          <w:spacing w:val="-12"/>
        </w:rPr>
        <w:t xml:space="preserve"> </w:t>
      </w:r>
      <w:r>
        <w:t>one.</w:t>
      </w:r>
      <w:r>
        <w:rPr>
          <w:spacing w:val="-12"/>
        </w:rPr>
        <w:t xml:space="preserve"> </w:t>
      </w:r>
      <w:r>
        <w:t>The</w:t>
      </w:r>
      <w:r>
        <w:rPr>
          <w:spacing w:val="-12"/>
        </w:rPr>
        <w:t xml:space="preserve"> </w:t>
      </w:r>
      <w:r>
        <w:t>proposed</w:t>
      </w:r>
      <w:r>
        <w:rPr>
          <w:spacing w:val="-13"/>
        </w:rPr>
        <w:t xml:space="preserve"> </w:t>
      </w:r>
      <w:r>
        <w:t>endorsed</w:t>
      </w:r>
      <w:r>
        <w:rPr>
          <w:spacing w:val="-12"/>
        </w:rPr>
        <w:t xml:space="preserve"> </w:t>
      </w:r>
      <w:r>
        <w:t>components will provide enterprises with a workforce that can apply current relevant skills and knowledge across the construction</w:t>
      </w:r>
      <w:r>
        <w:rPr>
          <w:spacing w:val="-5"/>
        </w:rPr>
        <w:t xml:space="preserve"> </w:t>
      </w:r>
      <w:r>
        <w:t>sectors.</w:t>
      </w:r>
    </w:p>
    <w:p w14:paraId="56BA7F51" w14:textId="77777777" w:rsidR="008A2EDE" w:rsidRDefault="00A50BD3">
      <w:pPr>
        <w:pStyle w:val="BodyText"/>
        <w:spacing w:before="157" w:line="259" w:lineRule="auto"/>
        <w:ind w:left="119" w:right="441"/>
        <w:jc w:val="both"/>
      </w:pPr>
      <w:r>
        <w:t>The proposed endorsed components meet the requirements for the Standards for Training Packages</w:t>
      </w:r>
      <w:r>
        <w:rPr>
          <w:spacing w:val="-16"/>
        </w:rPr>
        <w:t xml:space="preserve"> </w:t>
      </w:r>
      <w:r>
        <w:t>2012</w:t>
      </w:r>
      <w:r>
        <w:rPr>
          <w:spacing w:val="-14"/>
        </w:rPr>
        <w:t xml:space="preserve"> </w:t>
      </w:r>
      <w:r>
        <w:t>and</w:t>
      </w:r>
      <w:r>
        <w:rPr>
          <w:spacing w:val="-15"/>
        </w:rPr>
        <w:t xml:space="preserve"> </w:t>
      </w:r>
      <w:r>
        <w:t>have</w:t>
      </w:r>
      <w:r>
        <w:rPr>
          <w:spacing w:val="-15"/>
        </w:rPr>
        <w:t xml:space="preserve"> </w:t>
      </w:r>
      <w:r>
        <w:t>been</w:t>
      </w:r>
      <w:r>
        <w:rPr>
          <w:spacing w:val="-16"/>
        </w:rPr>
        <w:t xml:space="preserve"> </w:t>
      </w:r>
      <w:r>
        <w:t>uploaded</w:t>
      </w:r>
      <w:r>
        <w:rPr>
          <w:spacing w:val="-15"/>
        </w:rPr>
        <w:t xml:space="preserve"> </w:t>
      </w:r>
      <w:r>
        <w:t>onto</w:t>
      </w:r>
      <w:r>
        <w:rPr>
          <w:spacing w:val="-15"/>
        </w:rPr>
        <w:t xml:space="preserve"> </w:t>
      </w:r>
      <w:r>
        <w:t>the</w:t>
      </w:r>
      <w:r>
        <w:rPr>
          <w:spacing w:val="-14"/>
        </w:rPr>
        <w:t xml:space="preserve"> </w:t>
      </w:r>
      <w:r>
        <w:t>National</w:t>
      </w:r>
      <w:r>
        <w:rPr>
          <w:spacing w:val="-14"/>
        </w:rPr>
        <w:t xml:space="preserve"> </w:t>
      </w:r>
      <w:r>
        <w:t>Register</w:t>
      </w:r>
      <w:r>
        <w:rPr>
          <w:spacing w:val="-15"/>
        </w:rPr>
        <w:t xml:space="preserve"> </w:t>
      </w:r>
      <w:r>
        <w:t>through</w:t>
      </w:r>
      <w:r>
        <w:rPr>
          <w:spacing w:val="-14"/>
        </w:rPr>
        <w:t xml:space="preserve"> </w:t>
      </w:r>
      <w:r>
        <w:t>the</w:t>
      </w:r>
      <w:r>
        <w:rPr>
          <w:spacing w:val="-15"/>
        </w:rPr>
        <w:t xml:space="preserve"> </w:t>
      </w:r>
      <w:r>
        <w:t>Training</w:t>
      </w:r>
      <w:r>
        <w:rPr>
          <w:spacing w:val="-15"/>
        </w:rPr>
        <w:t xml:space="preserve"> </w:t>
      </w:r>
      <w:r>
        <w:t>Package Content Management System (TPCMS) and published on Training.gov.au</w:t>
      </w:r>
      <w:r>
        <w:rPr>
          <w:spacing w:val="-15"/>
        </w:rPr>
        <w:t xml:space="preserve"> </w:t>
      </w:r>
      <w:r>
        <w:t>(TGA).</w:t>
      </w:r>
    </w:p>
    <w:p w14:paraId="4BB31E64" w14:textId="77777777" w:rsidR="008A2EDE" w:rsidRDefault="00A50BD3">
      <w:pPr>
        <w:pStyle w:val="Heading7"/>
        <w:spacing w:before="162"/>
      </w:pPr>
      <w:r>
        <w:t>Advice on downstream effects of the change</w:t>
      </w:r>
    </w:p>
    <w:p w14:paraId="31A1C59C" w14:textId="77777777" w:rsidR="008A2EDE" w:rsidRDefault="00A50BD3">
      <w:pPr>
        <w:pStyle w:val="BodyText"/>
        <w:spacing w:before="182" w:line="259" w:lineRule="auto"/>
        <w:ind w:left="119" w:right="439"/>
        <w:jc w:val="both"/>
      </w:pPr>
      <w:r>
        <w:t>STAs have been informed throughout the project via email and newsletters. The updated qualifications maintain equivalency with their preceding qualifications. It is therefore reasonable to suggest that implications for registered training organisations (RTOs) will be minimal.</w:t>
      </w:r>
    </w:p>
    <w:p w14:paraId="2626BF00" w14:textId="77777777" w:rsidR="008A2EDE" w:rsidRDefault="00A50BD3">
      <w:pPr>
        <w:pStyle w:val="BodyText"/>
        <w:spacing w:before="160" w:line="256" w:lineRule="auto"/>
        <w:ind w:left="119" w:right="439"/>
        <w:jc w:val="both"/>
      </w:pPr>
      <w:r>
        <w:t>Public and private RTOs will need to redevelop their existing support materials which were aligned with the previous qualifications and units.</w:t>
      </w:r>
    </w:p>
    <w:p w14:paraId="377A27DC" w14:textId="77777777" w:rsidR="008A2EDE" w:rsidRDefault="008A2EDE">
      <w:pPr>
        <w:spacing w:line="256" w:lineRule="auto"/>
        <w:jc w:val="both"/>
        <w:sectPr w:rsidR="008A2EDE">
          <w:pgSz w:w="11900" w:h="16840"/>
          <w:pgMar w:top="1440" w:right="1260" w:bottom="820" w:left="1580" w:header="0" w:footer="638" w:gutter="0"/>
          <w:cols w:space="720"/>
        </w:sectPr>
      </w:pPr>
    </w:p>
    <w:p w14:paraId="6457F9FD" w14:textId="77777777" w:rsidR="008A2EDE" w:rsidRDefault="00A50BD3" w:rsidP="005056E0">
      <w:pPr>
        <w:pStyle w:val="Heading1"/>
        <w:numPr>
          <w:ilvl w:val="0"/>
          <w:numId w:val="3"/>
        </w:numPr>
        <w:tabs>
          <w:tab w:val="left" w:pos="480"/>
        </w:tabs>
        <w:spacing w:before="77"/>
      </w:pPr>
      <w:bookmarkStart w:id="6" w:name="_Toc23938251"/>
      <w:r>
        <w:rPr>
          <w:color w:val="A2A9AF"/>
        </w:rPr>
        <w:lastRenderedPageBreak/>
        <w:t>Quality assurance</w:t>
      </w:r>
      <w:r>
        <w:rPr>
          <w:color w:val="A2A9AF"/>
          <w:spacing w:val="-3"/>
        </w:rPr>
        <w:t xml:space="preserve"> </w:t>
      </w:r>
      <w:r>
        <w:rPr>
          <w:color w:val="A2A9AF"/>
        </w:rPr>
        <w:t>reports</w:t>
      </w:r>
      <w:bookmarkEnd w:id="6"/>
    </w:p>
    <w:p w14:paraId="1E1E3B4D" w14:textId="77777777" w:rsidR="008A2EDE" w:rsidRDefault="00A50BD3">
      <w:pPr>
        <w:pStyle w:val="BodyText"/>
        <w:spacing w:before="305" w:line="480" w:lineRule="auto"/>
        <w:ind w:left="119" w:right="2498"/>
      </w:pPr>
      <w:r>
        <w:t>Editorial and Equity Reports have been undertaken by Anna Henderson. The Quality Assurance Report has been undertaken by Maree Thorne.</w:t>
      </w:r>
    </w:p>
    <w:p w14:paraId="08D5AB07" w14:textId="77777777" w:rsidR="008A2EDE" w:rsidRDefault="00A50BD3">
      <w:pPr>
        <w:pStyle w:val="Heading3"/>
        <w:spacing w:line="338" w:lineRule="exact"/>
      </w:pPr>
      <w:r>
        <w:t>Declaration</w:t>
      </w:r>
    </w:p>
    <w:p w14:paraId="080EEBE9" w14:textId="77777777" w:rsidR="008A2EDE" w:rsidRDefault="00A50BD3">
      <w:pPr>
        <w:pStyle w:val="BodyText"/>
        <w:spacing w:before="272"/>
        <w:ind w:left="119" w:right="711"/>
      </w:pPr>
      <w:r>
        <w:t>Artibus Innovation declares that the proposed training package component(s) meet the requirements of the Standards for Training Packages 2012, Training Package Products Policy and Training Package Development and Endorsement Process Policy.</w:t>
      </w:r>
    </w:p>
    <w:p w14:paraId="3F7CFE3F" w14:textId="77777777" w:rsidR="008A2EDE" w:rsidRDefault="008A2EDE">
      <w:pPr>
        <w:pStyle w:val="BodyText"/>
        <w:spacing w:before="8"/>
        <w:rPr>
          <w:sz w:val="21"/>
        </w:rPr>
      </w:pPr>
    </w:p>
    <w:p w14:paraId="39327DFF" w14:textId="77777777" w:rsidR="008A2EDE" w:rsidRDefault="00A50BD3">
      <w:pPr>
        <w:pStyle w:val="BodyText"/>
        <w:spacing w:before="1"/>
        <w:ind w:left="119" w:right="452"/>
      </w:pPr>
      <w:r>
        <w:t>The CPC Construction, Plumbing and Services Training Package Version 5.0 Companion Volume Implementation Guide has been quality assured and can be located on the VETNet website at:</w:t>
      </w:r>
    </w:p>
    <w:p w14:paraId="61186192" w14:textId="77777777" w:rsidR="008A2EDE" w:rsidRDefault="008A2EDE">
      <w:pPr>
        <w:pStyle w:val="BodyText"/>
        <w:spacing w:before="10"/>
        <w:rPr>
          <w:sz w:val="21"/>
        </w:rPr>
      </w:pPr>
    </w:p>
    <w:p w14:paraId="7F64183E" w14:textId="77777777" w:rsidR="008A2EDE" w:rsidRDefault="00A50BD3" w:rsidP="005056E0">
      <w:pPr>
        <w:pStyle w:val="ListParagraph"/>
        <w:numPr>
          <w:ilvl w:val="1"/>
          <w:numId w:val="3"/>
        </w:numPr>
        <w:tabs>
          <w:tab w:val="left" w:pos="839"/>
          <w:tab w:val="left" w:pos="840"/>
        </w:tabs>
        <w:spacing w:line="244" w:lineRule="auto"/>
        <w:ind w:left="839" w:right="782"/>
        <w:rPr>
          <w:rFonts w:ascii="Symbol" w:hAnsi="Symbol"/>
        </w:rPr>
      </w:pPr>
      <w:r>
        <w:rPr>
          <w:color w:val="1F3864"/>
          <w:spacing w:val="-1"/>
          <w:u w:val="single" w:color="1F3864"/>
        </w:rPr>
        <w:t xml:space="preserve">https://vetnet.education.gov.au/Pages/TrainingDocs.aspx?q=7e15fa6a-68b8-4097- </w:t>
      </w:r>
      <w:r>
        <w:rPr>
          <w:color w:val="1F3864"/>
          <w:u w:val="single" w:color="1F3864"/>
        </w:rPr>
        <w:t>b099-030a5569b1ad</w:t>
      </w:r>
    </w:p>
    <w:p w14:paraId="3E030C8B" w14:textId="77777777" w:rsidR="008A2EDE" w:rsidRDefault="008A2EDE">
      <w:pPr>
        <w:pStyle w:val="BodyText"/>
        <w:spacing w:before="10"/>
        <w:rPr>
          <w:sz w:val="19"/>
        </w:rPr>
      </w:pPr>
    </w:p>
    <w:p w14:paraId="1604FA74" w14:textId="77777777" w:rsidR="008A2EDE" w:rsidRDefault="00A50BD3" w:rsidP="005056E0">
      <w:pPr>
        <w:pStyle w:val="ListParagraph"/>
        <w:numPr>
          <w:ilvl w:val="1"/>
          <w:numId w:val="3"/>
        </w:numPr>
        <w:tabs>
          <w:tab w:val="left" w:pos="839"/>
          <w:tab w:val="left" w:pos="840"/>
        </w:tabs>
        <w:ind w:left="839"/>
        <w:rPr>
          <w:rFonts w:ascii="Symbol" w:hAnsi="Symbol"/>
        </w:rPr>
      </w:pPr>
      <w:r>
        <w:t>Artibus Innovation official website, through an external link:</w:t>
      </w:r>
      <w:r>
        <w:rPr>
          <w:color w:val="1F3864"/>
          <w:spacing w:val="-18"/>
        </w:rPr>
        <w:t xml:space="preserve"> </w:t>
      </w:r>
      <w:hyperlink r:id="rId22">
        <w:r>
          <w:rPr>
            <w:color w:val="1F3864"/>
            <w:u w:val="single" w:color="1F3864"/>
          </w:rPr>
          <w:t>www.artibus.com.au</w:t>
        </w:r>
        <w:r>
          <w:t>.</w:t>
        </w:r>
      </w:hyperlink>
    </w:p>
    <w:p w14:paraId="5808F254" w14:textId="77777777" w:rsidR="008A2EDE" w:rsidRDefault="008A2EDE">
      <w:pPr>
        <w:rPr>
          <w:rFonts w:ascii="Symbol" w:hAnsi="Symbol"/>
        </w:rPr>
        <w:sectPr w:rsidR="008A2EDE">
          <w:pgSz w:w="11900" w:h="16840"/>
          <w:pgMar w:top="1360" w:right="1260" w:bottom="820" w:left="1580" w:header="0" w:footer="638" w:gutter="0"/>
          <w:cols w:space="720"/>
        </w:sectPr>
      </w:pPr>
    </w:p>
    <w:p w14:paraId="6A457793" w14:textId="77777777" w:rsidR="008A2EDE" w:rsidRDefault="00A50BD3" w:rsidP="005056E0">
      <w:pPr>
        <w:pStyle w:val="Heading1"/>
        <w:numPr>
          <w:ilvl w:val="0"/>
          <w:numId w:val="3"/>
        </w:numPr>
        <w:tabs>
          <w:tab w:val="left" w:pos="480"/>
        </w:tabs>
        <w:spacing w:line="259" w:lineRule="auto"/>
        <w:ind w:right="440"/>
      </w:pPr>
      <w:bookmarkStart w:id="7" w:name="_Toc23938252"/>
      <w:r>
        <w:rPr>
          <w:color w:val="A2A9AF"/>
        </w:rPr>
        <w:lastRenderedPageBreak/>
        <w:t>Implementation of the COAG Industry Skills Council reforms to training</w:t>
      </w:r>
      <w:r>
        <w:rPr>
          <w:color w:val="A2A9AF"/>
          <w:spacing w:val="-2"/>
        </w:rPr>
        <w:t xml:space="preserve"> </w:t>
      </w:r>
      <w:r>
        <w:rPr>
          <w:color w:val="A2A9AF"/>
        </w:rPr>
        <w:t>packages</w:t>
      </w:r>
      <w:bookmarkEnd w:id="7"/>
    </w:p>
    <w:p w14:paraId="16C57331" w14:textId="77777777" w:rsidR="00607F6E" w:rsidRDefault="00607F6E" w:rsidP="00607F6E">
      <w:pPr>
        <w:pStyle w:val="ListParagraph"/>
        <w:ind w:left="479" w:firstLine="0"/>
        <w:jc w:val="both"/>
      </w:pPr>
    </w:p>
    <w:p w14:paraId="263B2F0A" w14:textId="2E219BE3" w:rsidR="00607F6E" w:rsidRDefault="00607F6E" w:rsidP="00607F6E">
      <w:pPr>
        <w:pStyle w:val="ListParagraph"/>
        <w:ind w:left="479" w:firstLine="0"/>
        <w:jc w:val="both"/>
      </w:pPr>
      <w:r w:rsidRPr="00276141">
        <w:t xml:space="preserve">The </w:t>
      </w:r>
      <w:r>
        <w:t xml:space="preserve">table below demonstrates the alignment of the </w:t>
      </w:r>
      <w:r w:rsidR="00013983">
        <w:t>training package</w:t>
      </w:r>
      <w:r>
        <w:t xml:space="preserve"> components of the </w:t>
      </w:r>
      <w:r w:rsidRPr="00607F6E">
        <w:rPr>
          <w:iCs/>
          <w:color w:val="000000" w:themeColor="text1"/>
        </w:rPr>
        <w:t xml:space="preserve">CPC Construction, Plumbing and Services Training Package Release </w:t>
      </w:r>
      <w:r w:rsidR="007F03C9">
        <w:rPr>
          <w:iCs/>
          <w:color w:val="000000" w:themeColor="text1"/>
        </w:rPr>
        <w:t>6</w:t>
      </w:r>
      <w:r w:rsidRPr="00607F6E">
        <w:rPr>
          <w:iCs/>
          <w:color w:val="000000" w:themeColor="text1"/>
        </w:rPr>
        <w:t xml:space="preserve">.0 </w:t>
      </w:r>
      <w:r>
        <w:t>with the COAG Industry Skills Council reforms to training packages.</w:t>
      </w:r>
    </w:p>
    <w:p w14:paraId="2A27FEAF" w14:textId="77777777" w:rsidR="008A2EDE" w:rsidRDefault="008A2EDE">
      <w:pPr>
        <w:pStyle w:val="BodyText"/>
        <w:rPr>
          <w:b/>
          <w:sz w:val="24"/>
        </w:rPr>
      </w:pPr>
    </w:p>
    <w:p w14:paraId="6435C9E6" w14:textId="77777777" w:rsidR="008A2EDE" w:rsidRDefault="008A2EDE">
      <w:pPr>
        <w:pStyle w:val="BodyText"/>
        <w:spacing w:before="11"/>
        <w:rPr>
          <w:sz w:val="21"/>
        </w:rPr>
      </w:pPr>
    </w:p>
    <w:tbl>
      <w:tblPr>
        <w:tblW w:w="0" w:type="auto"/>
        <w:tblInd w:w="1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987"/>
        <w:gridCol w:w="4654"/>
      </w:tblGrid>
      <w:tr w:rsidR="00607F6E" w:rsidRPr="00276141" w14:paraId="2F4C09D0" w14:textId="77777777" w:rsidTr="00607F6E">
        <w:trPr>
          <w:trHeight w:val="1074"/>
        </w:trPr>
        <w:tc>
          <w:tcPr>
            <w:tcW w:w="3987" w:type="dxa"/>
            <w:tcBorders>
              <w:top w:val="single" w:sz="4" w:space="0" w:color="BFBFBF"/>
              <w:left w:val="single" w:sz="4" w:space="0" w:color="BFBFBF"/>
              <w:bottom w:val="single" w:sz="4" w:space="0" w:color="BFBFBF"/>
              <w:right w:val="single" w:sz="4" w:space="0" w:color="BFBFBF"/>
            </w:tcBorders>
          </w:tcPr>
          <w:p w14:paraId="29CED5DB" w14:textId="5B39638D" w:rsidR="00607F6E" w:rsidRPr="00607F6E" w:rsidRDefault="00607F6E" w:rsidP="00346F96">
            <w:pPr>
              <w:pStyle w:val="TableParagraph"/>
              <w:spacing w:before="1"/>
              <w:ind w:left="470" w:right="321"/>
            </w:pPr>
            <w:r w:rsidRPr="00607F6E">
              <w:t>Reform</w:t>
            </w:r>
          </w:p>
        </w:tc>
        <w:tc>
          <w:tcPr>
            <w:tcW w:w="4654" w:type="dxa"/>
            <w:tcBorders>
              <w:top w:val="single" w:sz="4" w:space="0" w:color="BFBFBF"/>
              <w:left w:val="single" w:sz="4" w:space="0" w:color="BFBFBF"/>
              <w:bottom w:val="single" w:sz="4" w:space="0" w:color="BFBFBF"/>
              <w:right w:val="single" w:sz="4" w:space="0" w:color="BFBFBF"/>
            </w:tcBorders>
          </w:tcPr>
          <w:p w14:paraId="7EEEEECC" w14:textId="43ACEE3E" w:rsidR="00607F6E" w:rsidRPr="00607F6E" w:rsidRDefault="00607F6E" w:rsidP="00346F96">
            <w:pPr>
              <w:pStyle w:val="TableParagraph"/>
            </w:pPr>
            <w:r w:rsidRPr="00607F6E">
              <w:t>Evidence of reform being addressed</w:t>
            </w:r>
          </w:p>
        </w:tc>
      </w:tr>
      <w:tr w:rsidR="00607F6E" w:rsidRPr="00276141" w14:paraId="0E9C6BAC" w14:textId="77777777" w:rsidTr="00607F6E">
        <w:trPr>
          <w:trHeight w:val="1074"/>
        </w:trPr>
        <w:tc>
          <w:tcPr>
            <w:tcW w:w="3987" w:type="dxa"/>
            <w:tcBorders>
              <w:top w:val="single" w:sz="4" w:space="0" w:color="BFBFBF"/>
              <w:left w:val="single" w:sz="4" w:space="0" w:color="BFBFBF"/>
              <w:bottom w:val="single" w:sz="4" w:space="0" w:color="BFBFBF"/>
              <w:right w:val="single" w:sz="4" w:space="0" w:color="BFBFBF"/>
            </w:tcBorders>
          </w:tcPr>
          <w:p w14:paraId="1321343A" w14:textId="77777777" w:rsidR="00607F6E" w:rsidRPr="00607F6E" w:rsidRDefault="00607F6E" w:rsidP="005056E0">
            <w:pPr>
              <w:pStyle w:val="ListParagraph"/>
              <w:keepNext/>
              <w:keepLines/>
              <w:widowControl/>
              <w:numPr>
                <w:ilvl w:val="0"/>
                <w:numId w:val="32"/>
              </w:numPr>
              <w:autoSpaceDE/>
              <w:autoSpaceDN/>
              <w:contextualSpacing/>
            </w:pPr>
            <w:r w:rsidRPr="00607F6E">
              <w:t>Remove obsolete and superfluous qualifications from the system</w:t>
            </w:r>
          </w:p>
        </w:tc>
        <w:tc>
          <w:tcPr>
            <w:tcW w:w="4654" w:type="dxa"/>
            <w:tcBorders>
              <w:top w:val="single" w:sz="4" w:space="0" w:color="BFBFBF"/>
              <w:left w:val="single" w:sz="4" w:space="0" w:color="BFBFBF"/>
              <w:bottom w:val="single" w:sz="4" w:space="0" w:color="BFBFBF"/>
              <w:right w:val="single" w:sz="4" w:space="0" w:color="BFBFBF"/>
            </w:tcBorders>
          </w:tcPr>
          <w:p w14:paraId="7BDD495E" w14:textId="5C3C8814" w:rsidR="00607F6E" w:rsidRPr="00607F6E" w:rsidRDefault="00607F6E" w:rsidP="00346F96">
            <w:pPr>
              <w:pStyle w:val="TableParagraph"/>
            </w:pPr>
            <w:r w:rsidRPr="00607F6E">
              <w:t>No qualification has been removed.</w:t>
            </w:r>
          </w:p>
          <w:p w14:paraId="7354931B" w14:textId="77777777" w:rsidR="00607F6E" w:rsidRPr="00607F6E" w:rsidRDefault="00607F6E" w:rsidP="00346F96">
            <w:pPr>
              <w:pStyle w:val="TableParagraph"/>
            </w:pPr>
            <w:r w:rsidRPr="00607F6E">
              <w:t>However, the CPC40808 Certificate IV in Swimming Pool and Spa Building has been revised and made more relevant for the industry.</w:t>
            </w:r>
          </w:p>
        </w:tc>
      </w:tr>
      <w:tr w:rsidR="00607F6E" w:rsidRPr="00276141" w14:paraId="739E88AD" w14:textId="77777777" w:rsidTr="00607F6E">
        <w:trPr>
          <w:trHeight w:val="1074"/>
        </w:trPr>
        <w:tc>
          <w:tcPr>
            <w:tcW w:w="3987" w:type="dxa"/>
            <w:tcBorders>
              <w:top w:val="single" w:sz="4" w:space="0" w:color="BFBFBF"/>
              <w:left w:val="single" w:sz="4" w:space="0" w:color="BFBFBF"/>
              <w:bottom w:val="single" w:sz="4" w:space="0" w:color="BFBFBF"/>
              <w:right w:val="single" w:sz="4" w:space="0" w:color="BFBFBF"/>
            </w:tcBorders>
          </w:tcPr>
          <w:p w14:paraId="21DB5883" w14:textId="77777777" w:rsidR="00607F6E" w:rsidRPr="00607F6E" w:rsidRDefault="00607F6E" w:rsidP="005056E0">
            <w:pPr>
              <w:pStyle w:val="ListParagraph"/>
              <w:keepNext/>
              <w:keepLines/>
              <w:widowControl/>
              <w:numPr>
                <w:ilvl w:val="0"/>
                <w:numId w:val="32"/>
              </w:numPr>
              <w:autoSpaceDE/>
              <w:autoSpaceDN/>
              <w:contextualSpacing/>
            </w:pPr>
            <w:r w:rsidRPr="00607F6E">
              <w:t>Make more information about industry’s expectations of training delivery available</w:t>
            </w:r>
          </w:p>
        </w:tc>
        <w:tc>
          <w:tcPr>
            <w:tcW w:w="4654" w:type="dxa"/>
            <w:tcBorders>
              <w:top w:val="single" w:sz="4" w:space="0" w:color="BFBFBF"/>
              <w:left w:val="single" w:sz="4" w:space="0" w:color="BFBFBF"/>
              <w:bottom w:val="single" w:sz="4" w:space="0" w:color="BFBFBF"/>
              <w:right w:val="single" w:sz="4" w:space="0" w:color="BFBFBF"/>
            </w:tcBorders>
          </w:tcPr>
          <w:p w14:paraId="76DF67D0" w14:textId="193D5304" w:rsidR="00607F6E" w:rsidRPr="00607F6E" w:rsidRDefault="00607F6E" w:rsidP="00346F96">
            <w:pPr>
              <w:pStyle w:val="TableParagraph"/>
            </w:pPr>
            <w:r w:rsidRPr="00607F6E">
              <w:t>The ten new units address the swimming pool and spa building industry’s expectations of training.</w:t>
            </w:r>
          </w:p>
        </w:tc>
      </w:tr>
      <w:tr w:rsidR="00607F6E" w:rsidRPr="00276141" w14:paraId="73D9B111" w14:textId="77777777" w:rsidTr="00607F6E">
        <w:trPr>
          <w:trHeight w:val="1074"/>
        </w:trPr>
        <w:tc>
          <w:tcPr>
            <w:tcW w:w="3987" w:type="dxa"/>
            <w:tcBorders>
              <w:top w:val="single" w:sz="4" w:space="0" w:color="BFBFBF"/>
              <w:left w:val="single" w:sz="4" w:space="0" w:color="BFBFBF"/>
              <w:bottom w:val="single" w:sz="4" w:space="0" w:color="BFBFBF"/>
              <w:right w:val="single" w:sz="4" w:space="0" w:color="BFBFBF"/>
            </w:tcBorders>
          </w:tcPr>
          <w:p w14:paraId="23EE4744" w14:textId="77777777" w:rsidR="00607F6E" w:rsidRPr="00607F6E" w:rsidRDefault="00607F6E" w:rsidP="005056E0">
            <w:pPr>
              <w:pStyle w:val="ListParagraph"/>
              <w:keepNext/>
              <w:keepLines/>
              <w:widowControl/>
              <w:numPr>
                <w:ilvl w:val="0"/>
                <w:numId w:val="32"/>
              </w:numPr>
              <w:autoSpaceDE/>
              <w:autoSpaceDN/>
              <w:contextualSpacing/>
            </w:pPr>
            <w:r w:rsidRPr="00607F6E">
              <w:t>Ensure the training system better supports individuals to move easily from one related occupation to another</w:t>
            </w:r>
          </w:p>
        </w:tc>
        <w:tc>
          <w:tcPr>
            <w:tcW w:w="4654" w:type="dxa"/>
            <w:tcBorders>
              <w:top w:val="single" w:sz="4" w:space="0" w:color="BFBFBF"/>
              <w:left w:val="single" w:sz="4" w:space="0" w:color="BFBFBF"/>
              <w:bottom w:val="single" w:sz="4" w:space="0" w:color="BFBFBF"/>
              <w:right w:val="single" w:sz="4" w:space="0" w:color="BFBFBF"/>
            </w:tcBorders>
          </w:tcPr>
          <w:p w14:paraId="0730BD45" w14:textId="60A67B92" w:rsidR="00607F6E" w:rsidRPr="00607F6E" w:rsidRDefault="00607F6E" w:rsidP="00346F96">
            <w:pPr>
              <w:pStyle w:val="TableParagraph"/>
            </w:pPr>
            <w:r w:rsidRPr="00607F6E">
              <w:t>The inclusion of project management and small business management units of competency in the qualification provides opportunities for people with trade skills to move off the tools into supervisory roles.</w:t>
            </w:r>
          </w:p>
        </w:tc>
      </w:tr>
      <w:tr w:rsidR="00607F6E" w:rsidRPr="00276141" w14:paraId="01139D11" w14:textId="77777777" w:rsidTr="00607F6E">
        <w:trPr>
          <w:trHeight w:val="1074"/>
        </w:trPr>
        <w:tc>
          <w:tcPr>
            <w:tcW w:w="3987" w:type="dxa"/>
            <w:tcBorders>
              <w:top w:val="single" w:sz="4" w:space="0" w:color="BFBFBF"/>
              <w:left w:val="single" w:sz="4" w:space="0" w:color="BFBFBF"/>
              <w:bottom w:val="single" w:sz="4" w:space="0" w:color="BFBFBF"/>
              <w:right w:val="single" w:sz="4" w:space="0" w:color="BFBFBF"/>
            </w:tcBorders>
          </w:tcPr>
          <w:p w14:paraId="016AD171" w14:textId="77777777" w:rsidR="00607F6E" w:rsidRPr="00607F6E" w:rsidRDefault="00607F6E" w:rsidP="005056E0">
            <w:pPr>
              <w:pStyle w:val="ListParagraph"/>
              <w:keepNext/>
              <w:keepLines/>
              <w:widowControl/>
              <w:numPr>
                <w:ilvl w:val="0"/>
                <w:numId w:val="32"/>
              </w:numPr>
              <w:autoSpaceDE/>
              <w:autoSpaceDN/>
              <w:contextualSpacing/>
            </w:pPr>
            <w:r w:rsidRPr="00607F6E">
              <w:t>Improve the efficiency of the training system at unit level</w:t>
            </w:r>
          </w:p>
        </w:tc>
        <w:tc>
          <w:tcPr>
            <w:tcW w:w="4654" w:type="dxa"/>
            <w:tcBorders>
              <w:top w:val="single" w:sz="4" w:space="0" w:color="BFBFBF"/>
              <w:left w:val="single" w:sz="4" w:space="0" w:color="BFBFBF"/>
              <w:bottom w:val="single" w:sz="4" w:space="0" w:color="BFBFBF"/>
              <w:right w:val="single" w:sz="4" w:space="0" w:color="BFBFBF"/>
            </w:tcBorders>
          </w:tcPr>
          <w:p w14:paraId="79F17DB1" w14:textId="6DDF75F0" w:rsidR="00607F6E" w:rsidRPr="00607F6E" w:rsidRDefault="00607F6E" w:rsidP="00346F96">
            <w:pPr>
              <w:pStyle w:val="TableParagraph"/>
            </w:pPr>
            <w:r w:rsidRPr="00607F6E">
              <w:t>Two units have been proposed for deletion from the national register:</w:t>
            </w:r>
          </w:p>
          <w:p w14:paraId="406FDE7F" w14:textId="77777777" w:rsidR="00607F6E" w:rsidRPr="00607F6E" w:rsidRDefault="00607F6E" w:rsidP="00346F96">
            <w:pPr>
              <w:pStyle w:val="TableParagraph"/>
            </w:pPr>
            <w:r w:rsidRPr="00607F6E">
              <w:t>CPCCBC4048A Apply building codes and standards to the construction process for swimming pools and spas. Compliance with building codes and standards relevant to swimming pool and spa building is embedded in relevant new units, which ensures that important concepts are applied in context.</w:t>
            </w:r>
          </w:p>
          <w:p w14:paraId="1EB7826F" w14:textId="77777777" w:rsidR="00607F6E" w:rsidRPr="00607F6E" w:rsidRDefault="00607F6E" w:rsidP="00346F96">
            <w:pPr>
              <w:pStyle w:val="TableParagraph"/>
            </w:pPr>
            <w:r w:rsidRPr="00607F6E">
              <w:t>CPCCBC4049A Apply structural principles to construction of swimming pools and spas. Content is embedded in CPCSPS4001 Investigate and prepare swimming pool site and in other relevant units so that structural principles are applied in context.</w:t>
            </w:r>
          </w:p>
        </w:tc>
      </w:tr>
      <w:tr w:rsidR="00607F6E" w:rsidRPr="00276141" w14:paraId="0DA1B1F6" w14:textId="77777777" w:rsidTr="00607F6E">
        <w:trPr>
          <w:trHeight w:val="1074"/>
        </w:trPr>
        <w:tc>
          <w:tcPr>
            <w:tcW w:w="3987" w:type="dxa"/>
            <w:tcBorders>
              <w:top w:val="single" w:sz="4" w:space="0" w:color="BFBFBF"/>
              <w:left w:val="single" w:sz="4" w:space="0" w:color="BFBFBF"/>
              <w:bottom w:val="single" w:sz="4" w:space="0" w:color="BFBFBF"/>
              <w:right w:val="single" w:sz="4" w:space="0" w:color="BFBFBF"/>
            </w:tcBorders>
          </w:tcPr>
          <w:p w14:paraId="687D4640" w14:textId="77777777" w:rsidR="00607F6E" w:rsidRPr="00607F6E" w:rsidRDefault="00607F6E" w:rsidP="005056E0">
            <w:pPr>
              <w:pStyle w:val="ListParagraph"/>
              <w:keepNext/>
              <w:keepLines/>
              <w:widowControl/>
              <w:numPr>
                <w:ilvl w:val="0"/>
                <w:numId w:val="32"/>
              </w:numPr>
              <w:autoSpaceDE/>
              <w:autoSpaceDN/>
              <w:contextualSpacing/>
            </w:pPr>
            <w:r w:rsidRPr="00607F6E">
              <w:t>Foster greater recognition of skill sets</w:t>
            </w:r>
          </w:p>
        </w:tc>
        <w:tc>
          <w:tcPr>
            <w:tcW w:w="4654" w:type="dxa"/>
            <w:tcBorders>
              <w:top w:val="single" w:sz="4" w:space="0" w:color="BFBFBF"/>
              <w:left w:val="single" w:sz="4" w:space="0" w:color="BFBFBF"/>
              <w:bottom w:val="single" w:sz="4" w:space="0" w:color="BFBFBF"/>
              <w:right w:val="single" w:sz="4" w:space="0" w:color="BFBFBF"/>
            </w:tcBorders>
          </w:tcPr>
          <w:p w14:paraId="28FD047B" w14:textId="30BC7997" w:rsidR="00607F6E" w:rsidRPr="00607F6E" w:rsidRDefault="00607F6E" w:rsidP="00346F96">
            <w:pPr>
              <w:pStyle w:val="TableParagraph"/>
            </w:pPr>
            <w:r w:rsidRPr="00607F6E">
              <w:t>While skill sets have not been formally identified as part of this project, the range of units in the qualification would enable RTOs to create their own skills to suit individual learners or enterprises.</w:t>
            </w:r>
          </w:p>
        </w:tc>
      </w:tr>
    </w:tbl>
    <w:p w14:paraId="2B348879" w14:textId="77777777" w:rsidR="008A2EDE" w:rsidRDefault="008A2EDE">
      <w:pPr>
        <w:pStyle w:val="BodyText"/>
        <w:spacing w:before="12"/>
        <w:rPr>
          <w:sz w:val="13"/>
        </w:rPr>
      </w:pPr>
    </w:p>
    <w:p w14:paraId="5093381D" w14:textId="77777777" w:rsidR="008A4E78" w:rsidRDefault="008A4E78">
      <w:pPr>
        <w:pStyle w:val="Heading5"/>
        <w:ind w:left="119"/>
        <w:sectPr w:rsidR="008A4E78">
          <w:pgSz w:w="11900" w:h="16840"/>
          <w:pgMar w:top="1440" w:right="1260" w:bottom="820" w:left="1580" w:header="0" w:footer="638" w:gutter="0"/>
          <w:cols w:space="720"/>
        </w:sectPr>
      </w:pPr>
    </w:p>
    <w:p w14:paraId="2BD7B201" w14:textId="0CD488DD" w:rsidR="008A4E78" w:rsidRDefault="008A4E78">
      <w:pPr>
        <w:pStyle w:val="Heading5"/>
        <w:ind w:left="119"/>
      </w:pPr>
    </w:p>
    <w:p w14:paraId="1964633D" w14:textId="229AE88A" w:rsidR="008A2EDE" w:rsidRDefault="00A50BD3">
      <w:pPr>
        <w:pStyle w:val="Heading5"/>
        <w:ind w:left="119"/>
      </w:pPr>
      <w:r>
        <w:t>Evidence of completion of the training package development work</w:t>
      </w:r>
    </w:p>
    <w:p w14:paraId="3B3FCBC0" w14:textId="77777777" w:rsidR="008A2EDE" w:rsidRDefault="008A2EDE">
      <w:pPr>
        <w:pStyle w:val="BodyText"/>
        <w:spacing w:before="11"/>
        <w:rPr>
          <w:b/>
          <w:sz w:val="23"/>
        </w:rPr>
      </w:pPr>
    </w:p>
    <w:p w14:paraId="197869DE" w14:textId="4C1171F1" w:rsidR="008A2EDE" w:rsidRDefault="00A50BD3">
      <w:pPr>
        <w:spacing w:line="480" w:lineRule="auto"/>
        <w:ind w:left="119" w:right="1696"/>
        <w:rPr>
          <w:i/>
        </w:rPr>
      </w:pPr>
      <w:r>
        <w:t>This Case for Endorsement will be put forward to the AISC in</w:t>
      </w:r>
      <w:r w:rsidR="00346F96">
        <w:t xml:space="preserve"> </w:t>
      </w:r>
      <w:r w:rsidR="0048015C">
        <w:t>February 2020.</w:t>
      </w:r>
      <w:bookmarkStart w:id="8" w:name="_GoBack"/>
      <w:bookmarkEnd w:id="8"/>
      <w:r>
        <w:t xml:space="preserve"> </w:t>
      </w:r>
      <w:r>
        <w:rPr>
          <w:b/>
          <w:sz w:val="24"/>
        </w:rPr>
        <w:t xml:space="preserve">Evidence that training package components are prepared for publication </w:t>
      </w:r>
      <w:r>
        <w:t xml:space="preserve">The proposed components are currently in pre-publishing mode on the TPSCMS. </w:t>
      </w:r>
      <w:r>
        <w:rPr>
          <w:i/>
        </w:rPr>
        <w:t>Approximate Publication Timeframe</w:t>
      </w:r>
    </w:p>
    <w:p w14:paraId="3B823507" w14:textId="77777777" w:rsidR="008A2EDE" w:rsidRDefault="00A50BD3">
      <w:pPr>
        <w:pStyle w:val="BodyText"/>
        <w:ind w:left="119" w:right="1058"/>
      </w:pPr>
      <w:r>
        <w:t>The endorsed components will be ready for publication on endorsement and the official release of the AISC communique.</w:t>
      </w:r>
    </w:p>
    <w:p w14:paraId="0D391D0C" w14:textId="77777777" w:rsidR="008A2EDE" w:rsidRDefault="008A2EDE">
      <w:pPr>
        <w:sectPr w:rsidR="008A2EDE">
          <w:pgSz w:w="11900" w:h="16840"/>
          <w:pgMar w:top="1440" w:right="1260" w:bottom="820" w:left="1580" w:header="0" w:footer="638" w:gutter="0"/>
          <w:cols w:space="720"/>
        </w:sectPr>
      </w:pPr>
    </w:p>
    <w:p w14:paraId="631BFE1E" w14:textId="77777777" w:rsidR="008A2EDE" w:rsidRDefault="00A50BD3" w:rsidP="005056E0">
      <w:pPr>
        <w:pStyle w:val="Heading1"/>
        <w:numPr>
          <w:ilvl w:val="0"/>
          <w:numId w:val="3"/>
        </w:numPr>
        <w:tabs>
          <w:tab w:val="left" w:pos="480"/>
        </w:tabs>
      </w:pPr>
      <w:bookmarkStart w:id="9" w:name="_Toc23938253"/>
      <w:r>
        <w:rPr>
          <w:color w:val="A2A9AF"/>
        </w:rPr>
        <w:lastRenderedPageBreak/>
        <w:t>Proposed training package</w:t>
      </w:r>
      <w:r>
        <w:rPr>
          <w:color w:val="A2A9AF"/>
          <w:spacing w:val="-4"/>
        </w:rPr>
        <w:t xml:space="preserve"> </w:t>
      </w:r>
      <w:r>
        <w:rPr>
          <w:color w:val="A2A9AF"/>
        </w:rPr>
        <w:t>components</w:t>
      </w:r>
      <w:bookmarkEnd w:id="9"/>
    </w:p>
    <w:p w14:paraId="43F0BDE8" w14:textId="77777777" w:rsidR="008A2EDE" w:rsidRDefault="00A50BD3">
      <w:pPr>
        <w:pStyle w:val="Heading7"/>
        <w:spacing w:before="300"/>
      </w:pPr>
      <w:r>
        <w:t>Qualification mapping</w:t>
      </w:r>
    </w:p>
    <w:p w14:paraId="05B25489" w14:textId="77777777" w:rsidR="008A2EDE" w:rsidRDefault="008A2EDE">
      <w:pPr>
        <w:pStyle w:val="BodyText"/>
        <w:spacing w:before="11"/>
        <w:rPr>
          <w:b/>
          <w:sz w:val="21"/>
        </w:rPr>
      </w:pPr>
    </w:p>
    <w:tbl>
      <w:tblPr>
        <w:tblW w:w="0" w:type="auto"/>
        <w:tblInd w:w="1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2539"/>
        <w:gridCol w:w="2918"/>
        <w:gridCol w:w="1377"/>
      </w:tblGrid>
      <w:tr w:rsidR="008A2EDE" w14:paraId="653558F4" w14:textId="77777777">
        <w:trPr>
          <w:trHeight w:val="1017"/>
        </w:trPr>
        <w:tc>
          <w:tcPr>
            <w:tcW w:w="1973" w:type="dxa"/>
          </w:tcPr>
          <w:p w14:paraId="2561CAC9" w14:textId="77777777" w:rsidR="008A2EDE" w:rsidRDefault="00A50BD3">
            <w:pPr>
              <w:pStyle w:val="TableParagraph"/>
              <w:spacing w:before="1"/>
              <w:ind w:left="110" w:right="204"/>
              <w:rPr>
                <w:b/>
              </w:rPr>
            </w:pPr>
            <w:r>
              <w:rPr>
                <w:b/>
              </w:rPr>
              <w:t>CPC Construction, Plumbing and</w:t>
            </w:r>
          </w:p>
        </w:tc>
        <w:tc>
          <w:tcPr>
            <w:tcW w:w="2539" w:type="dxa"/>
          </w:tcPr>
          <w:p w14:paraId="33AD51A5" w14:textId="77777777" w:rsidR="008A2EDE" w:rsidRDefault="00A50BD3">
            <w:pPr>
              <w:pStyle w:val="TableParagraph"/>
              <w:spacing w:before="1"/>
              <w:ind w:left="110" w:right="350"/>
              <w:rPr>
                <w:b/>
              </w:rPr>
            </w:pPr>
            <w:r>
              <w:rPr>
                <w:b/>
              </w:rPr>
              <w:t>CPC08 Construction, Plumbing and Services Training Packages</w:t>
            </w:r>
          </w:p>
        </w:tc>
        <w:tc>
          <w:tcPr>
            <w:tcW w:w="2918" w:type="dxa"/>
          </w:tcPr>
          <w:p w14:paraId="1B21EB81" w14:textId="77777777" w:rsidR="008A2EDE" w:rsidRDefault="00A50BD3">
            <w:pPr>
              <w:pStyle w:val="TableParagraph"/>
              <w:spacing w:before="1"/>
              <w:ind w:left="105"/>
              <w:rPr>
                <w:b/>
              </w:rPr>
            </w:pPr>
            <w:r>
              <w:rPr>
                <w:b/>
              </w:rPr>
              <w:t>Comments</w:t>
            </w:r>
          </w:p>
        </w:tc>
        <w:tc>
          <w:tcPr>
            <w:tcW w:w="1377" w:type="dxa"/>
          </w:tcPr>
          <w:p w14:paraId="7F546F0E" w14:textId="77777777" w:rsidR="008A2EDE" w:rsidRDefault="00A50BD3">
            <w:pPr>
              <w:pStyle w:val="TableParagraph"/>
              <w:spacing w:before="1"/>
              <w:ind w:left="110" w:right="147"/>
              <w:rPr>
                <w:b/>
              </w:rPr>
            </w:pPr>
            <w:r>
              <w:rPr>
                <w:b/>
              </w:rPr>
              <w:t>Equivalency Status</w:t>
            </w:r>
          </w:p>
        </w:tc>
      </w:tr>
      <w:tr w:rsidR="008A2EDE" w14:paraId="78055F78" w14:textId="77777777">
        <w:trPr>
          <w:trHeight w:val="1046"/>
        </w:trPr>
        <w:tc>
          <w:tcPr>
            <w:tcW w:w="1973" w:type="dxa"/>
          </w:tcPr>
          <w:p w14:paraId="4AA285FF" w14:textId="28656D36" w:rsidR="008A2EDE" w:rsidRDefault="00A50BD3">
            <w:pPr>
              <w:pStyle w:val="TableParagraph"/>
              <w:spacing w:before="1"/>
              <w:ind w:left="110"/>
            </w:pPr>
            <w:r>
              <w:t>CPC302</w:t>
            </w:r>
            <w:r w:rsidR="00757981">
              <w:t>20</w:t>
            </w:r>
          </w:p>
          <w:p w14:paraId="57FB5D0E" w14:textId="77777777" w:rsidR="008A2EDE" w:rsidRDefault="00A50BD3">
            <w:pPr>
              <w:pStyle w:val="TableParagraph"/>
              <w:ind w:left="110" w:right="484"/>
            </w:pPr>
            <w:r>
              <w:t>Certificate III</w:t>
            </w:r>
            <w:r>
              <w:rPr>
                <w:spacing w:val="-10"/>
              </w:rPr>
              <w:t xml:space="preserve"> </w:t>
            </w:r>
            <w:r>
              <w:t>in Carpentry</w:t>
            </w:r>
          </w:p>
        </w:tc>
        <w:tc>
          <w:tcPr>
            <w:tcW w:w="2539" w:type="dxa"/>
          </w:tcPr>
          <w:p w14:paraId="612DBE9F" w14:textId="77777777" w:rsidR="008A2EDE" w:rsidRDefault="00A50BD3">
            <w:pPr>
              <w:pStyle w:val="TableParagraph"/>
              <w:spacing w:before="1"/>
              <w:ind w:left="110" w:right="84"/>
            </w:pPr>
            <w:r>
              <w:t>CPC30211 Certificate III in Carpentry</w:t>
            </w:r>
          </w:p>
        </w:tc>
        <w:tc>
          <w:tcPr>
            <w:tcW w:w="2918" w:type="dxa"/>
          </w:tcPr>
          <w:p w14:paraId="32F6C01D" w14:textId="77777777" w:rsidR="008A2EDE" w:rsidRDefault="00A50BD3">
            <w:pPr>
              <w:pStyle w:val="TableParagraph"/>
              <w:spacing w:before="1"/>
              <w:ind w:left="105" w:right="137"/>
            </w:pPr>
            <w:r>
              <w:t>Supersedes and equivalent to CPC30211 Certificate III in Carpentry</w:t>
            </w:r>
          </w:p>
        </w:tc>
        <w:tc>
          <w:tcPr>
            <w:tcW w:w="1377" w:type="dxa"/>
          </w:tcPr>
          <w:p w14:paraId="3F34F705" w14:textId="77777777" w:rsidR="008A2EDE" w:rsidRDefault="008A2EDE">
            <w:pPr>
              <w:pStyle w:val="TableParagraph"/>
              <w:spacing w:before="11"/>
              <w:ind w:left="0"/>
              <w:rPr>
                <w:b/>
                <w:sz w:val="31"/>
              </w:rPr>
            </w:pPr>
          </w:p>
          <w:p w14:paraId="6DF55687" w14:textId="77777777" w:rsidR="008A2EDE" w:rsidRDefault="00A50BD3">
            <w:pPr>
              <w:pStyle w:val="TableParagraph"/>
              <w:spacing w:before="1"/>
              <w:ind w:left="14"/>
              <w:jc w:val="center"/>
            </w:pPr>
            <w:r>
              <w:t>E</w:t>
            </w:r>
          </w:p>
        </w:tc>
      </w:tr>
      <w:tr w:rsidR="008A2EDE" w14:paraId="711D8228" w14:textId="77777777">
        <w:trPr>
          <w:trHeight w:val="1017"/>
        </w:trPr>
        <w:tc>
          <w:tcPr>
            <w:tcW w:w="1973" w:type="dxa"/>
          </w:tcPr>
          <w:p w14:paraId="012C6420" w14:textId="05CDBEE1" w:rsidR="008A2EDE" w:rsidRDefault="00A50BD3">
            <w:pPr>
              <w:pStyle w:val="TableParagraph"/>
              <w:spacing w:before="1"/>
              <w:ind w:left="110"/>
            </w:pPr>
            <w:r>
              <w:t>CPC302</w:t>
            </w:r>
            <w:r w:rsidR="00757981">
              <w:t>20</w:t>
            </w:r>
          </w:p>
          <w:p w14:paraId="1F09D7E6" w14:textId="77777777" w:rsidR="008A2EDE" w:rsidRDefault="00A50BD3">
            <w:pPr>
              <w:pStyle w:val="TableParagraph"/>
              <w:ind w:left="110" w:right="474"/>
            </w:pPr>
            <w:r>
              <w:t>Certificate III in Carpentry</w:t>
            </w:r>
          </w:p>
        </w:tc>
        <w:tc>
          <w:tcPr>
            <w:tcW w:w="2539" w:type="dxa"/>
          </w:tcPr>
          <w:p w14:paraId="57AC55D7" w14:textId="77777777" w:rsidR="008A2EDE" w:rsidRDefault="00A50BD3">
            <w:pPr>
              <w:pStyle w:val="TableParagraph"/>
              <w:spacing w:before="1"/>
              <w:ind w:left="110" w:right="84"/>
            </w:pPr>
            <w:r>
              <w:t>CPC32011 Certificate III in Carpentry and Joinery</w:t>
            </w:r>
          </w:p>
        </w:tc>
        <w:tc>
          <w:tcPr>
            <w:tcW w:w="2918" w:type="dxa"/>
          </w:tcPr>
          <w:p w14:paraId="096602CC" w14:textId="77777777" w:rsidR="008A2EDE" w:rsidRDefault="00A50BD3">
            <w:pPr>
              <w:pStyle w:val="TableParagraph"/>
              <w:spacing w:before="1"/>
              <w:ind w:left="105" w:right="137"/>
            </w:pPr>
            <w:r>
              <w:t>Supersedes and equivalent to CPC32011 Certificate III in Carpentry and Joinery.</w:t>
            </w:r>
          </w:p>
        </w:tc>
        <w:tc>
          <w:tcPr>
            <w:tcW w:w="1377" w:type="dxa"/>
          </w:tcPr>
          <w:p w14:paraId="2985F446" w14:textId="77777777" w:rsidR="008A2EDE" w:rsidRDefault="008A2EDE">
            <w:pPr>
              <w:pStyle w:val="TableParagraph"/>
              <w:spacing w:before="9"/>
              <w:ind w:left="0"/>
              <w:rPr>
                <w:b/>
                <w:sz w:val="30"/>
              </w:rPr>
            </w:pPr>
          </w:p>
          <w:p w14:paraId="12F8E2B2" w14:textId="77777777" w:rsidR="008A2EDE" w:rsidRDefault="00A50BD3">
            <w:pPr>
              <w:pStyle w:val="TableParagraph"/>
              <w:ind w:left="14"/>
              <w:jc w:val="center"/>
            </w:pPr>
            <w:r>
              <w:t>E</w:t>
            </w:r>
          </w:p>
        </w:tc>
      </w:tr>
      <w:tr w:rsidR="008A2EDE" w14:paraId="37FFD80A" w14:textId="77777777">
        <w:trPr>
          <w:trHeight w:val="1036"/>
        </w:trPr>
        <w:tc>
          <w:tcPr>
            <w:tcW w:w="1973" w:type="dxa"/>
          </w:tcPr>
          <w:p w14:paraId="14171AEA" w14:textId="6C8C838D" w:rsidR="008A2EDE" w:rsidRDefault="00A50BD3">
            <w:pPr>
              <w:pStyle w:val="TableParagraph"/>
              <w:spacing w:before="1"/>
              <w:ind w:left="110"/>
            </w:pPr>
            <w:r>
              <w:t>CPC302</w:t>
            </w:r>
            <w:r w:rsidR="00757981">
              <w:t>20</w:t>
            </w:r>
          </w:p>
          <w:p w14:paraId="55704984" w14:textId="77777777" w:rsidR="008A2EDE" w:rsidRDefault="00A50BD3">
            <w:pPr>
              <w:pStyle w:val="TableParagraph"/>
              <w:ind w:left="110" w:right="484"/>
            </w:pPr>
            <w:r>
              <w:t>Certificate III</w:t>
            </w:r>
            <w:r>
              <w:rPr>
                <w:spacing w:val="-10"/>
              </w:rPr>
              <w:t xml:space="preserve"> </w:t>
            </w:r>
            <w:r>
              <w:t>in Carpentry</w:t>
            </w:r>
          </w:p>
        </w:tc>
        <w:tc>
          <w:tcPr>
            <w:tcW w:w="2539" w:type="dxa"/>
          </w:tcPr>
          <w:p w14:paraId="4FC123DF" w14:textId="77777777" w:rsidR="008A2EDE" w:rsidRDefault="00A50BD3">
            <w:pPr>
              <w:pStyle w:val="TableParagraph"/>
              <w:spacing w:before="1"/>
              <w:ind w:left="110" w:right="84"/>
            </w:pPr>
            <w:r>
              <w:t>CPC31511 Certificate III in Formwork/Falsework</w:t>
            </w:r>
          </w:p>
        </w:tc>
        <w:tc>
          <w:tcPr>
            <w:tcW w:w="2918" w:type="dxa"/>
          </w:tcPr>
          <w:p w14:paraId="3F89F076" w14:textId="77777777" w:rsidR="008A2EDE" w:rsidRDefault="00A50BD3">
            <w:pPr>
              <w:pStyle w:val="TableParagraph"/>
              <w:spacing w:before="1"/>
              <w:ind w:left="105" w:right="137"/>
            </w:pPr>
            <w:r>
              <w:t>Supersedes and equivalent to CPC31511 Certificate III in Formwork/Falsework</w:t>
            </w:r>
          </w:p>
        </w:tc>
        <w:tc>
          <w:tcPr>
            <w:tcW w:w="1377" w:type="dxa"/>
          </w:tcPr>
          <w:p w14:paraId="29DABF87" w14:textId="77777777" w:rsidR="008A2EDE" w:rsidRDefault="008A2EDE">
            <w:pPr>
              <w:pStyle w:val="TableParagraph"/>
              <w:spacing w:before="7"/>
              <w:ind w:left="0"/>
              <w:rPr>
                <w:b/>
                <w:sz w:val="31"/>
              </w:rPr>
            </w:pPr>
          </w:p>
          <w:p w14:paraId="47F25DA8" w14:textId="77777777" w:rsidR="008A2EDE" w:rsidRDefault="00A50BD3">
            <w:pPr>
              <w:pStyle w:val="TableParagraph"/>
              <w:ind w:left="14"/>
              <w:jc w:val="center"/>
            </w:pPr>
            <w:r>
              <w:t>E</w:t>
            </w:r>
          </w:p>
        </w:tc>
      </w:tr>
      <w:tr w:rsidR="008A2EDE" w14:paraId="690D2ED6" w14:textId="77777777">
        <w:trPr>
          <w:trHeight w:val="993"/>
        </w:trPr>
        <w:tc>
          <w:tcPr>
            <w:tcW w:w="1973" w:type="dxa"/>
          </w:tcPr>
          <w:p w14:paraId="6D0FC196" w14:textId="6DCCDC43" w:rsidR="008A2EDE" w:rsidRDefault="00A50BD3">
            <w:pPr>
              <w:pStyle w:val="TableParagraph"/>
              <w:spacing w:before="1"/>
              <w:ind w:left="110"/>
            </w:pPr>
            <w:r>
              <w:t>CPC319</w:t>
            </w:r>
            <w:r w:rsidR="00757981">
              <w:t>20</w:t>
            </w:r>
          </w:p>
          <w:p w14:paraId="10827C0D" w14:textId="77777777" w:rsidR="008A2EDE" w:rsidRDefault="00A50BD3">
            <w:pPr>
              <w:pStyle w:val="TableParagraph"/>
              <w:ind w:left="110" w:right="474"/>
            </w:pPr>
            <w:r>
              <w:t>Certificate III in Joinery</w:t>
            </w:r>
          </w:p>
        </w:tc>
        <w:tc>
          <w:tcPr>
            <w:tcW w:w="2539" w:type="dxa"/>
          </w:tcPr>
          <w:p w14:paraId="78DDA934" w14:textId="77777777" w:rsidR="008A2EDE" w:rsidRDefault="00A50BD3">
            <w:pPr>
              <w:pStyle w:val="TableParagraph"/>
              <w:spacing w:before="1"/>
              <w:ind w:left="110" w:right="84"/>
            </w:pPr>
            <w:r>
              <w:t>CPC31912 Certificate III in Joinery</w:t>
            </w:r>
          </w:p>
        </w:tc>
        <w:tc>
          <w:tcPr>
            <w:tcW w:w="2918" w:type="dxa"/>
          </w:tcPr>
          <w:p w14:paraId="6AB12FB7" w14:textId="77777777" w:rsidR="008A2EDE" w:rsidRDefault="00A50BD3">
            <w:pPr>
              <w:pStyle w:val="TableParagraph"/>
              <w:spacing w:before="1"/>
              <w:ind w:left="105" w:right="207"/>
              <w:jc w:val="both"/>
            </w:pPr>
            <w:r>
              <w:t>Supersedes and is equivalent to CPC31912 Certificate III in Joinery</w:t>
            </w:r>
          </w:p>
        </w:tc>
        <w:tc>
          <w:tcPr>
            <w:tcW w:w="1377" w:type="dxa"/>
          </w:tcPr>
          <w:p w14:paraId="2A807B30" w14:textId="77777777" w:rsidR="008A2EDE" w:rsidRDefault="008A2EDE">
            <w:pPr>
              <w:pStyle w:val="TableParagraph"/>
              <w:spacing w:before="7"/>
              <w:ind w:left="0"/>
              <w:rPr>
                <w:b/>
                <w:sz w:val="29"/>
              </w:rPr>
            </w:pPr>
          </w:p>
          <w:p w14:paraId="1E02B602" w14:textId="77777777" w:rsidR="008A2EDE" w:rsidRDefault="00A50BD3">
            <w:pPr>
              <w:pStyle w:val="TableParagraph"/>
              <w:ind w:left="14"/>
              <w:jc w:val="center"/>
            </w:pPr>
            <w:r>
              <w:t>E</w:t>
            </w:r>
          </w:p>
        </w:tc>
      </w:tr>
      <w:tr w:rsidR="008A2EDE" w14:paraId="09EDA89B" w14:textId="77777777">
        <w:trPr>
          <w:trHeight w:val="901"/>
        </w:trPr>
        <w:tc>
          <w:tcPr>
            <w:tcW w:w="1973" w:type="dxa"/>
          </w:tcPr>
          <w:p w14:paraId="39CAA5DA" w14:textId="351ADDF5" w:rsidR="008A2EDE" w:rsidRDefault="00A50BD3">
            <w:pPr>
              <w:pStyle w:val="TableParagraph"/>
              <w:spacing w:before="1"/>
              <w:ind w:left="110"/>
            </w:pPr>
            <w:r>
              <w:t>CPC319</w:t>
            </w:r>
            <w:r w:rsidR="00757981">
              <w:t>20</w:t>
            </w:r>
          </w:p>
          <w:p w14:paraId="2E497B6E" w14:textId="77777777" w:rsidR="008A2EDE" w:rsidRDefault="00A50BD3">
            <w:pPr>
              <w:pStyle w:val="TableParagraph"/>
              <w:ind w:left="110" w:right="474"/>
            </w:pPr>
            <w:r>
              <w:t>Certificate III in Joinery</w:t>
            </w:r>
          </w:p>
        </w:tc>
        <w:tc>
          <w:tcPr>
            <w:tcW w:w="2539" w:type="dxa"/>
          </w:tcPr>
          <w:p w14:paraId="5410FFA1" w14:textId="77777777" w:rsidR="008A2EDE" w:rsidRDefault="00A50BD3">
            <w:pPr>
              <w:pStyle w:val="TableParagraph"/>
              <w:spacing w:before="1"/>
              <w:ind w:left="110" w:right="84"/>
            </w:pPr>
            <w:r>
              <w:t>CPC32211 Certificate III in Joinery (Stairs)</w:t>
            </w:r>
          </w:p>
        </w:tc>
        <w:tc>
          <w:tcPr>
            <w:tcW w:w="2918" w:type="dxa"/>
          </w:tcPr>
          <w:p w14:paraId="2B2BA712" w14:textId="77777777" w:rsidR="008A2EDE" w:rsidRDefault="00A50BD3">
            <w:pPr>
              <w:pStyle w:val="TableParagraph"/>
              <w:spacing w:before="1"/>
              <w:ind w:left="105" w:right="208"/>
              <w:jc w:val="both"/>
            </w:pPr>
            <w:r>
              <w:t>Supersedes and is equivalent to CPC32211 Certificate III in Joinery (Stairs)</w:t>
            </w:r>
          </w:p>
        </w:tc>
        <w:tc>
          <w:tcPr>
            <w:tcW w:w="1377" w:type="dxa"/>
          </w:tcPr>
          <w:p w14:paraId="44B52060" w14:textId="77777777" w:rsidR="008A2EDE" w:rsidRDefault="008A2EDE">
            <w:pPr>
              <w:pStyle w:val="TableParagraph"/>
              <w:ind w:left="0"/>
              <w:rPr>
                <w:b/>
                <w:sz w:val="26"/>
              </w:rPr>
            </w:pPr>
          </w:p>
          <w:p w14:paraId="73A7DD9C" w14:textId="77777777" w:rsidR="008A2EDE" w:rsidRDefault="00A50BD3">
            <w:pPr>
              <w:pStyle w:val="TableParagraph"/>
              <w:spacing w:before="1"/>
              <w:ind w:left="14"/>
              <w:jc w:val="center"/>
            </w:pPr>
            <w:r>
              <w:t>E</w:t>
            </w:r>
          </w:p>
        </w:tc>
      </w:tr>
    </w:tbl>
    <w:p w14:paraId="7D69EA64" w14:textId="77777777" w:rsidR="008A2EDE" w:rsidRDefault="008A2EDE">
      <w:pPr>
        <w:jc w:val="center"/>
        <w:sectPr w:rsidR="008A2EDE">
          <w:pgSz w:w="11900" w:h="16840"/>
          <w:pgMar w:top="1600" w:right="1260" w:bottom="820" w:left="1580" w:header="0" w:footer="638" w:gutter="0"/>
          <w:cols w:space="720"/>
        </w:sectPr>
      </w:pPr>
    </w:p>
    <w:p w14:paraId="63520559" w14:textId="77777777" w:rsidR="008A2EDE" w:rsidRDefault="008A2EDE">
      <w:pPr>
        <w:pStyle w:val="BodyText"/>
        <w:rPr>
          <w:b/>
          <w:sz w:val="20"/>
        </w:rPr>
      </w:pPr>
    </w:p>
    <w:p w14:paraId="5CA40D75" w14:textId="77777777" w:rsidR="008A2EDE" w:rsidRDefault="008A2EDE">
      <w:pPr>
        <w:pStyle w:val="BodyText"/>
        <w:spacing w:before="9"/>
        <w:rPr>
          <w:b/>
          <w:sz w:val="20"/>
        </w:rPr>
      </w:pPr>
    </w:p>
    <w:p w14:paraId="1CA53173" w14:textId="77777777" w:rsidR="008A2EDE" w:rsidRDefault="00A50BD3">
      <w:pPr>
        <w:pStyle w:val="Heading3"/>
        <w:spacing w:before="99"/>
        <w:ind w:left="100"/>
      </w:pPr>
      <w:r>
        <w:t>Units of competency mapping</w:t>
      </w:r>
    </w:p>
    <w:p w14:paraId="3D1E3F66" w14:textId="77777777" w:rsidR="008A2EDE" w:rsidRDefault="008A2EDE">
      <w:pPr>
        <w:pStyle w:val="BodyText"/>
        <w:rPr>
          <w:rFonts w:ascii="Times New Roman"/>
          <w:sz w:val="20"/>
        </w:rPr>
      </w:pPr>
    </w:p>
    <w:p w14:paraId="4C730F2F" w14:textId="77777777" w:rsidR="008A2EDE" w:rsidRDefault="008A2EDE">
      <w:pPr>
        <w:pStyle w:val="BodyText"/>
        <w:spacing w:before="1"/>
        <w:rPr>
          <w:rFonts w:ascii="Times New Roman"/>
          <w:sz w:val="1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254"/>
        <w:gridCol w:w="2520"/>
        <w:gridCol w:w="2803"/>
        <w:gridCol w:w="3062"/>
        <w:gridCol w:w="2308"/>
      </w:tblGrid>
      <w:tr w:rsidR="0076590C" w14:paraId="1F09C371" w14:textId="77777777" w:rsidTr="00190252">
        <w:trPr>
          <w:trHeight w:val="806"/>
        </w:trPr>
        <w:tc>
          <w:tcPr>
            <w:tcW w:w="3254" w:type="dxa"/>
          </w:tcPr>
          <w:p w14:paraId="1811A54A" w14:textId="019D33B6" w:rsidR="0076590C" w:rsidRPr="00190252" w:rsidRDefault="0076590C" w:rsidP="00190252">
            <w:pPr>
              <w:rPr>
                <w:b/>
                <w:bCs/>
              </w:rPr>
            </w:pPr>
            <w:r w:rsidRPr="00190252">
              <w:rPr>
                <w:b/>
                <w:bCs/>
              </w:rPr>
              <w:t>CPC Construction, Plumbing and Services Training Package Release 6.0</w:t>
            </w:r>
          </w:p>
        </w:tc>
        <w:tc>
          <w:tcPr>
            <w:tcW w:w="2520" w:type="dxa"/>
          </w:tcPr>
          <w:p w14:paraId="77FEC94B" w14:textId="06D5805F" w:rsidR="0076590C" w:rsidRPr="00190252" w:rsidRDefault="0076590C" w:rsidP="00190252">
            <w:pPr>
              <w:rPr>
                <w:b/>
                <w:bCs/>
              </w:rPr>
            </w:pPr>
            <w:r w:rsidRPr="00190252">
              <w:rPr>
                <w:b/>
                <w:bCs/>
              </w:rPr>
              <w:t>CPC Construction, Plumbing and Services Training Packages Release 4.0 (if relevant)</w:t>
            </w:r>
          </w:p>
        </w:tc>
        <w:tc>
          <w:tcPr>
            <w:tcW w:w="2803" w:type="dxa"/>
          </w:tcPr>
          <w:p w14:paraId="047D320B" w14:textId="47AA7948" w:rsidR="0076590C" w:rsidRPr="00190252" w:rsidRDefault="0076590C" w:rsidP="00190252">
            <w:pPr>
              <w:rPr>
                <w:b/>
                <w:bCs/>
              </w:rPr>
            </w:pPr>
            <w:r w:rsidRPr="00190252">
              <w:rPr>
                <w:b/>
                <w:bCs/>
              </w:rPr>
              <w:t>CPC08 Construction, Plumbing and Services Training Package</w:t>
            </w:r>
          </w:p>
        </w:tc>
        <w:tc>
          <w:tcPr>
            <w:tcW w:w="3062" w:type="dxa"/>
          </w:tcPr>
          <w:p w14:paraId="51F583C5" w14:textId="71FB8A0B" w:rsidR="0076590C" w:rsidRPr="00190252" w:rsidRDefault="0076590C" w:rsidP="00190252">
            <w:pPr>
              <w:rPr>
                <w:b/>
                <w:bCs/>
              </w:rPr>
            </w:pPr>
            <w:r w:rsidRPr="00190252">
              <w:rPr>
                <w:b/>
                <w:bCs/>
              </w:rPr>
              <w:t>Comments</w:t>
            </w:r>
          </w:p>
        </w:tc>
        <w:tc>
          <w:tcPr>
            <w:tcW w:w="2308" w:type="dxa"/>
          </w:tcPr>
          <w:p w14:paraId="52CD0A1C" w14:textId="59EBCA12" w:rsidR="0076590C" w:rsidRPr="00190252" w:rsidRDefault="0076590C" w:rsidP="00190252">
            <w:pPr>
              <w:rPr>
                <w:b/>
                <w:bCs/>
              </w:rPr>
            </w:pPr>
            <w:r w:rsidRPr="00190252">
              <w:rPr>
                <w:b/>
                <w:bCs/>
              </w:rPr>
              <w:t>Equivalency Status</w:t>
            </w:r>
          </w:p>
        </w:tc>
      </w:tr>
      <w:tr w:rsidR="0076590C" w14:paraId="1A4A1396" w14:textId="77777777" w:rsidTr="00190252">
        <w:trPr>
          <w:trHeight w:val="806"/>
        </w:trPr>
        <w:tc>
          <w:tcPr>
            <w:tcW w:w="3254" w:type="dxa"/>
          </w:tcPr>
          <w:p w14:paraId="3AB6EAB8" w14:textId="669E95EC" w:rsidR="0076590C" w:rsidRDefault="0076590C" w:rsidP="00775560">
            <w:pPr>
              <w:ind w:left="360"/>
            </w:pPr>
            <w:r>
              <w:t>CPCCCA2002 Use carpentry tools and equipment</w:t>
            </w:r>
          </w:p>
        </w:tc>
        <w:tc>
          <w:tcPr>
            <w:tcW w:w="2520" w:type="dxa"/>
          </w:tcPr>
          <w:p w14:paraId="16575BCE" w14:textId="77777777" w:rsidR="0076590C" w:rsidRDefault="0076590C" w:rsidP="00190252"/>
        </w:tc>
        <w:tc>
          <w:tcPr>
            <w:tcW w:w="2803" w:type="dxa"/>
          </w:tcPr>
          <w:p w14:paraId="3069A1D6" w14:textId="6CEA70D9" w:rsidR="0076590C" w:rsidRDefault="0076590C" w:rsidP="00190252">
            <w:r>
              <w:t>CPCCCA2002B Use carpentry tools and equipment</w:t>
            </w:r>
          </w:p>
        </w:tc>
        <w:tc>
          <w:tcPr>
            <w:tcW w:w="3062" w:type="dxa"/>
          </w:tcPr>
          <w:p w14:paraId="78F8272B" w14:textId="77777777" w:rsidR="0076590C" w:rsidRDefault="0076590C" w:rsidP="00190252">
            <w:r>
              <w:t>Supersedes and is equivalent to CPCCCA2002B Use carpentry tools and equipment.</w:t>
            </w:r>
          </w:p>
          <w:p w14:paraId="5F726AD4" w14:textId="6303A404" w:rsidR="0076590C" w:rsidRDefault="0076590C" w:rsidP="00190252">
            <w:r>
              <w:t>Updated to the Standards for Training Packages.</w:t>
            </w:r>
          </w:p>
        </w:tc>
        <w:tc>
          <w:tcPr>
            <w:tcW w:w="2308" w:type="dxa"/>
          </w:tcPr>
          <w:p w14:paraId="437929EC" w14:textId="1DB80FFC" w:rsidR="0076590C" w:rsidRDefault="0076590C" w:rsidP="00190252">
            <w:r>
              <w:t>E</w:t>
            </w:r>
          </w:p>
        </w:tc>
      </w:tr>
      <w:tr w:rsidR="0076590C" w14:paraId="3EEC3037" w14:textId="77777777" w:rsidTr="00190252">
        <w:trPr>
          <w:trHeight w:val="806"/>
        </w:trPr>
        <w:tc>
          <w:tcPr>
            <w:tcW w:w="3254" w:type="dxa"/>
          </w:tcPr>
          <w:p w14:paraId="26DE1498" w14:textId="394A0AEB" w:rsidR="0076590C" w:rsidRDefault="0076590C" w:rsidP="00775560">
            <w:pPr>
              <w:ind w:left="360"/>
            </w:pPr>
            <w:r>
              <w:t>CPCCCA2011 Handle carpentry materials</w:t>
            </w:r>
          </w:p>
        </w:tc>
        <w:tc>
          <w:tcPr>
            <w:tcW w:w="2520" w:type="dxa"/>
          </w:tcPr>
          <w:p w14:paraId="30C8E06A" w14:textId="77777777" w:rsidR="0076590C" w:rsidRDefault="0076590C" w:rsidP="00190252"/>
        </w:tc>
        <w:tc>
          <w:tcPr>
            <w:tcW w:w="2803" w:type="dxa"/>
          </w:tcPr>
          <w:p w14:paraId="6891A113" w14:textId="77777777" w:rsidR="0076590C" w:rsidRDefault="0076590C" w:rsidP="00190252">
            <w:r>
              <w:t>CPCCCA2011A Handle</w:t>
            </w:r>
          </w:p>
          <w:p w14:paraId="25560A24" w14:textId="35DD4F96" w:rsidR="0076590C" w:rsidRDefault="0076590C" w:rsidP="00190252">
            <w:r>
              <w:t>carpentry materials</w:t>
            </w:r>
          </w:p>
        </w:tc>
        <w:tc>
          <w:tcPr>
            <w:tcW w:w="3062" w:type="dxa"/>
          </w:tcPr>
          <w:p w14:paraId="064306BC" w14:textId="77777777" w:rsidR="0076590C" w:rsidRDefault="0076590C" w:rsidP="00190252">
            <w:r>
              <w:t>Supersedes and is equivalent to CPCCCA2011A Handle</w:t>
            </w:r>
          </w:p>
          <w:p w14:paraId="70CFD36D" w14:textId="54661A96" w:rsidR="0076590C" w:rsidRDefault="0076590C" w:rsidP="00190252">
            <w:r>
              <w:t>carpentry materials. Updated to the Standards for Training</w:t>
            </w:r>
            <w:r>
              <w:rPr>
                <w:spacing w:val="-2"/>
              </w:rPr>
              <w:t xml:space="preserve"> </w:t>
            </w:r>
            <w:r>
              <w:t>Packages.</w:t>
            </w:r>
          </w:p>
        </w:tc>
        <w:tc>
          <w:tcPr>
            <w:tcW w:w="2308" w:type="dxa"/>
          </w:tcPr>
          <w:p w14:paraId="6FEF0052" w14:textId="6C16C07C" w:rsidR="0076590C" w:rsidRDefault="0076590C" w:rsidP="00190252">
            <w:r>
              <w:t>E</w:t>
            </w:r>
          </w:p>
        </w:tc>
      </w:tr>
      <w:tr w:rsidR="0076590C" w14:paraId="0A7EAFD4" w14:textId="77777777" w:rsidTr="00190252">
        <w:trPr>
          <w:trHeight w:val="806"/>
        </w:trPr>
        <w:tc>
          <w:tcPr>
            <w:tcW w:w="3254" w:type="dxa"/>
          </w:tcPr>
          <w:p w14:paraId="06029383" w14:textId="3FE346A3" w:rsidR="0076590C" w:rsidRDefault="0076590C" w:rsidP="00775560">
            <w:pPr>
              <w:ind w:left="360"/>
            </w:pPr>
            <w:r>
              <w:t>CPCCCA3002 Carry out setting out</w:t>
            </w:r>
          </w:p>
        </w:tc>
        <w:tc>
          <w:tcPr>
            <w:tcW w:w="2520" w:type="dxa"/>
          </w:tcPr>
          <w:p w14:paraId="2BE1C0CA" w14:textId="77777777" w:rsidR="0076590C" w:rsidRDefault="0076590C" w:rsidP="00190252"/>
        </w:tc>
        <w:tc>
          <w:tcPr>
            <w:tcW w:w="2803" w:type="dxa"/>
          </w:tcPr>
          <w:p w14:paraId="0EADC1B4" w14:textId="0D19C325" w:rsidR="0076590C" w:rsidRDefault="0076590C" w:rsidP="00190252">
            <w:r>
              <w:t>CPCCCA3002A Carry out setting out</w:t>
            </w:r>
          </w:p>
        </w:tc>
        <w:tc>
          <w:tcPr>
            <w:tcW w:w="3062" w:type="dxa"/>
          </w:tcPr>
          <w:p w14:paraId="30601372" w14:textId="77777777" w:rsidR="0076590C" w:rsidRDefault="0076590C" w:rsidP="00190252">
            <w:r>
              <w:t>Supersedes and is equivalent to CPCCCA3002A Carry out setting out.</w:t>
            </w:r>
          </w:p>
          <w:p w14:paraId="3AECD255" w14:textId="70D6CE4F" w:rsidR="0076590C" w:rsidRDefault="0076590C" w:rsidP="00190252">
            <w:r>
              <w:t>Updated to the Standards for Training Packages.</w:t>
            </w:r>
          </w:p>
        </w:tc>
        <w:tc>
          <w:tcPr>
            <w:tcW w:w="2308" w:type="dxa"/>
          </w:tcPr>
          <w:p w14:paraId="2A4DECB5" w14:textId="7BB59AFE" w:rsidR="0076590C" w:rsidRDefault="0076590C" w:rsidP="00190252">
            <w:r>
              <w:t>E</w:t>
            </w:r>
          </w:p>
        </w:tc>
      </w:tr>
      <w:tr w:rsidR="0076590C" w14:paraId="18787846" w14:textId="77777777" w:rsidTr="00190252">
        <w:trPr>
          <w:trHeight w:val="806"/>
        </w:trPr>
        <w:tc>
          <w:tcPr>
            <w:tcW w:w="3254" w:type="dxa"/>
          </w:tcPr>
          <w:p w14:paraId="392C03D9" w14:textId="0107EA81" w:rsidR="0076590C" w:rsidRDefault="0076590C" w:rsidP="00775560">
            <w:pPr>
              <w:ind w:left="360"/>
            </w:pPr>
            <w:r>
              <w:t>CPCCCA3003 Install flooring systems</w:t>
            </w:r>
          </w:p>
        </w:tc>
        <w:tc>
          <w:tcPr>
            <w:tcW w:w="2520" w:type="dxa"/>
          </w:tcPr>
          <w:p w14:paraId="689C7FA2" w14:textId="77777777" w:rsidR="0076590C" w:rsidRDefault="0076590C" w:rsidP="00190252"/>
        </w:tc>
        <w:tc>
          <w:tcPr>
            <w:tcW w:w="2803" w:type="dxa"/>
          </w:tcPr>
          <w:p w14:paraId="56D967F4" w14:textId="27BBFD74" w:rsidR="0076590C" w:rsidRDefault="0076590C" w:rsidP="00190252">
            <w:r>
              <w:t>CPCCCA3003A Install flooring systems</w:t>
            </w:r>
          </w:p>
        </w:tc>
        <w:tc>
          <w:tcPr>
            <w:tcW w:w="3062" w:type="dxa"/>
          </w:tcPr>
          <w:p w14:paraId="71F71385" w14:textId="77777777" w:rsidR="0076590C" w:rsidRDefault="0076590C" w:rsidP="00190252">
            <w:r>
              <w:t>Supersedes and is equivalent to CPCCCA3003A Install flooring systems.</w:t>
            </w:r>
          </w:p>
          <w:p w14:paraId="6D75F060" w14:textId="2EB4CC7E" w:rsidR="0076590C" w:rsidRDefault="0076590C" w:rsidP="00190252">
            <w:r>
              <w:t>Updated to the Standards for Training Packages.</w:t>
            </w:r>
          </w:p>
        </w:tc>
        <w:tc>
          <w:tcPr>
            <w:tcW w:w="2308" w:type="dxa"/>
          </w:tcPr>
          <w:p w14:paraId="609392ED" w14:textId="6915C0AF" w:rsidR="0076590C" w:rsidRDefault="0076590C" w:rsidP="00190252">
            <w:r>
              <w:t>E</w:t>
            </w:r>
          </w:p>
        </w:tc>
      </w:tr>
      <w:tr w:rsidR="0076590C" w14:paraId="7D6E8732" w14:textId="77777777" w:rsidTr="00190252">
        <w:trPr>
          <w:trHeight w:val="806"/>
        </w:trPr>
        <w:tc>
          <w:tcPr>
            <w:tcW w:w="3254" w:type="dxa"/>
          </w:tcPr>
          <w:p w14:paraId="653C561C" w14:textId="028DDB49" w:rsidR="0076590C" w:rsidRDefault="0076590C" w:rsidP="00775560">
            <w:pPr>
              <w:ind w:left="360"/>
            </w:pPr>
            <w:r>
              <w:t>CPCCCA3004 Construct and erect wall frames</w:t>
            </w:r>
          </w:p>
        </w:tc>
        <w:tc>
          <w:tcPr>
            <w:tcW w:w="2520" w:type="dxa"/>
          </w:tcPr>
          <w:p w14:paraId="56C0576C" w14:textId="77777777" w:rsidR="0076590C" w:rsidRDefault="0076590C" w:rsidP="00190252"/>
        </w:tc>
        <w:tc>
          <w:tcPr>
            <w:tcW w:w="2803" w:type="dxa"/>
          </w:tcPr>
          <w:p w14:paraId="2BE6AF9D" w14:textId="17222D9A" w:rsidR="0076590C" w:rsidRDefault="0076590C" w:rsidP="00190252">
            <w:r>
              <w:t>CPCCCA3004A Construct wall frames</w:t>
            </w:r>
          </w:p>
        </w:tc>
        <w:tc>
          <w:tcPr>
            <w:tcW w:w="3062" w:type="dxa"/>
          </w:tcPr>
          <w:p w14:paraId="153C3BA0" w14:textId="77777777" w:rsidR="0076590C" w:rsidRDefault="0076590C" w:rsidP="00190252">
            <w:r>
              <w:t>Supersedes and is equivalent to CPCCCA3004A Construct wall frames.</w:t>
            </w:r>
          </w:p>
          <w:p w14:paraId="4BEBEAA8" w14:textId="42C828F7" w:rsidR="0076590C" w:rsidRDefault="0076590C" w:rsidP="00190252">
            <w:r>
              <w:t>Title change.</w:t>
            </w:r>
          </w:p>
        </w:tc>
        <w:tc>
          <w:tcPr>
            <w:tcW w:w="2308" w:type="dxa"/>
          </w:tcPr>
          <w:p w14:paraId="349619F4" w14:textId="13D85C48" w:rsidR="0076590C" w:rsidRDefault="0076590C" w:rsidP="00190252">
            <w:r>
              <w:t>E</w:t>
            </w:r>
          </w:p>
        </w:tc>
      </w:tr>
      <w:tr w:rsidR="0076590C" w14:paraId="41263F80" w14:textId="77777777" w:rsidTr="00190252">
        <w:trPr>
          <w:trHeight w:val="806"/>
        </w:trPr>
        <w:tc>
          <w:tcPr>
            <w:tcW w:w="3254" w:type="dxa"/>
          </w:tcPr>
          <w:p w14:paraId="16F8D613" w14:textId="374F43FA" w:rsidR="0076590C" w:rsidRDefault="0076590C" w:rsidP="00775560">
            <w:pPr>
              <w:ind w:left="360"/>
            </w:pPr>
            <w:r>
              <w:t>CPCCCA3005 Construct ceiling frames</w:t>
            </w:r>
          </w:p>
        </w:tc>
        <w:tc>
          <w:tcPr>
            <w:tcW w:w="2520" w:type="dxa"/>
          </w:tcPr>
          <w:p w14:paraId="63394774" w14:textId="77777777" w:rsidR="0076590C" w:rsidRDefault="0076590C" w:rsidP="00190252"/>
        </w:tc>
        <w:tc>
          <w:tcPr>
            <w:tcW w:w="2803" w:type="dxa"/>
          </w:tcPr>
          <w:p w14:paraId="277721F5" w14:textId="76EF9F6A" w:rsidR="0076590C" w:rsidRDefault="0076590C" w:rsidP="00190252">
            <w:r>
              <w:t>CPCCCA3005B Construct ceiling frames</w:t>
            </w:r>
          </w:p>
        </w:tc>
        <w:tc>
          <w:tcPr>
            <w:tcW w:w="3062" w:type="dxa"/>
          </w:tcPr>
          <w:p w14:paraId="61C39E4A" w14:textId="77777777" w:rsidR="0076590C" w:rsidRDefault="0076590C" w:rsidP="00190252">
            <w:r>
              <w:t>Supersedes and is equivalent to CPCCCA3005B Construct ceiling frames.</w:t>
            </w:r>
          </w:p>
          <w:p w14:paraId="205E6E4D" w14:textId="289C7598" w:rsidR="0076590C" w:rsidRDefault="0076590C" w:rsidP="00190252">
            <w:r>
              <w:t xml:space="preserve">Updated to the Standards for </w:t>
            </w:r>
            <w:r>
              <w:lastRenderedPageBreak/>
              <w:t>Training Packages.</w:t>
            </w:r>
          </w:p>
        </w:tc>
        <w:tc>
          <w:tcPr>
            <w:tcW w:w="2308" w:type="dxa"/>
          </w:tcPr>
          <w:p w14:paraId="61BA3F96" w14:textId="15581399" w:rsidR="0076590C" w:rsidRDefault="0076590C" w:rsidP="00190252">
            <w:r>
              <w:lastRenderedPageBreak/>
              <w:t>E</w:t>
            </w:r>
          </w:p>
        </w:tc>
      </w:tr>
      <w:tr w:rsidR="0076590C" w14:paraId="7F20B087" w14:textId="77777777" w:rsidTr="00190252">
        <w:trPr>
          <w:trHeight w:val="806"/>
        </w:trPr>
        <w:tc>
          <w:tcPr>
            <w:tcW w:w="3254" w:type="dxa"/>
          </w:tcPr>
          <w:p w14:paraId="735EDB74" w14:textId="6EF4A414" w:rsidR="0076590C" w:rsidRDefault="0076590C" w:rsidP="00775560">
            <w:pPr>
              <w:ind w:left="360"/>
            </w:pPr>
            <w:r>
              <w:t>CPCCCA3006 Erect roof trusses</w:t>
            </w:r>
          </w:p>
        </w:tc>
        <w:tc>
          <w:tcPr>
            <w:tcW w:w="2520" w:type="dxa"/>
          </w:tcPr>
          <w:p w14:paraId="1915D5B2" w14:textId="77777777" w:rsidR="0076590C" w:rsidRDefault="0076590C" w:rsidP="00190252"/>
        </w:tc>
        <w:tc>
          <w:tcPr>
            <w:tcW w:w="2803" w:type="dxa"/>
          </w:tcPr>
          <w:p w14:paraId="75B3DE82" w14:textId="3A4788C1" w:rsidR="0076590C" w:rsidRDefault="0076590C" w:rsidP="00190252">
            <w:r>
              <w:t>CPCCCA3006B Erect roof trusses</w:t>
            </w:r>
          </w:p>
        </w:tc>
        <w:tc>
          <w:tcPr>
            <w:tcW w:w="3062" w:type="dxa"/>
          </w:tcPr>
          <w:p w14:paraId="655626C2" w14:textId="77777777" w:rsidR="0076590C" w:rsidRDefault="0076590C" w:rsidP="00190252">
            <w:r>
              <w:t>Supersedes and is equivalent to CPCCCA3006B Erect roof trusses.</w:t>
            </w:r>
          </w:p>
          <w:p w14:paraId="106C210F" w14:textId="3519C7BB" w:rsidR="0076590C" w:rsidRDefault="0076590C" w:rsidP="00190252">
            <w:r>
              <w:t>Updated to the Standards for Training Packages.</w:t>
            </w:r>
          </w:p>
        </w:tc>
        <w:tc>
          <w:tcPr>
            <w:tcW w:w="2308" w:type="dxa"/>
          </w:tcPr>
          <w:p w14:paraId="1F3CEB6E" w14:textId="39100FF3" w:rsidR="0076590C" w:rsidRDefault="0076590C" w:rsidP="00190252">
            <w:r>
              <w:t>E</w:t>
            </w:r>
          </w:p>
        </w:tc>
      </w:tr>
      <w:tr w:rsidR="0076590C" w14:paraId="126E4ED5" w14:textId="77777777" w:rsidTr="00190252">
        <w:trPr>
          <w:trHeight w:val="806"/>
        </w:trPr>
        <w:tc>
          <w:tcPr>
            <w:tcW w:w="3254" w:type="dxa"/>
          </w:tcPr>
          <w:p w14:paraId="24211585" w14:textId="3840ADE7" w:rsidR="0076590C" w:rsidRDefault="0076590C" w:rsidP="00775560">
            <w:pPr>
              <w:ind w:left="360"/>
            </w:pPr>
            <w:r>
              <w:t>CPCCCA3007 Construct pitched roofs</w:t>
            </w:r>
          </w:p>
        </w:tc>
        <w:tc>
          <w:tcPr>
            <w:tcW w:w="2520" w:type="dxa"/>
          </w:tcPr>
          <w:p w14:paraId="24434724" w14:textId="77777777" w:rsidR="0076590C" w:rsidRDefault="0076590C" w:rsidP="00190252"/>
        </w:tc>
        <w:tc>
          <w:tcPr>
            <w:tcW w:w="2803" w:type="dxa"/>
          </w:tcPr>
          <w:p w14:paraId="440CEFEB" w14:textId="245C3B7B" w:rsidR="0076590C" w:rsidRDefault="0076590C" w:rsidP="00190252">
            <w:r>
              <w:t>CPCCCA3007C Construct pitched roofs</w:t>
            </w:r>
          </w:p>
        </w:tc>
        <w:tc>
          <w:tcPr>
            <w:tcW w:w="3062" w:type="dxa"/>
          </w:tcPr>
          <w:p w14:paraId="016298E2" w14:textId="77777777" w:rsidR="0076590C" w:rsidRDefault="0076590C" w:rsidP="00190252">
            <w:r>
              <w:t>Supersedes and is equivalent to CPCCCA3007C Construct pitched roofs.</w:t>
            </w:r>
          </w:p>
          <w:p w14:paraId="3F5CDAEB" w14:textId="3E8FB63F" w:rsidR="0076590C" w:rsidRDefault="0076590C" w:rsidP="00190252">
            <w:r>
              <w:t>Updated to the Standards for Training Packages.</w:t>
            </w:r>
          </w:p>
        </w:tc>
        <w:tc>
          <w:tcPr>
            <w:tcW w:w="2308" w:type="dxa"/>
          </w:tcPr>
          <w:p w14:paraId="68474D53" w14:textId="2A4F65CE" w:rsidR="0076590C" w:rsidRDefault="0076590C" w:rsidP="00190252">
            <w:r>
              <w:t>E</w:t>
            </w:r>
          </w:p>
        </w:tc>
      </w:tr>
      <w:tr w:rsidR="0076590C" w14:paraId="3BCD6B53" w14:textId="77777777" w:rsidTr="00190252">
        <w:trPr>
          <w:trHeight w:val="806"/>
        </w:trPr>
        <w:tc>
          <w:tcPr>
            <w:tcW w:w="3254" w:type="dxa"/>
          </w:tcPr>
          <w:p w14:paraId="2CD30783" w14:textId="430169C0" w:rsidR="0076590C" w:rsidRDefault="0076590C" w:rsidP="00775560">
            <w:pPr>
              <w:ind w:left="360"/>
            </w:pPr>
            <w:r>
              <w:t>CPCCCA3008 Construct eaves</w:t>
            </w:r>
          </w:p>
        </w:tc>
        <w:tc>
          <w:tcPr>
            <w:tcW w:w="2520" w:type="dxa"/>
          </w:tcPr>
          <w:p w14:paraId="36D40707" w14:textId="77777777" w:rsidR="0076590C" w:rsidRDefault="0076590C" w:rsidP="00190252"/>
        </w:tc>
        <w:tc>
          <w:tcPr>
            <w:tcW w:w="2803" w:type="dxa"/>
          </w:tcPr>
          <w:p w14:paraId="7F1E7A98" w14:textId="2842C364" w:rsidR="0076590C" w:rsidRDefault="0076590C" w:rsidP="00190252">
            <w:r>
              <w:t>CPCCCA3008B Construct eaves</w:t>
            </w:r>
          </w:p>
        </w:tc>
        <w:tc>
          <w:tcPr>
            <w:tcW w:w="3062" w:type="dxa"/>
          </w:tcPr>
          <w:p w14:paraId="244EA899" w14:textId="77777777" w:rsidR="0076590C" w:rsidRDefault="0076590C" w:rsidP="00190252">
            <w:r>
              <w:t>Supersedes and is equivalent to CPCCCA3008B Construct eaves. Updated to the Standards for</w:t>
            </w:r>
          </w:p>
          <w:p w14:paraId="4F521E5E" w14:textId="78A6C42E" w:rsidR="0076590C" w:rsidRDefault="0076590C" w:rsidP="00190252">
            <w:r>
              <w:t>Training Packages.</w:t>
            </w:r>
          </w:p>
        </w:tc>
        <w:tc>
          <w:tcPr>
            <w:tcW w:w="2308" w:type="dxa"/>
          </w:tcPr>
          <w:p w14:paraId="1C63CD73" w14:textId="30C1074E" w:rsidR="0076590C" w:rsidRDefault="0076590C" w:rsidP="00190252">
            <w:r>
              <w:t>E</w:t>
            </w:r>
          </w:p>
        </w:tc>
      </w:tr>
      <w:tr w:rsidR="0076590C" w14:paraId="13AECCEE" w14:textId="77777777" w:rsidTr="00190252">
        <w:trPr>
          <w:trHeight w:val="806"/>
        </w:trPr>
        <w:tc>
          <w:tcPr>
            <w:tcW w:w="3254" w:type="dxa"/>
          </w:tcPr>
          <w:p w14:paraId="529B31FB" w14:textId="78421911" w:rsidR="0076590C" w:rsidRDefault="0076590C" w:rsidP="00775560">
            <w:pPr>
              <w:ind w:left="360"/>
            </w:pPr>
            <w:r>
              <w:t>CPCCCA3009 Construct advanced roofs</w:t>
            </w:r>
          </w:p>
        </w:tc>
        <w:tc>
          <w:tcPr>
            <w:tcW w:w="2520" w:type="dxa"/>
          </w:tcPr>
          <w:p w14:paraId="26D95A6E" w14:textId="77777777" w:rsidR="0076590C" w:rsidRDefault="0076590C" w:rsidP="00190252"/>
        </w:tc>
        <w:tc>
          <w:tcPr>
            <w:tcW w:w="2803" w:type="dxa"/>
          </w:tcPr>
          <w:p w14:paraId="7B6EE52E" w14:textId="1AC8AA4C" w:rsidR="0076590C" w:rsidRDefault="0076590C" w:rsidP="00190252">
            <w:r>
              <w:t>CPCCCA3009B Construct advanced roofs</w:t>
            </w:r>
          </w:p>
        </w:tc>
        <w:tc>
          <w:tcPr>
            <w:tcW w:w="3062" w:type="dxa"/>
          </w:tcPr>
          <w:p w14:paraId="1F39E8AC" w14:textId="77777777" w:rsidR="0076590C" w:rsidRDefault="0076590C" w:rsidP="00190252">
            <w:r>
              <w:t>Supersedes and is equivalent to CPCCCA3009B Constructed advanced roofs</w:t>
            </w:r>
          </w:p>
          <w:p w14:paraId="685B10E4" w14:textId="0B9FD7C5" w:rsidR="0076590C" w:rsidRDefault="0076590C" w:rsidP="00190252">
            <w:r>
              <w:t>Updated to the Standards for Training Packages.</w:t>
            </w:r>
          </w:p>
        </w:tc>
        <w:tc>
          <w:tcPr>
            <w:tcW w:w="2308" w:type="dxa"/>
          </w:tcPr>
          <w:p w14:paraId="08A3EC59" w14:textId="0E254669" w:rsidR="0076590C" w:rsidRDefault="0076590C" w:rsidP="00190252">
            <w:r>
              <w:t>E</w:t>
            </w:r>
          </w:p>
        </w:tc>
      </w:tr>
      <w:tr w:rsidR="0076590C" w14:paraId="4E83188D" w14:textId="77777777" w:rsidTr="00190252">
        <w:trPr>
          <w:trHeight w:val="806"/>
        </w:trPr>
        <w:tc>
          <w:tcPr>
            <w:tcW w:w="3254" w:type="dxa"/>
          </w:tcPr>
          <w:p w14:paraId="5B6CC950" w14:textId="470AD335" w:rsidR="0076590C" w:rsidRDefault="0076590C" w:rsidP="00775560">
            <w:pPr>
              <w:ind w:left="360"/>
            </w:pPr>
            <w:r>
              <w:t>CPCCCA3010 Install windows and doors</w:t>
            </w:r>
          </w:p>
        </w:tc>
        <w:tc>
          <w:tcPr>
            <w:tcW w:w="2520" w:type="dxa"/>
          </w:tcPr>
          <w:p w14:paraId="7773DBC0" w14:textId="77777777" w:rsidR="0076590C" w:rsidRDefault="0076590C" w:rsidP="00190252"/>
        </w:tc>
        <w:tc>
          <w:tcPr>
            <w:tcW w:w="2803" w:type="dxa"/>
          </w:tcPr>
          <w:p w14:paraId="32C23ED9" w14:textId="0555606A" w:rsidR="0076590C" w:rsidRDefault="0076590C" w:rsidP="00190252">
            <w:r>
              <w:t>CPCCCA3010A Install and replace windows and doors</w:t>
            </w:r>
          </w:p>
        </w:tc>
        <w:tc>
          <w:tcPr>
            <w:tcW w:w="3062" w:type="dxa"/>
          </w:tcPr>
          <w:p w14:paraId="376072EA" w14:textId="77777777" w:rsidR="0076590C" w:rsidRDefault="0076590C" w:rsidP="00190252">
            <w:r>
              <w:t>Supersedes and is equivalent to CPCCCA3010A Install and replace windows and doors</w:t>
            </w:r>
          </w:p>
          <w:p w14:paraId="60F1EC76" w14:textId="0A253B86" w:rsidR="0076590C" w:rsidRDefault="0076590C" w:rsidP="00190252">
            <w:r>
              <w:t>Title change.</w:t>
            </w:r>
          </w:p>
        </w:tc>
        <w:tc>
          <w:tcPr>
            <w:tcW w:w="2308" w:type="dxa"/>
          </w:tcPr>
          <w:p w14:paraId="3C095EB5" w14:textId="51694637" w:rsidR="0076590C" w:rsidRDefault="0076590C" w:rsidP="00190252">
            <w:r>
              <w:t>E</w:t>
            </w:r>
          </w:p>
        </w:tc>
      </w:tr>
      <w:tr w:rsidR="0076590C" w14:paraId="550907CA" w14:textId="77777777" w:rsidTr="00190252">
        <w:trPr>
          <w:trHeight w:val="806"/>
        </w:trPr>
        <w:tc>
          <w:tcPr>
            <w:tcW w:w="3254" w:type="dxa"/>
          </w:tcPr>
          <w:p w14:paraId="3DBD0129" w14:textId="140ED657" w:rsidR="0076590C" w:rsidRDefault="0076590C" w:rsidP="00775560">
            <w:pPr>
              <w:ind w:left="360"/>
            </w:pPr>
            <w:r>
              <w:t>CPCCCA3011 Refurbish timber sashes to window frames</w:t>
            </w:r>
          </w:p>
        </w:tc>
        <w:tc>
          <w:tcPr>
            <w:tcW w:w="2520" w:type="dxa"/>
          </w:tcPr>
          <w:p w14:paraId="16E258D0" w14:textId="77777777" w:rsidR="0076590C" w:rsidRDefault="0076590C" w:rsidP="00190252"/>
        </w:tc>
        <w:tc>
          <w:tcPr>
            <w:tcW w:w="2803" w:type="dxa"/>
          </w:tcPr>
          <w:p w14:paraId="0475F204" w14:textId="184192C3" w:rsidR="0076590C" w:rsidRDefault="0076590C" w:rsidP="00190252">
            <w:r>
              <w:t>CPCCCA3011A Refurbish timber sashes to window frames</w:t>
            </w:r>
          </w:p>
        </w:tc>
        <w:tc>
          <w:tcPr>
            <w:tcW w:w="3062" w:type="dxa"/>
          </w:tcPr>
          <w:p w14:paraId="26A7FD70" w14:textId="77777777" w:rsidR="0076590C" w:rsidRDefault="0076590C" w:rsidP="00190252">
            <w:r>
              <w:t>Supersedes and is equivalent to CPCCCA3011A Refurbish timber sashes to window frames Updated to the Standards for</w:t>
            </w:r>
          </w:p>
          <w:p w14:paraId="3BD23DBF" w14:textId="15B266D1" w:rsidR="0076590C" w:rsidRDefault="0076590C" w:rsidP="00190252">
            <w:r>
              <w:t>Training Packages.</w:t>
            </w:r>
          </w:p>
        </w:tc>
        <w:tc>
          <w:tcPr>
            <w:tcW w:w="2308" w:type="dxa"/>
          </w:tcPr>
          <w:p w14:paraId="0B97AE5E" w14:textId="781F0B15" w:rsidR="0076590C" w:rsidRDefault="0076590C" w:rsidP="00190252">
            <w:r>
              <w:t>E</w:t>
            </w:r>
          </w:p>
        </w:tc>
      </w:tr>
      <w:tr w:rsidR="0076590C" w14:paraId="7F5BCFB4" w14:textId="77777777" w:rsidTr="00190252">
        <w:trPr>
          <w:trHeight w:val="806"/>
        </w:trPr>
        <w:tc>
          <w:tcPr>
            <w:tcW w:w="3254" w:type="dxa"/>
          </w:tcPr>
          <w:p w14:paraId="567CC0B3" w14:textId="59F91672" w:rsidR="0076590C" w:rsidRDefault="0076590C" w:rsidP="00775560">
            <w:pPr>
              <w:ind w:left="360"/>
            </w:pPr>
            <w:r>
              <w:t>CPCCCA3012 Frame and fit wet area fixtures</w:t>
            </w:r>
          </w:p>
        </w:tc>
        <w:tc>
          <w:tcPr>
            <w:tcW w:w="2520" w:type="dxa"/>
          </w:tcPr>
          <w:p w14:paraId="0AF97796" w14:textId="77777777" w:rsidR="0076590C" w:rsidRDefault="0076590C" w:rsidP="00190252"/>
        </w:tc>
        <w:tc>
          <w:tcPr>
            <w:tcW w:w="2803" w:type="dxa"/>
          </w:tcPr>
          <w:p w14:paraId="43DEE9F5" w14:textId="77777777" w:rsidR="0076590C" w:rsidRDefault="0076590C" w:rsidP="00190252">
            <w:r>
              <w:t>CPCCCA3012A</w:t>
            </w:r>
          </w:p>
          <w:p w14:paraId="1F6D5FD4" w14:textId="59C22DF9" w:rsidR="0076590C" w:rsidRDefault="0076590C" w:rsidP="00190252">
            <w:r>
              <w:t>Frame and fit wet area fixtures</w:t>
            </w:r>
          </w:p>
        </w:tc>
        <w:tc>
          <w:tcPr>
            <w:tcW w:w="3062" w:type="dxa"/>
          </w:tcPr>
          <w:p w14:paraId="096A9EB9" w14:textId="77777777" w:rsidR="0076590C" w:rsidRDefault="0076590C" w:rsidP="00190252">
            <w:r>
              <w:t>Supersedes and is equivalent to CPCCCA3012A Frame and fit wet areas.</w:t>
            </w:r>
          </w:p>
          <w:p w14:paraId="4202138B" w14:textId="5A57DCF2" w:rsidR="0076590C" w:rsidRDefault="0076590C" w:rsidP="00190252">
            <w:r>
              <w:t>Updated to the Standards for Training Packages.</w:t>
            </w:r>
          </w:p>
        </w:tc>
        <w:tc>
          <w:tcPr>
            <w:tcW w:w="2308" w:type="dxa"/>
          </w:tcPr>
          <w:p w14:paraId="64B498EE" w14:textId="77C42386" w:rsidR="0076590C" w:rsidRDefault="0076590C" w:rsidP="00190252">
            <w:r>
              <w:t>E</w:t>
            </w:r>
          </w:p>
        </w:tc>
      </w:tr>
      <w:tr w:rsidR="0076590C" w14:paraId="1636A626" w14:textId="77777777" w:rsidTr="00190252">
        <w:trPr>
          <w:trHeight w:val="806"/>
        </w:trPr>
        <w:tc>
          <w:tcPr>
            <w:tcW w:w="3254" w:type="dxa"/>
          </w:tcPr>
          <w:p w14:paraId="003C2627" w14:textId="3A93D64C" w:rsidR="0076590C" w:rsidRDefault="0076590C" w:rsidP="00775560">
            <w:pPr>
              <w:ind w:left="360"/>
            </w:pPr>
            <w:r>
              <w:lastRenderedPageBreak/>
              <w:t>CPCCCA3014 Construct and install bulkheads</w:t>
            </w:r>
          </w:p>
        </w:tc>
        <w:tc>
          <w:tcPr>
            <w:tcW w:w="2520" w:type="dxa"/>
          </w:tcPr>
          <w:p w14:paraId="1E906017" w14:textId="77777777" w:rsidR="0076590C" w:rsidRDefault="0076590C" w:rsidP="00190252"/>
        </w:tc>
        <w:tc>
          <w:tcPr>
            <w:tcW w:w="2803" w:type="dxa"/>
          </w:tcPr>
          <w:p w14:paraId="5490FCF2" w14:textId="77777777" w:rsidR="0076590C" w:rsidRDefault="0076590C" w:rsidP="00190252">
            <w:r>
              <w:t>CPCCCA3014A</w:t>
            </w:r>
          </w:p>
          <w:p w14:paraId="23C3157F" w14:textId="5944B9DD" w:rsidR="0076590C" w:rsidRDefault="0076590C" w:rsidP="00190252">
            <w:r>
              <w:t>Construct bulkheads</w:t>
            </w:r>
          </w:p>
        </w:tc>
        <w:tc>
          <w:tcPr>
            <w:tcW w:w="3062" w:type="dxa"/>
          </w:tcPr>
          <w:p w14:paraId="3C9B26FB" w14:textId="77777777" w:rsidR="0076590C" w:rsidRDefault="0076590C" w:rsidP="00190252">
            <w:r>
              <w:t>Supersedes and is equivalent to CPCCCA3014A Construct bulkheads</w:t>
            </w:r>
          </w:p>
          <w:p w14:paraId="273340E7" w14:textId="77777777" w:rsidR="0076590C" w:rsidRDefault="0076590C" w:rsidP="00190252">
            <w:r>
              <w:t>Title change.</w:t>
            </w:r>
          </w:p>
          <w:p w14:paraId="0E1C6169" w14:textId="744DAFF6" w:rsidR="0076590C" w:rsidRDefault="0076590C" w:rsidP="00190252">
            <w:r>
              <w:t>Updated to the Standards for Training Packages.</w:t>
            </w:r>
          </w:p>
        </w:tc>
        <w:tc>
          <w:tcPr>
            <w:tcW w:w="2308" w:type="dxa"/>
          </w:tcPr>
          <w:p w14:paraId="71D1BC6D" w14:textId="63646C99" w:rsidR="0076590C" w:rsidRDefault="0076590C" w:rsidP="00190252">
            <w:r>
              <w:t>E</w:t>
            </w:r>
          </w:p>
        </w:tc>
      </w:tr>
      <w:tr w:rsidR="0076590C" w14:paraId="513A3121" w14:textId="77777777" w:rsidTr="00190252">
        <w:trPr>
          <w:trHeight w:val="806"/>
        </w:trPr>
        <w:tc>
          <w:tcPr>
            <w:tcW w:w="3254" w:type="dxa"/>
          </w:tcPr>
          <w:p w14:paraId="4990BFB8" w14:textId="1EA709B8" w:rsidR="0076590C" w:rsidRDefault="0076590C" w:rsidP="00775560">
            <w:pPr>
              <w:ind w:left="360"/>
            </w:pPr>
            <w:r>
              <w:t>CPCCCA3016 Construct, assemble and install timber external stairs</w:t>
            </w:r>
          </w:p>
        </w:tc>
        <w:tc>
          <w:tcPr>
            <w:tcW w:w="2520" w:type="dxa"/>
          </w:tcPr>
          <w:p w14:paraId="5117CD5C" w14:textId="77777777" w:rsidR="0076590C" w:rsidRDefault="0076590C" w:rsidP="00190252"/>
        </w:tc>
        <w:tc>
          <w:tcPr>
            <w:tcW w:w="2803" w:type="dxa"/>
          </w:tcPr>
          <w:p w14:paraId="192E2242" w14:textId="092C8D0C" w:rsidR="0076590C" w:rsidRDefault="0076590C" w:rsidP="00190252">
            <w:r>
              <w:t>CPCCCA3016A Construct timber external stairs</w:t>
            </w:r>
          </w:p>
        </w:tc>
        <w:tc>
          <w:tcPr>
            <w:tcW w:w="3062" w:type="dxa"/>
          </w:tcPr>
          <w:p w14:paraId="0D2BB77D" w14:textId="77777777" w:rsidR="0076590C" w:rsidRDefault="0076590C" w:rsidP="00190252">
            <w:r>
              <w:t>Supersedes and is equivalent to CPCCCA3016A Construct timber external</w:t>
            </w:r>
            <w:r>
              <w:rPr>
                <w:spacing w:val="-3"/>
              </w:rPr>
              <w:t xml:space="preserve"> </w:t>
            </w:r>
            <w:r>
              <w:t>stairs</w:t>
            </w:r>
          </w:p>
          <w:p w14:paraId="612AFDBD" w14:textId="77777777" w:rsidR="0076590C" w:rsidRDefault="0076590C" w:rsidP="00190252">
            <w:r>
              <w:t>Title change.</w:t>
            </w:r>
          </w:p>
          <w:p w14:paraId="19E4FDAB" w14:textId="495538DD" w:rsidR="0076590C" w:rsidRDefault="0076590C" w:rsidP="00190252">
            <w:r>
              <w:t>Updated to the Standards for Training Packages.</w:t>
            </w:r>
          </w:p>
        </w:tc>
        <w:tc>
          <w:tcPr>
            <w:tcW w:w="2308" w:type="dxa"/>
          </w:tcPr>
          <w:p w14:paraId="00E44BBD" w14:textId="65736421" w:rsidR="0076590C" w:rsidRDefault="0076590C" w:rsidP="00190252">
            <w:r>
              <w:t>E</w:t>
            </w:r>
          </w:p>
        </w:tc>
      </w:tr>
      <w:tr w:rsidR="0076590C" w14:paraId="399730A1" w14:textId="77777777" w:rsidTr="00190252">
        <w:trPr>
          <w:trHeight w:val="806"/>
        </w:trPr>
        <w:tc>
          <w:tcPr>
            <w:tcW w:w="3254" w:type="dxa"/>
          </w:tcPr>
          <w:p w14:paraId="77F58896" w14:textId="16D52AC5" w:rsidR="0076590C" w:rsidRDefault="0076590C" w:rsidP="00775560">
            <w:pPr>
              <w:ind w:left="360"/>
            </w:pPr>
            <w:r>
              <w:t>CPCCCA3017 Install exterior cladding</w:t>
            </w:r>
          </w:p>
        </w:tc>
        <w:tc>
          <w:tcPr>
            <w:tcW w:w="2520" w:type="dxa"/>
          </w:tcPr>
          <w:p w14:paraId="2185DFC6" w14:textId="77777777" w:rsidR="0076590C" w:rsidRDefault="0076590C" w:rsidP="00190252"/>
        </w:tc>
        <w:tc>
          <w:tcPr>
            <w:tcW w:w="2803" w:type="dxa"/>
          </w:tcPr>
          <w:p w14:paraId="0AD686CF" w14:textId="77777777" w:rsidR="0076590C" w:rsidRDefault="0076590C" w:rsidP="00190252">
            <w:r>
              <w:t>CPCCCA3017B</w:t>
            </w:r>
          </w:p>
          <w:p w14:paraId="27E67D62" w14:textId="62FE725D" w:rsidR="0076590C" w:rsidRDefault="0076590C" w:rsidP="00190252">
            <w:r>
              <w:t>Install exterior cladding</w:t>
            </w:r>
          </w:p>
        </w:tc>
        <w:tc>
          <w:tcPr>
            <w:tcW w:w="3062" w:type="dxa"/>
          </w:tcPr>
          <w:p w14:paraId="56763858" w14:textId="77777777" w:rsidR="0076590C" w:rsidRDefault="0076590C" w:rsidP="00190252">
            <w:r>
              <w:t>Supersedes and is equivalent to CPCCCA3017B Install exterior cladding.</w:t>
            </w:r>
          </w:p>
          <w:p w14:paraId="5064D2E5" w14:textId="105C6AA7" w:rsidR="0076590C" w:rsidRDefault="0076590C" w:rsidP="00190252">
            <w:r>
              <w:t>Updated to the Standards for Training Packages.</w:t>
            </w:r>
          </w:p>
        </w:tc>
        <w:tc>
          <w:tcPr>
            <w:tcW w:w="2308" w:type="dxa"/>
          </w:tcPr>
          <w:p w14:paraId="46FB812B" w14:textId="4474449C" w:rsidR="0076590C" w:rsidRDefault="0076590C" w:rsidP="00190252">
            <w:r>
              <w:t>E</w:t>
            </w:r>
          </w:p>
        </w:tc>
      </w:tr>
      <w:tr w:rsidR="0076590C" w14:paraId="0B389381" w14:textId="77777777" w:rsidTr="00190252">
        <w:trPr>
          <w:trHeight w:val="806"/>
        </w:trPr>
        <w:tc>
          <w:tcPr>
            <w:tcW w:w="3254" w:type="dxa"/>
          </w:tcPr>
          <w:p w14:paraId="7C213CED" w14:textId="70563083" w:rsidR="0076590C" w:rsidRDefault="0076590C" w:rsidP="00775560">
            <w:pPr>
              <w:ind w:left="360"/>
            </w:pPr>
            <w:r>
              <w:t>CPCCCA3018 Construct, erect</w:t>
            </w:r>
            <w:r w:rsidRPr="00775560">
              <w:rPr>
                <w:spacing w:val="-16"/>
              </w:rPr>
              <w:t xml:space="preserve"> </w:t>
            </w:r>
            <w:r>
              <w:t>and dismantle formwork for stairs and</w:t>
            </w:r>
            <w:r w:rsidRPr="00775560">
              <w:rPr>
                <w:spacing w:val="-2"/>
              </w:rPr>
              <w:t xml:space="preserve"> </w:t>
            </w:r>
            <w:r>
              <w:t>ramps</w:t>
            </w:r>
          </w:p>
        </w:tc>
        <w:tc>
          <w:tcPr>
            <w:tcW w:w="2520" w:type="dxa"/>
          </w:tcPr>
          <w:p w14:paraId="222B5699" w14:textId="77777777" w:rsidR="0076590C" w:rsidRDefault="0076590C" w:rsidP="00190252"/>
        </w:tc>
        <w:tc>
          <w:tcPr>
            <w:tcW w:w="2803" w:type="dxa"/>
          </w:tcPr>
          <w:p w14:paraId="73A5E0DA" w14:textId="3590043B" w:rsidR="0076590C" w:rsidRDefault="0076590C" w:rsidP="00190252">
            <w:pPr>
              <w:rPr>
                <w:rFonts w:ascii="Times New Roman"/>
              </w:rPr>
            </w:pPr>
            <w:r>
              <w:t>CPCCCA3018A Construct, erect and dismantle formwork for stairs and ramps</w:t>
            </w:r>
          </w:p>
        </w:tc>
        <w:tc>
          <w:tcPr>
            <w:tcW w:w="3062" w:type="dxa"/>
          </w:tcPr>
          <w:p w14:paraId="70FF21F9" w14:textId="77777777" w:rsidR="0076590C" w:rsidRDefault="0076590C" w:rsidP="00190252">
            <w:r>
              <w:t>Supersedes and is equivalent to CPCCCA3018A Construct, erect and dismantle formwork for stairs and ramps</w:t>
            </w:r>
          </w:p>
          <w:p w14:paraId="3DB01105" w14:textId="06C745CC" w:rsidR="0076590C" w:rsidRDefault="0076590C" w:rsidP="00190252">
            <w:r>
              <w:t>Updated to the Standards for Training Packages.</w:t>
            </w:r>
          </w:p>
        </w:tc>
        <w:tc>
          <w:tcPr>
            <w:tcW w:w="2308" w:type="dxa"/>
          </w:tcPr>
          <w:p w14:paraId="2689B02E" w14:textId="25CD4BCC" w:rsidR="0076590C" w:rsidRDefault="0076590C" w:rsidP="00190252">
            <w:pPr>
              <w:rPr>
                <w:rFonts w:ascii="Times New Roman"/>
              </w:rPr>
            </w:pPr>
            <w:r>
              <w:t>E</w:t>
            </w:r>
          </w:p>
        </w:tc>
      </w:tr>
      <w:tr w:rsidR="0076590C" w14:paraId="3B731626" w14:textId="77777777" w:rsidTr="00190252">
        <w:trPr>
          <w:trHeight w:val="806"/>
        </w:trPr>
        <w:tc>
          <w:tcPr>
            <w:tcW w:w="3254" w:type="dxa"/>
          </w:tcPr>
          <w:p w14:paraId="147F7796" w14:textId="4FE19CC9" w:rsidR="0076590C" w:rsidRDefault="0076590C" w:rsidP="00775560">
            <w:pPr>
              <w:ind w:left="360"/>
            </w:pPr>
            <w:r>
              <w:t>CPCCCA3019 Erect and dismantle formwork to suspended slabs, columns, beams and walls</w:t>
            </w:r>
          </w:p>
        </w:tc>
        <w:tc>
          <w:tcPr>
            <w:tcW w:w="2520" w:type="dxa"/>
          </w:tcPr>
          <w:p w14:paraId="791B600C" w14:textId="77777777" w:rsidR="0076590C" w:rsidRDefault="0076590C" w:rsidP="00190252"/>
        </w:tc>
        <w:tc>
          <w:tcPr>
            <w:tcW w:w="2803" w:type="dxa"/>
          </w:tcPr>
          <w:p w14:paraId="2A40B328" w14:textId="1D48B665" w:rsidR="0076590C" w:rsidRDefault="0076590C" w:rsidP="00190252">
            <w:pPr>
              <w:rPr>
                <w:rFonts w:ascii="Times New Roman"/>
              </w:rPr>
            </w:pPr>
            <w:r>
              <w:t>CPCCCA3019A Erect and dismantle formwork to suspended slabs, columns, beams and walls</w:t>
            </w:r>
          </w:p>
        </w:tc>
        <w:tc>
          <w:tcPr>
            <w:tcW w:w="3062" w:type="dxa"/>
          </w:tcPr>
          <w:p w14:paraId="0989FF56" w14:textId="77777777" w:rsidR="0076590C" w:rsidRDefault="0076590C" w:rsidP="00190252">
            <w:r>
              <w:t>Supersedes and is equivalent to CPCCCA3019A Erect and dismantle formwork to suspended slabs, columns, beams and walls</w:t>
            </w:r>
          </w:p>
          <w:p w14:paraId="0F25D6AF" w14:textId="0E153407" w:rsidR="0076590C" w:rsidRDefault="0076590C" w:rsidP="00190252">
            <w:r>
              <w:t>Updated to the Standards for Training Packages.</w:t>
            </w:r>
          </w:p>
        </w:tc>
        <w:tc>
          <w:tcPr>
            <w:tcW w:w="2308" w:type="dxa"/>
          </w:tcPr>
          <w:p w14:paraId="39A9A030" w14:textId="5E79A358" w:rsidR="0076590C" w:rsidRDefault="0076590C" w:rsidP="00190252">
            <w:pPr>
              <w:rPr>
                <w:rFonts w:ascii="Times New Roman"/>
              </w:rPr>
            </w:pPr>
            <w:r>
              <w:t>E</w:t>
            </w:r>
          </w:p>
        </w:tc>
      </w:tr>
      <w:tr w:rsidR="0076590C" w14:paraId="084346A0" w14:textId="77777777" w:rsidTr="00190252">
        <w:trPr>
          <w:trHeight w:val="806"/>
        </w:trPr>
        <w:tc>
          <w:tcPr>
            <w:tcW w:w="3254" w:type="dxa"/>
          </w:tcPr>
          <w:p w14:paraId="492578EF" w14:textId="7B7C46A6" w:rsidR="0076590C" w:rsidRDefault="0076590C" w:rsidP="00775560">
            <w:pPr>
              <w:ind w:left="360"/>
            </w:pPr>
            <w:r>
              <w:t>CPCCCA3020 Erect and dismantle jump-form formwork</w:t>
            </w:r>
          </w:p>
        </w:tc>
        <w:tc>
          <w:tcPr>
            <w:tcW w:w="2520" w:type="dxa"/>
          </w:tcPr>
          <w:p w14:paraId="3D9D4D74" w14:textId="77777777" w:rsidR="0076590C" w:rsidRDefault="0076590C" w:rsidP="00190252"/>
        </w:tc>
        <w:tc>
          <w:tcPr>
            <w:tcW w:w="2803" w:type="dxa"/>
          </w:tcPr>
          <w:p w14:paraId="56B132CE" w14:textId="69AF4CC8" w:rsidR="0076590C" w:rsidRDefault="0076590C" w:rsidP="00190252">
            <w:pPr>
              <w:rPr>
                <w:rFonts w:ascii="Times New Roman"/>
              </w:rPr>
            </w:pPr>
            <w:r>
              <w:t>CPCCCA3020A Erect and dismantle jump form formwork</w:t>
            </w:r>
          </w:p>
        </w:tc>
        <w:tc>
          <w:tcPr>
            <w:tcW w:w="3062" w:type="dxa"/>
          </w:tcPr>
          <w:p w14:paraId="052185E0" w14:textId="77777777" w:rsidR="0076590C" w:rsidRDefault="0076590C" w:rsidP="00190252">
            <w:r>
              <w:t>Supersedes and is equivalent to CPCCCA3020A Erect and dismantle jump form formwork Updated to the Standards for</w:t>
            </w:r>
          </w:p>
          <w:p w14:paraId="66F6F69B" w14:textId="7219A775" w:rsidR="0076590C" w:rsidRDefault="0076590C" w:rsidP="00190252">
            <w:r>
              <w:t>Training Packages.</w:t>
            </w:r>
          </w:p>
        </w:tc>
        <w:tc>
          <w:tcPr>
            <w:tcW w:w="2308" w:type="dxa"/>
          </w:tcPr>
          <w:p w14:paraId="2B5F761F" w14:textId="5D3A1F79" w:rsidR="0076590C" w:rsidRDefault="0076590C" w:rsidP="00190252">
            <w:pPr>
              <w:rPr>
                <w:rFonts w:ascii="Times New Roman"/>
              </w:rPr>
            </w:pPr>
            <w:r>
              <w:t>E</w:t>
            </w:r>
          </w:p>
        </w:tc>
      </w:tr>
      <w:tr w:rsidR="0076590C" w14:paraId="103D1173" w14:textId="77777777" w:rsidTr="00190252">
        <w:trPr>
          <w:trHeight w:val="806"/>
        </w:trPr>
        <w:tc>
          <w:tcPr>
            <w:tcW w:w="3254" w:type="dxa"/>
          </w:tcPr>
          <w:p w14:paraId="17F926EB" w14:textId="19D65B6C" w:rsidR="0076590C" w:rsidRDefault="0076590C" w:rsidP="00775560">
            <w:pPr>
              <w:ind w:left="360"/>
            </w:pPr>
            <w:r>
              <w:lastRenderedPageBreak/>
              <w:t>CPCCCA3022 Install curtain walling</w:t>
            </w:r>
          </w:p>
        </w:tc>
        <w:tc>
          <w:tcPr>
            <w:tcW w:w="2520" w:type="dxa"/>
          </w:tcPr>
          <w:p w14:paraId="4C56C117" w14:textId="77777777" w:rsidR="0076590C" w:rsidRDefault="0076590C" w:rsidP="00190252"/>
        </w:tc>
        <w:tc>
          <w:tcPr>
            <w:tcW w:w="2803" w:type="dxa"/>
          </w:tcPr>
          <w:p w14:paraId="373A6047" w14:textId="4F7DF861" w:rsidR="0076590C" w:rsidRDefault="0076590C" w:rsidP="00190252">
            <w:pPr>
              <w:rPr>
                <w:rFonts w:ascii="Times New Roman"/>
              </w:rPr>
            </w:pPr>
            <w:r>
              <w:t>CPCCCA3022A Install curtain walling</w:t>
            </w:r>
          </w:p>
        </w:tc>
        <w:tc>
          <w:tcPr>
            <w:tcW w:w="3062" w:type="dxa"/>
          </w:tcPr>
          <w:p w14:paraId="2EAE7948" w14:textId="77777777" w:rsidR="0076590C" w:rsidRDefault="0076590C" w:rsidP="00190252">
            <w:r>
              <w:t>Supersedes and is equivalent to CPCCCA3022A Install curtain walling</w:t>
            </w:r>
          </w:p>
          <w:p w14:paraId="558C643A" w14:textId="766F830A" w:rsidR="0076590C" w:rsidRDefault="0076590C" w:rsidP="00190252">
            <w:r>
              <w:t>Updated to the Standards for Training Packages.</w:t>
            </w:r>
          </w:p>
        </w:tc>
        <w:tc>
          <w:tcPr>
            <w:tcW w:w="2308" w:type="dxa"/>
          </w:tcPr>
          <w:p w14:paraId="05EDD626" w14:textId="2F030634" w:rsidR="0076590C" w:rsidRDefault="0076590C" w:rsidP="00190252">
            <w:pPr>
              <w:rPr>
                <w:rFonts w:ascii="Times New Roman"/>
              </w:rPr>
            </w:pPr>
            <w:r>
              <w:t>E</w:t>
            </w:r>
          </w:p>
        </w:tc>
      </w:tr>
      <w:tr w:rsidR="0076590C" w14:paraId="1220294D" w14:textId="77777777" w:rsidTr="00190252">
        <w:trPr>
          <w:trHeight w:val="806"/>
        </w:trPr>
        <w:tc>
          <w:tcPr>
            <w:tcW w:w="3254" w:type="dxa"/>
          </w:tcPr>
          <w:p w14:paraId="2211BE34" w14:textId="77777777" w:rsidR="0076590C" w:rsidRDefault="0076590C" w:rsidP="00775560">
            <w:pPr>
              <w:ind w:left="360"/>
            </w:pPr>
            <w:r>
              <w:t>CPCCCA3024 Install lining,</w:t>
            </w:r>
          </w:p>
          <w:p w14:paraId="11D3319C" w14:textId="78E4DE04" w:rsidR="0076590C" w:rsidRDefault="0076590C" w:rsidP="00775560">
            <w:pPr>
              <w:pStyle w:val="ListParagraph"/>
              <w:ind w:left="1080" w:firstLine="0"/>
            </w:pPr>
            <w:r>
              <w:t>panelling and moulding</w:t>
            </w:r>
          </w:p>
        </w:tc>
        <w:tc>
          <w:tcPr>
            <w:tcW w:w="2520" w:type="dxa"/>
          </w:tcPr>
          <w:p w14:paraId="6E22F66D" w14:textId="178EBAA9" w:rsidR="0076590C" w:rsidRDefault="0076590C" w:rsidP="00190252">
            <w:r>
              <w:t>Not applicable</w:t>
            </w:r>
          </w:p>
        </w:tc>
        <w:tc>
          <w:tcPr>
            <w:tcW w:w="2803" w:type="dxa"/>
          </w:tcPr>
          <w:p w14:paraId="4E549BBF" w14:textId="77777777" w:rsidR="0076590C" w:rsidRDefault="0076590C" w:rsidP="00190252">
            <w:pPr>
              <w:rPr>
                <w:rFonts w:ascii="Times New Roman"/>
              </w:rPr>
            </w:pPr>
          </w:p>
        </w:tc>
        <w:tc>
          <w:tcPr>
            <w:tcW w:w="3062" w:type="dxa"/>
          </w:tcPr>
          <w:p w14:paraId="1EE7DACF" w14:textId="599B99B1" w:rsidR="0076590C" w:rsidRDefault="0076590C" w:rsidP="00190252">
            <w:r>
              <w:t>New unit</w:t>
            </w:r>
          </w:p>
        </w:tc>
        <w:tc>
          <w:tcPr>
            <w:tcW w:w="2308" w:type="dxa"/>
          </w:tcPr>
          <w:p w14:paraId="3FC20AAB" w14:textId="77777777" w:rsidR="0076590C" w:rsidRDefault="0076590C" w:rsidP="00190252">
            <w:pPr>
              <w:rPr>
                <w:rFonts w:ascii="Times New Roman"/>
              </w:rPr>
            </w:pPr>
          </w:p>
        </w:tc>
      </w:tr>
      <w:tr w:rsidR="0076590C" w14:paraId="2E358F0B" w14:textId="77777777" w:rsidTr="00190252">
        <w:trPr>
          <w:trHeight w:val="806"/>
        </w:trPr>
        <w:tc>
          <w:tcPr>
            <w:tcW w:w="3254" w:type="dxa"/>
          </w:tcPr>
          <w:p w14:paraId="76DD2704" w14:textId="63BCD28D" w:rsidR="0076590C" w:rsidRDefault="0076590C" w:rsidP="00775560">
            <w:pPr>
              <w:ind w:left="360"/>
            </w:pPr>
            <w:r>
              <w:t>CPCCCA3025 Read and interpret plans, specifications and drawings</w:t>
            </w:r>
            <w:r w:rsidR="00546407">
              <w:t xml:space="preserve"> </w:t>
            </w:r>
            <w:r>
              <w:t>for carpentry work</w:t>
            </w:r>
          </w:p>
        </w:tc>
        <w:tc>
          <w:tcPr>
            <w:tcW w:w="2520" w:type="dxa"/>
          </w:tcPr>
          <w:p w14:paraId="1D2EBF90" w14:textId="3DB9E230" w:rsidR="0076590C" w:rsidRDefault="0076590C" w:rsidP="00190252">
            <w:r>
              <w:t>Not applicable</w:t>
            </w:r>
          </w:p>
        </w:tc>
        <w:tc>
          <w:tcPr>
            <w:tcW w:w="2803" w:type="dxa"/>
          </w:tcPr>
          <w:p w14:paraId="2577BB93" w14:textId="77777777" w:rsidR="0076590C" w:rsidRDefault="0076590C" w:rsidP="00190252">
            <w:pPr>
              <w:rPr>
                <w:rFonts w:ascii="Times New Roman"/>
              </w:rPr>
            </w:pPr>
          </w:p>
        </w:tc>
        <w:tc>
          <w:tcPr>
            <w:tcW w:w="3062" w:type="dxa"/>
          </w:tcPr>
          <w:p w14:paraId="7D63BC15" w14:textId="1F2716D1" w:rsidR="0076590C" w:rsidRDefault="0076590C" w:rsidP="00190252">
            <w:r>
              <w:t>New unit</w:t>
            </w:r>
          </w:p>
        </w:tc>
        <w:tc>
          <w:tcPr>
            <w:tcW w:w="2308" w:type="dxa"/>
          </w:tcPr>
          <w:p w14:paraId="76336EFB" w14:textId="77777777" w:rsidR="0076590C" w:rsidRDefault="0076590C" w:rsidP="00190252">
            <w:pPr>
              <w:rPr>
                <w:rFonts w:ascii="Times New Roman"/>
              </w:rPr>
            </w:pPr>
          </w:p>
        </w:tc>
      </w:tr>
      <w:tr w:rsidR="0076590C" w14:paraId="12F096DD" w14:textId="77777777" w:rsidTr="00190252">
        <w:trPr>
          <w:trHeight w:val="806"/>
        </w:trPr>
        <w:tc>
          <w:tcPr>
            <w:tcW w:w="3254" w:type="dxa"/>
          </w:tcPr>
          <w:p w14:paraId="57BD5636" w14:textId="39A31F6D" w:rsidR="0076590C" w:rsidRDefault="0076590C" w:rsidP="00775560">
            <w:pPr>
              <w:ind w:left="360"/>
            </w:pPr>
            <w:r>
              <w:t>CPCCCA3026 Assemble partitions</w:t>
            </w:r>
          </w:p>
        </w:tc>
        <w:tc>
          <w:tcPr>
            <w:tcW w:w="2520" w:type="dxa"/>
          </w:tcPr>
          <w:p w14:paraId="15A13ED2" w14:textId="41F967B9" w:rsidR="0076590C" w:rsidRDefault="0076590C" w:rsidP="00190252">
            <w:r>
              <w:t>Not applicable</w:t>
            </w:r>
          </w:p>
        </w:tc>
        <w:tc>
          <w:tcPr>
            <w:tcW w:w="2803" w:type="dxa"/>
          </w:tcPr>
          <w:p w14:paraId="65F3B2A9" w14:textId="77777777" w:rsidR="0076590C" w:rsidRDefault="0076590C" w:rsidP="00190252">
            <w:pPr>
              <w:rPr>
                <w:rFonts w:ascii="Times New Roman"/>
              </w:rPr>
            </w:pPr>
          </w:p>
        </w:tc>
        <w:tc>
          <w:tcPr>
            <w:tcW w:w="3062" w:type="dxa"/>
          </w:tcPr>
          <w:p w14:paraId="5119FC53" w14:textId="180CF6DB" w:rsidR="0076590C" w:rsidRDefault="0076590C" w:rsidP="00190252">
            <w:r>
              <w:t>New unit</w:t>
            </w:r>
          </w:p>
        </w:tc>
        <w:tc>
          <w:tcPr>
            <w:tcW w:w="2308" w:type="dxa"/>
          </w:tcPr>
          <w:p w14:paraId="6CF1CA73" w14:textId="77777777" w:rsidR="0076590C" w:rsidRDefault="0076590C" w:rsidP="00190252">
            <w:pPr>
              <w:rPr>
                <w:rFonts w:ascii="Times New Roman"/>
              </w:rPr>
            </w:pPr>
          </w:p>
        </w:tc>
      </w:tr>
      <w:tr w:rsidR="0076590C" w14:paraId="452B0EF7" w14:textId="77777777" w:rsidTr="00190252">
        <w:trPr>
          <w:trHeight w:val="806"/>
        </w:trPr>
        <w:tc>
          <w:tcPr>
            <w:tcW w:w="3254" w:type="dxa"/>
          </w:tcPr>
          <w:p w14:paraId="751A63D3" w14:textId="77777777" w:rsidR="0076590C" w:rsidRDefault="0076590C" w:rsidP="00775560">
            <w:pPr>
              <w:ind w:left="360"/>
            </w:pPr>
            <w:r>
              <w:t>CPCCCA3027 Set-up, operate and maintain indirect action powder- actuated power tools</w:t>
            </w:r>
          </w:p>
        </w:tc>
        <w:tc>
          <w:tcPr>
            <w:tcW w:w="2520" w:type="dxa"/>
          </w:tcPr>
          <w:p w14:paraId="1074891F" w14:textId="77777777" w:rsidR="0076590C" w:rsidRDefault="0076590C" w:rsidP="00190252">
            <w:r>
              <w:t>Not applicable</w:t>
            </w:r>
          </w:p>
        </w:tc>
        <w:tc>
          <w:tcPr>
            <w:tcW w:w="2803" w:type="dxa"/>
          </w:tcPr>
          <w:p w14:paraId="61BD1A4A" w14:textId="77777777" w:rsidR="0076590C" w:rsidRDefault="0076590C" w:rsidP="00190252">
            <w:pPr>
              <w:rPr>
                <w:rFonts w:ascii="Times New Roman"/>
              </w:rPr>
            </w:pPr>
          </w:p>
        </w:tc>
        <w:tc>
          <w:tcPr>
            <w:tcW w:w="3062" w:type="dxa"/>
          </w:tcPr>
          <w:p w14:paraId="2EA67348" w14:textId="77777777" w:rsidR="0076590C" w:rsidRDefault="0076590C" w:rsidP="00190252">
            <w:r>
              <w:t>New unit</w:t>
            </w:r>
          </w:p>
        </w:tc>
        <w:tc>
          <w:tcPr>
            <w:tcW w:w="2308" w:type="dxa"/>
          </w:tcPr>
          <w:p w14:paraId="42A1684C" w14:textId="77777777" w:rsidR="0076590C" w:rsidRDefault="0076590C" w:rsidP="00190252">
            <w:pPr>
              <w:rPr>
                <w:rFonts w:ascii="Times New Roman"/>
              </w:rPr>
            </w:pPr>
          </w:p>
        </w:tc>
      </w:tr>
      <w:tr w:rsidR="0076590C" w14:paraId="31B93647" w14:textId="77777777" w:rsidTr="00190252">
        <w:trPr>
          <w:trHeight w:val="1877"/>
        </w:trPr>
        <w:tc>
          <w:tcPr>
            <w:tcW w:w="3254" w:type="dxa"/>
          </w:tcPr>
          <w:p w14:paraId="1FE9EE07" w14:textId="77777777" w:rsidR="0076590C" w:rsidRDefault="0076590C" w:rsidP="00775560">
            <w:pPr>
              <w:ind w:left="360"/>
            </w:pPr>
            <w:r>
              <w:t>CPCCCA3028 Erect and dismantle formwork for footings and slabs on ground</w:t>
            </w:r>
          </w:p>
        </w:tc>
        <w:tc>
          <w:tcPr>
            <w:tcW w:w="2520" w:type="dxa"/>
          </w:tcPr>
          <w:p w14:paraId="6C5D4347" w14:textId="77777777" w:rsidR="0076590C" w:rsidRDefault="0076590C" w:rsidP="00190252">
            <w:r>
              <w:t>CPCCCA2003 Erect and dismantle formwork for footings and slabs on ground</w:t>
            </w:r>
          </w:p>
        </w:tc>
        <w:tc>
          <w:tcPr>
            <w:tcW w:w="2803" w:type="dxa"/>
          </w:tcPr>
          <w:p w14:paraId="50EAF899" w14:textId="77777777" w:rsidR="0076590C" w:rsidRDefault="0076590C" w:rsidP="00190252">
            <w:pPr>
              <w:rPr>
                <w:rFonts w:ascii="Times New Roman"/>
              </w:rPr>
            </w:pPr>
          </w:p>
        </w:tc>
        <w:tc>
          <w:tcPr>
            <w:tcW w:w="3062" w:type="dxa"/>
          </w:tcPr>
          <w:p w14:paraId="614FDE85" w14:textId="77777777" w:rsidR="0076590C" w:rsidRDefault="0076590C" w:rsidP="00190252">
            <w:r>
              <w:t>Supersedes and is equivalent to CPCCCA2003 Erect and dismantle formwork for footings and slabs on ground. Updated to reflect current industry terminology, tools and</w:t>
            </w:r>
          </w:p>
          <w:p w14:paraId="50188575" w14:textId="77777777" w:rsidR="0076590C" w:rsidRDefault="0076590C" w:rsidP="00190252">
            <w:r>
              <w:t>equipment.</w:t>
            </w:r>
          </w:p>
        </w:tc>
        <w:tc>
          <w:tcPr>
            <w:tcW w:w="2308" w:type="dxa"/>
          </w:tcPr>
          <w:p w14:paraId="57C4BDFB" w14:textId="77777777" w:rsidR="0076590C" w:rsidRDefault="0076590C" w:rsidP="00190252">
            <w:r>
              <w:t>E</w:t>
            </w:r>
          </w:p>
        </w:tc>
      </w:tr>
      <w:tr w:rsidR="0076590C" w14:paraId="0EC6E007" w14:textId="77777777" w:rsidTr="00190252">
        <w:trPr>
          <w:trHeight w:val="1343"/>
        </w:trPr>
        <w:tc>
          <w:tcPr>
            <w:tcW w:w="3254" w:type="dxa"/>
          </w:tcPr>
          <w:p w14:paraId="29641172" w14:textId="77777777" w:rsidR="0076590C" w:rsidRDefault="0076590C" w:rsidP="00775560">
            <w:pPr>
              <w:ind w:left="360"/>
            </w:pPr>
            <w:r>
              <w:t>CPCCCO2013 Carry out concreting to simple forms</w:t>
            </w:r>
          </w:p>
        </w:tc>
        <w:tc>
          <w:tcPr>
            <w:tcW w:w="2520" w:type="dxa"/>
          </w:tcPr>
          <w:p w14:paraId="7EFDF91C" w14:textId="77777777" w:rsidR="0076590C" w:rsidRDefault="0076590C" w:rsidP="00190252">
            <w:pPr>
              <w:rPr>
                <w:rFonts w:ascii="Times New Roman"/>
              </w:rPr>
            </w:pPr>
          </w:p>
        </w:tc>
        <w:tc>
          <w:tcPr>
            <w:tcW w:w="2803" w:type="dxa"/>
          </w:tcPr>
          <w:p w14:paraId="704A97F0" w14:textId="77777777" w:rsidR="0076590C" w:rsidRDefault="0076590C" w:rsidP="00190252">
            <w:r>
              <w:t>CPCCCO2013A Carry out concreting to simple forms</w:t>
            </w:r>
          </w:p>
        </w:tc>
        <w:tc>
          <w:tcPr>
            <w:tcW w:w="3062" w:type="dxa"/>
          </w:tcPr>
          <w:p w14:paraId="78B3BA43" w14:textId="77777777" w:rsidR="0076590C" w:rsidRDefault="0076590C" w:rsidP="00190252">
            <w:r>
              <w:t>Supersedes and is equivalent to CPCCCO2013A Carry out concreting to simple forms.</w:t>
            </w:r>
          </w:p>
          <w:p w14:paraId="21FD81B8" w14:textId="77777777" w:rsidR="0076590C" w:rsidRDefault="0076590C" w:rsidP="00190252">
            <w:r>
              <w:t>Updated to the Standards for Training Packages.</w:t>
            </w:r>
          </w:p>
        </w:tc>
        <w:tc>
          <w:tcPr>
            <w:tcW w:w="2308" w:type="dxa"/>
          </w:tcPr>
          <w:p w14:paraId="1566408B" w14:textId="77777777" w:rsidR="0076590C" w:rsidRDefault="0076590C" w:rsidP="00190252">
            <w:r>
              <w:t>E</w:t>
            </w:r>
          </w:p>
        </w:tc>
      </w:tr>
      <w:tr w:rsidR="0076590C" w14:paraId="3BA24AF0" w14:textId="77777777" w:rsidTr="00190252">
        <w:trPr>
          <w:trHeight w:val="1609"/>
        </w:trPr>
        <w:tc>
          <w:tcPr>
            <w:tcW w:w="3254" w:type="dxa"/>
          </w:tcPr>
          <w:p w14:paraId="7E8D239D" w14:textId="77777777" w:rsidR="0076590C" w:rsidRPr="00190252" w:rsidRDefault="0076590C" w:rsidP="00775560">
            <w:pPr>
              <w:ind w:left="360"/>
            </w:pPr>
            <w:r w:rsidRPr="00190252">
              <w:t>CPCCJN2001 Assemble components</w:t>
            </w:r>
          </w:p>
        </w:tc>
        <w:tc>
          <w:tcPr>
            <w:tcW w:w="2520" w:type="dxa"/>
          </w:tcPr>
          <w:p w14:paraId="079C2B49" w14:textId="77777777" w:rsidR="0076590C" w:rsidRPr="00190252" w:rsidRDefault="0076590C" w:rsidP="00190252">
            <w:pPr>
              <w:rPr>
                <w:rFonts w:ascii="Times New Roman"/>
              </w:rPr>
            </w:pPr>
          </w:p>
        </w:tc>
        <w:tc>
          <w:tcPr>
            <w:tcW w:w="2803" w:type="dxa"/>
          </w:tcPr>
          <w:p w14:paraId="0D353CB4" w14:textId="77777777" w:rsidR="0076590C" w:rsidRPr="00190252" w:rsidRDefault="0076590C" w:rsidP="00190252">
            <w:r w:rsidRPr="00190252">
              <w:t>CPCCJN2001A</w:t>
            </w:r>
          </w:p>
          <w:p w14:paraId="4E668D2C" w14:textId="77777777" w:rsidR="0076590C" w:rsidRPr="00190252" w:rsidRDefault="0076590C" w:rsidP="00190252">
            <w:r w:rsidRPr="00190252">
              <w:t>Assemble components</w:t>
            </w:r>
          </w:p>
        </w:tc>
        <w:tc>
          <w:tcPr>
            <w:tcW w:w="3062" w:type="dxa"/>
          </w:tcPr>
          <w:p w14:paraId="4F42AB46" w14:textId="77777777" w:rsidR="0076590C" w:rsidRPr="00190252" w:rsidRDefault="0076590C" w:rsidP="00190252">
            <w:r w:rsidRPr="00190252">
              <w:t>Supersedes and is equivalent to CPCCJN2001A</w:t>
            </w:r>
          </w:p>
          <w:p w14:paraId="4BB1718C" w14:textId="77777777" w:rsidR="0076590C" w:rsidRPr="00190252" w:rsidRDefault="0076590C" w:rsidP="00190252">
            <w:r w:rsidRPr="00190252">
              <w:t>Assemble components. Updated to the Standards for Training Packages.</w:t>
            </w:r>
          </w:p>
        </w:tc>
        <w:tc>
          <w:tcPr>
            <w:tcW w:w="2308" w:type="dxa"/>
          </w:tcPr>
          <w:p w14:paraId="715DEEE2" w14:textId="77777777" w:rsidR="0076590C" w:rsidRPr="00190252" w:rsidRDefault="0076590C" w:rsidP="00190252">
            <w:r w:rsidRPr="00190252">
              <w:t>E</w:t>
            </w:r>
          </w:p>
        </w:tc>
      </w:tr>
      <w:tr w:rsidR="00A72E02" w14:paraId="7834054B" w14:textId="77777777" w:rsidTr="00190252">
        <w:trPr>
          <w:trHeight w:val="1607"/>
        </w:trPr>
        <w:tc>
          <w:tcPr>
            <w:tcW w:w="3254" w:type="dxa"/>
          </w:tcPr>
          <w:p w14:paraId="4148B481" w14:textId="5D777C4B" w:rsidR="00A72E02" w:rsidRPr="00190252" w:rsidRDefault="00A72E02" w:rsidP="00775560">
            <w:pPr>
              <w:ind w:left="360"/>
            </w:pPr>
            <w:r w:rsidRPr="00EC00CF">
              <w:lastRenderedPageBreak/>
              <w:t>CPCCJN2003 Package manufactured products for transport</w:t>
            </w:r>
          </w:p>
        </w:tc>
        <w:tc>
          <w:tcPr>
            <w:tcW w:w="2520" w:type="dxa"/>
          </w:tcPr>
          <w:p w14:paraId="1D4182D2" w14:textId="77777777" w:rsidR="00A72E02" w:rsidRPr="00190252" w:rsidRDefault="00A72E02" w:rsidP="00A72E02"/>
        </w:tc>
        <w:tc>
          <w:tcPr>
            <w:tcW w:w="2803" w:type="dxa"/>
          </w:tcPr>
          <w:p w14:paraId="4BE8354B" w14:textId="77777777" w:rsidR="00A72E02" w:rsidRPr="00EC00CF" w:rsidRDefault="00A72E02" w:rsidP="00A72E02">
            <w:r w:rsidRPr="00EC00CF">
              <w:t>CPCCJN2003A</w:t>
            </w:r>
          </w:p>
          <w:p w14:paraId="7544707A" w14:textId="2651553D" w:rsidR="00A72E02" w:rsidRPr="00190252" w:rsidRDefault="00A72E02" w:rsidP="00A72E02">
            <w:r w:rsidRPr="00EC00CF">
              <w:t>Package manufactured products for transport</w:t>
            </w:r>
          </w:p>
        </w:tc>
        <w:tc>
          <w:tcPr>
            <w:tcW w:w="3062" w:type="dxa"/>
          </w:tcPr>
          <w:p w14:paraId="193FDA95" w14:textId="77777777" w:rsidR="00A72E02" w:rsidRPr="00EC00CF" w:rsidRDefault="00A72E02" w:rsidP="00A72E02">
            <w:r w:rsidRPr="00EC00CF">
              <w:t>Supersedes and is equivalent to CPCCJN2003A</w:t>
            </w:r>
          </w:p>
          <w:p w14:paraId="41B13C4D" w14:textId="77777777" w:rsidR="00A72E02" w:rsidRPr="00EC00CF" w:rsidRDefault="00A72E02" w:rsidP="00A72E02">
            <w:r w:rsidRPr="00EC00CF">
              <w:t>Package manufactured products for transport. Updated to the Standards for</w:t>
            </w:r>
          </w:p>
          <w:p w14:paraId="5D9BEF61" w14:textId="47633C53" w:rsidR="00A72E02" w:rsidRPr="00190252" w:rsidRDefault="00A72E02" w:rsidP="00A72E02">
            <w:r w:rsidRPr="00EC00CF">
              <w:t>Training Packages.</w:t>
            </w:r>
          </w:p>
        </w:tc>
        <w:tc>
          <w:tcPr>
            <w:tcW w:w="2308" w:type="dxa"/>
          </w:tcPr>
          <w:p w14:paraId="423B4E34" w14:textId="450E1AA3" w:rsidR="00A72E02" w:rsidRPr="00190252" w:rsidRDefault="00A72E02" w:rsidP="00A72E02">
            <w:r w:rsidRPr="00EC00CF">
              <w:t>E</w:t>
            </w:r>
          </w:p>
        </w:tc>
      </w:tr>
      <w:tr w:rsidR="00A72E02" w14:paraId="4D99B9DA" w14:textId="77777777" w:rsidTr="00190252">
        <w:trPr>
          <w:trHeight w:val="1074"/>
        </w:trPr>
        <w:tc>
          <w:tcPr>
            <w:tcW w:w="3254" w:type="dxa"/>
          </w:tcPr>
          <w:p w14:paraId="5C330C03" w14:textId="77777777" w:rsidR="00A72E02" w:rsidRDefault="00A72E02" w:rsidP="00775560">
            <w:pPr>
              <w:ind w:left="360"/>
            </w:pPr>
            <w:r>
              <w:t>CPCCJN3002 Use computer- controlled machinery</w:t>
            </w:r>
          </w:p>
        </w:tc>
        <w:tc>
          <w:tcPr>
            <w:tcW w:w="2520" w:type="dxa"/>
          </w:tcPr>
          <w:p w14:paraId="2D60A9FB" w14:textId="77777777" w:rsidR="00A72E02" w:rsidRDefault="00A72E02" w:rsidP="00A72E02">
            <w:pPr>
              <w:rPr>
                <w:rFonts w:ascii="Times New Roman"/>
              </w:rPr>
            </w:pPr>
          </w:p>
        </w:tc>
        <w:tc>
          <w:tcPr>
            <w:tcW w:w="2803" w:type="dxa"/>
          </w:tcPr>
          <w:p w14:paraId="7065C252" w14:textId="77777777" w:rsidR="00A72E02" w:rsidRDefault="00A72E02" w:rsidP="00A72E02">
            <w:r>
              <w:t>CPCCJN3002A</w:t>
            </w:r>
          </w:p>
          <w:p w14:paraId="0ADCB037" w14:textId="77777777" w:rsidR="00A72E02" w:rsidRDefault="00A72E02" w:rsidP="00A72E02">
            <w:r>
              <w:t>Use computer-controlled machinery</w:t>
            </w:r>
          </w:p>
        </w:tc>
        <w:tc>
          <w:tcPr>
            <w:tcW w:w="3062" w:type="dxa"/>
          </w:tcPr>
          <w:p w14:paraId="4F60DB29" w14:textId="77777777" w:rsidR="00A72E02" w:rsidRDefault="00A72E02" w:rsidP="00A72E02">
            <w:r>
              <w:t>Supersedes and is equivalent to CPCCJN3002A</w:t>
            </w:r>
          </w:p>
          <w:p w14:paraId="39DB9CC9" w14:textId="77777777" w:rsidR="00A72E02" w:rsidRDefault="00A72E02" w:rsidP="00A72E02">
            <w:r>
              <w:t>Use computer-controlled machinery.</w:t>
            </w:r>
          </w:p>
          <w:p w14:paraId="5EE985CD" w14:textId="77777777" w:rsidR="00A72E02" w:rsidRDefault="00A72E02" w:rsidP="00A72E02">
            <w:r>
              <w:t xml:space="preserve">Package manufactured products for transport. </w:t>
            </w:r>
          </w:p>
          <w:p w14:paraId="51C4A20A" w14:textId="3FBEFEF6" w:rsidR="00A72E02" w:rsidRDefault="00A72E02" w:rsidP="00A72E02">
            <w:r>
              <w:t>Updated to the Standards for Training Packages</w:t>
            </w:r>
          </w:p>
        </w:tc>
        <w:tc>
          <w:tcPr>
            <w:tcW w:w="2308" w:type="dxa"/>
          </w:tcPr>
          <w:p w14:paraId="7F8933EB" w14:textId="77777777" w:rsidR="00A72E02" w:rsidRDefault="00A72E02" w:rsidP="00A72E02">
            <w:r>
              <w:t>E</w:t>
            </w:r>
          </w:p>
        </w:tc>
      </w:tr>
      <w:tr w:rsidR="00A72E02" w14:paraId="622B8C88" w14:textId="77777777" w:rsidTr="00190252">
        <w:trPr>
          <w:trHeight w:val="1074"/>
        </w:trPr>
        <w:tc>
          <w:tcPr>
            <w:tcW w:w="3254" w:type="dxa"/>
          </w:tcPr>
          <w:p w14:paraId="7A99CBFA" w14:textId="5618DC85" w:rsidR="00A72E02" w:rsidRDefault="00A72E02" w:rsidP="00775560">
            <w:pPr>
              <w:ind w:left="360"/>
            </w:pPr>
            <w:r>
              <w:t>CPCCJN3003 Manufacture components for doors, windows and frames</w:t>
            </w:r>
          </w:p>
        </w:tc>
        <w:tc>
          <w:tcPr>
            <w:tcW w:w="2520" w:type="dxa"/>
          </w:tcPr>
          <w:p w14:paraId="79333173" w14:textId="77777777" w:rsidR="00A72E02" w:rsidRDefault="00A72E02" w:rsidP="00A72E02">
            <w:pPr>
              <w:rPr>
                <w:rFonts w:ascii="Times New Roman"/>
              </w:rPr>
            </w:pPr>
          </w:p>
        </w:tc>
        <w:tc>
          <w:tcPr>
            <w:tcW w:w="2803" w:type="dxa"/>
          </w:tcPr>
          <w:p w14:paraId="12D0CADD" w14:textId="77777777" w:rsidR="00A72E02" w:rsidRDefault="00A72E02" w:rsidP="00A72E02">
            <w:r>
              <w:t>CPCCJN3003A</w:t>
            </w:r>
          </w:p>
          <w:p w14:paraId="3BFCFDE4" w14:textId="6F032D04" w:rsidR="00A72E02" w:rsidRDefault="00A72E02" w:rsidP="00A72E02">
            <w:r>
              <w:t>Manufacture components for door and window frames and doors</w:t>
            </w:r>
          </w:p>
        </w:tc>
        <w:tc>
          <w:tcPr>
            <w:tcW w:w="3062" w:type="dxa"/>
          </w:tcPr>
          <w:p w14:paraId="67E2DD26" w14:textId="77777777" w:rsidR="00A72E02" w:rsidRDefault="00A72E02" w:rsidP="00A72E02">
            <w:r>
              <w:t>Supersedes and is equivalent to CPCCJN3003A</w:t>
            </w:r>
          </w:p>
          <w:p w14:paraId="054AEDD3" w14:textId="77777777" w:rsidR="00A72E02" w:rsidRDefault="00A72E02" w:rsidP="00A72E02">
            <w:r>
              <w:t>Manufacture components for door and window frames and doors.</w:t>
            </w:r>
          </w:p>
          <w:p w14:paraId="73A4EA11" w14:textId="26926429" w:rsidR="00A72E02" w:rsidRDefault="00A72E02" w:rsidP="00A72E02">
            <w:r>
              <w:t>Updated to the Standards for Training Packages.</w:t>
            </w:r>
          </w:p>
        </w:tc>
        <w:tc>
          <w:tcPr>
            <w:tcW w:w="2308" w:type="dxa"/>
          </w:tcPr>
          <w:p w14:paraId="18B49101" w14:textId="59194EB0" w:rsidR="00A72E02" w:rsidRDefault="00A72E02" w:rsidP="00A72E02">
            <w:r>
              <w:t>E</w:t>
            </w:r>
          </w:p>
        </w:tc>
      </w:tr>
      <w:tr w:rsidR="00A72E02" w14:paraId="0E33B1A0" w14:textId="77777777" w:rsidTr="00190252">
        <w:trPr>
          <w:trHeight w:val="1074"/>
        </w:trPr>
        <w:tc>
          <w:tcPr>
            <w:tcW w:w="3254" w:type="dxa"/>
          </w:tcPr>
          <w:p w14:paraId="1E3D80FC" w14:textId="3DDDAE65" w:rsidR="00A72E02" w:rsidRDefault="00A72E02" w:rsidP="00775560">
            <w:pPr>
              <w:ind w:left="360"/>
            </w:pPr>
            <w:r>
              <w:t>CPCCJN3004 Manufacture and assemble joinery components</w:t>
            </w:r>
          </w:p>
        </w:tc>
        <w:tc>
          <w:tcPr>
            <w:tcW w:w="2520" w:type="dxa"/>
          </w:tcPr>
          <w:p w14:paraId="3889F394" w14:textId="77777777" w:rsidR="00A72E02" w:rsidRDefault="00A72E02" w:rsidP="00A72E02">
            <w:pPr>
              <w:rPr>
                <w:rFonts w:ascii="Times New Roman"/>
              </w:rPr>
            </w:pPr>
          </w:p>
        </w:tc>
        <w:tc>
          <w:tcPr>
            <w:tcW w:w="2803" w:type="dxa"/>
          </w:tcPr>
          <w:p w14:paraId="7C782D6F" w14:textId="77777777" w:rsidR="00A72E02" w:rsidRDefault="00A72E02" w:rsidP="00A72E02">
            <w:r>
              <w:t>CPCCJN3004A</w:t>
            </w:r>
          </w:p>
          <w:p w14:paraId="1F5238CE" w14:textId="2973E5E0" w:rsidR="00A72E02" w:rsidRDefault="00A72E02" w:rsidP="00A72E02">
            <w:r>
              <w:t>Manufacture joinery components</w:t>
            </w:r>
          </w:p>
        </w:tc>
        <w:tc>
          <w:tcPr>
            <w:tcW w:w="3062" w:type="dxa"/>
          </w:tcPr>
          <w:p w14:paraId="5E46813D" w14:textId="77777777" w:rsidR="00A72E02" w:rsidRDefault="00A72E02" w:rsidP="00A72E02">
            <w:r>
              <w:t>Supersedes and is equivalent to CPCCJN3004A</w:t>
            </w:r>
          </w:p>
          <w:p w14:paraId="51D8EA35" w14:textId="77777777" w:rsidR="00A72E02" w:rsidRDefault="00A72E02" w:rsidP="00A72E02">
            <w:r>
              <w:t>Manufacture joinery components.</w:t>
            </w:r>
          </w:p>
          <w:p w14:paraId="099DE66C" w14:textId="77777777" w:rsidR="00A72E02" w:rsidRDefault="00A72E02" w:rsidP="00A72E02">
            <w:r>
              <w:t>Title</w:t>
            </w:r>
            <w:r>
              <w:rPr>
                <w:spacing w:val="-8"/>
              </w:rPr>
              <w:t xml:space="preserve"> </w:t>
            </w:r>
            <w:r>
              <w:t>change.</w:t>
            </w:r>
          </w:p>
          <w:p w14:paraId="3059E79E" w14:textId="099D77AF" w:rsidR="00A72E02" w:rsidRDefault="00A72E02" w:rsidP="00A72E02">
            <w:r>
              <w:t>Updated to the Standards for Training Packages.</w:t>
            </w:r>
          </w:p>
        </w:tc>
        <w:tc>
          <w:tcPr>
            <w:tcW w:w="2308" w:type="dxa"/>
          </w:tcPr>
          <w:p w14:paraId="04175565" w14:textId="79051BC2" w:rsidR="00A72E02" w:rsidRDefault="00A72E02" w:rsidP="00A72E02">
            <w:r>
              <w:t>E</w:t>
            </w:r>
          </w:p>
        </w:tc>
      </w:tr>
      <w:tr w:rsidR="00A72E02" w14:paraId="4BC8AF0A" w14:textId="77777777" w:rsidTr="00190252">
        <w:trPr>
          <w:trHeight w:val="1074"/>
        </w:trPr>
        <w:tc>
          <w:tcPr>
            <w:tcW w:w="3254" w:type="dxa"/>
          </w:tcPr>
          <w:p w14:paraId="0C9616ED" w14:textId="2D30D08E" w:rsidR="00A72E02" w:rsidRDefault="00A72E02" w:rsidP="00775560">
            <w:pPr>
              <w:ind w:left="360"/>
            </w:pPr>
            <w:r>
              <w:t>CPCCJN3005 Cut and install glass</w:t>
            </w:r>
          </w:p>
        </w:tc>
        <w:tc>
          <w:tcPr>
            <w:tcW w:w="2520" w:type="dxa"/>
          </w:tcPr>
          <w:p w14:paraId="74FA37E5" w14:textId="77777777" w:rsidR="00A72E02" w:rsidRDefault="00A72E02" w:rsidP="00A72E02">
            <w:pPr>
              <w:rPr>
                <w:rFonts w:ascii="Times New Roman"/>
              </w:rPr>
            </w:pPr>
          </w:p>
        </w:tc>
        <w:tc>
          <w:tcPr>
            <w:tcW w:w="2803" w:type="dxa"/>
          </w:tcPr>
          <w:p w14:paraId="44BD92A1" w14:textId="77777777" w:rsidR="00A72E02" w:rsidRDefault="00A72E02" w:rsidP="00A72E02">
            <w:r>
              <w:t>CPCCJN3005A</w:t>
            </w:r>
          </w:p>
          <w:p w14:paraId="3E3F3611" w14:textId="37AF096C" w:rsidR="00A72E02" w:rsidRDefault="00A72E02" w:rsidP="00A72E02">
            <w:r>
              <w:t>Cut and install glass</w:t>
            </w:r>
          </w:p>
        </w:tc>
        <w:tc>
          <w:tcPr>
            <w:tcW w:w="3062" w:type="dxa"/>
          </w:tcPr>
          <w:p w14:paraId="51095365" w14:textId="77777777" w:rsidR="00A72E02" w:rsidRDefault="00A72E02" w:rsidP="00A72E02">
            <w:r>
              <w:t>Supersedes and is equivalent to CPCCJN3005A</w:t>
            </w:r>
          </w:p>
          <w:p w14:paraId="1A09F6FB" w14:textId="6DD11764" w:rsidR="00A72E02" w:rsidRDefault="00A72E02" w:rsidP="00A72E02">
            <w:r>
              <w:t>Cut and install glass. Updated to the Standards for Training</w:t>
            </w:r>
            <w:r>
              <w:rPr>
                <w:spacing w:val="-2"/>
              </w:rPr>
              <w:t xml:space="preserve"> </w:t>
            </w:r>
            <w:r>
              <w:t>Packages.</w:t>
            </w:r>
          </w:p>
        </w:tc>
        <w:tc>
          <w:tcPr>
            <w:tcW w:w="2308" w:type="dxa"/>
          </w:tcPr>
          <w:p w14:paraId="0B54B5A2" w14:textId="097B3F08" w:rsidR="00A72E02" w:rsidRDefault="00A72E02" w:rsidP="00A72E02">
            <w:r>
              <w:t>E</w:t>
            </w:r>
          </w:p>
        </w:tc>
      </w:tr>
      <w:tr w:rsidR="00A72E02" w14:paraId="08F02030" w14:textId="77777777" w:rsidTr="00190252">
        <w:trPr>
          <w:trHeight w:val="1074"/>
        </w:trPr>
        <w:tc>
          <w:tcPr>
            <w:tcW w:w="3254" w:type="dxa"/>
          </w:tcPr>
          <w:p w14:paraId="0C4290A3" w14:textId="77777777" w:rsidR="00A72E02" w:rsidRDefault="00A72E02" w:rsidP="00775560">
            <w:pPr>
              <w:ind w:left="360"/>
            </w:pPr>
            <w:r w:rsidRPr="00EC00CF">
              <w:t>CPCCJN3100 Process materials to produce components using static machines</w:t>
            </w:r>
          </w:p>
          <w:p w14:paraId="606A0BE9" w14:textId="37AD3E7A" w:rsidR="00775560" w:rsidRPr="00EC00CF" w:rsidRDefault="00775560" w:rsidP="00775560">
            <w:pPr>
              <w:ind w:left="360"/>
            </w:pPr>
          </w:p>
        </w:tc>
        <w:tc>
          <w:tcPr>
            <w:tcW w:w="2520" w:type="dxa"/>
          </w:tcPr>
          <w:p w14:paraId="54D358FC" w14:textId="77777777" w:rsidR="00A72E02" w:rsidRPr="00EC00CF" w:rsidRDefault="00A72E02" w:rsidP="00A72E02">
            <w:r w:rsidRPr="00EC00CF">
              <w:t>CPCCJN3001</w:t>
            </w:r>
          </w:p>
          <w:p w14:paraId="5F57C1E9" w14:textId="4B09A964" w:rsidR="00A72E02" w:rsidRPr="00EC00CF" w:rsidRDefault="00A72E02" w:rsidP="00A72E02">
            <w:pPr>
              <w:rPr>
                <w:rFonts w:ascii="Times New Roman"/>
              </w:rPr>
            </w:pPr>
            <w:r w:rsidRPr="00EC00CF">
              <w:t>Process materials to produce components using static machines</w:t>
            </w:r>
          </w:p>
        </w:tc>
        <w:tc>
          <w:tcPr>
            <w:tcW w:w="2803" w:type="dxa"/>
          </w:tcPr>
          <w:p w14:paraId="44B6E06F" w14:textId="77777777" w:rsidR="00A72E02" w:rsidRPr="00EC00CF" w:rsidRDefault="00A72E02" w:rsidP="00A72E02"/>
        </w:tc>
        <w:tc>
          <w:tcPr>
            <w:tcW w:w="3062" w:type="dxa"/>
          </w:tcPr>
          <w:p w14:paraId="4CB4461B" w14:textId="77777777" w:rsidR="00A72E02" w:rsidRPr="00EC00CF" w:rsidRDefault="00A72E02" w:rsidP="00A72E02">
            <w:r w:rsidRPr="00EC00CF">
              <w:t>Supersedes and is equivalent to CPCCJN3001</w:t>
            </w:r>
          </w:p>
          <w:p w14:paraId="3AF25F69" w14:textId="77777777" w:rsidR="00A72E02" w:rsidRPr="00EC00CF" w:rsidRDefault="00A72E02" w:rsidP="00A72E02">
            <w:r w:rsidRPr="00EC00CF">
              <w:t xml:space="preserve">Process materials to produce components using static </w:t>
            </w:r>
            <w:r w:rsidRPr="00EC00CF">
              <w:lastRenderedPageBreak/>
              <w:t>machines.</w:t>
            </w:r>
          </w:p>
          <w:p w14:paraId="36CCE588" w14:textId="7F4324AB" w:rsidR="00A72E02" w:rsidRPr="00EC00CF" w:rsidRDefault="00A72E02" w:rsidP="00A72E02">
            <w:r w:rsidRPr="00EC00CF">
              <w:t>Updated to reflect current industry terminology, tools and equipment.</w:t>
            </w:r>
          </w:p>
        </w:tc>
        <w:tc>
          <w:tcPr>
            <w:tcW w:w="2308" w:type="dxa"/>
          </w:tcPr>
          <w:p w14:paraId="6D8E58C3" w14:textId="4DE2B90B" w:rsidR="00A72E02" w:rsidRPr="00EC00CF" w:rsidRDefault="00A72E02" w:rsidP="00A72E02">
            <w:r w:rsidRPr="00EC00CF">
              <w:lastRenderedPageBreak/>
              <w:t>E</w:t>
            </w:r>
          </w:p>
        </w:tc>
      </w:tr>
      <w:tr w:rsidR="00A72E02" w14:paraId="13410017" w14:textId="77777777" w:rsidTr="00190252">
        <w:trPr>
          <w:trHeight w:val="1074"/>
        </w:trPr>
        <w:tc>
          <w:tcPr>
            <w:tcW w:w="3254" w:type="dxa"/>
          </w:tcPr>
          <w:p w14:paraId="2780E3E6" w14:textId="7288E77F" w:rsidR="00A72E02" w:rsidRPr="00190252" w:rsidRDefault="00A72E02" w:rsidP="00775560">
            <w:pPr>
              <w:ind w:left="360"/>
            </w:pPr>
            <w:r w:rsidRPr="00190252">
              <w:t>CPCCJS3002 Manufacture stair components for straight flighted stairs</w:t>
            </w:r>
          </w:p>
        </w:tc>
        <w:tc>
          <w:tcPr>
            <w:tcW w:w="2520" w:type="dxa"/>
          </w:tcPr>
          <w:p w14:paraId="16B3A3D5" w14:textId="77777777" w:rsidR="00A72E02" w:rsidRPr="00190252" w:rsidRDefault="00A72E02" w:rsidP="00A72E02"/>
        </w:tc>
        <w:tc>
          <w:tcPr>
            <w:tcW w:w="2803" w:type="dxa"/>
          </w:tcPr>
          <w:p w14:paraId="0925EEFF" w14:textId="77777777" w:rsidR="00A72E02" w:rsidRPr="00190252" w:rsidRDefault="00A72E02" w:rsidP="00A72E02">
            <w:r w:rsidRPr="00190252">
              <w:t>CPCCJS3002A</w:t>
            </w:r>
          </w:p>
          <w:p w14:paraId="04A0DB7A" w14:textId="0F4E69DB" w:rsidR="00A72E02" w:rsidRPr="00190252" w:rsidRDefault="00A72E02" w:rsidP="00A72E02">
            <w:r w:rsidRPr="00190252">
              <w:t>Manufacture stair components for</w:t>
            </w:r>
            <w:r w:rsidRPr="00190252">
              <w:rPr>
                <w:spacing w:val="-12"/>
              </w:rPr>
              <w:t xml:space="preserve"> </w:t>
            </w:r>
            <w:r w:rsidRPr="00190252">
              <w:t>straight flighted</w:t>
            </w:r>
            <w:r w:rsidRPr="00190252">
              <w:rPr>
                <w:spacing w:val="-2"/>
              </w:rPr>
              <w:t xml:space="preserve"> </w:t>
            </w:r>
            <w:r w:rsidRPr="00190252">
              <w:t>stairs</w:t>
            </w:r>
          </w:p>
        </w:tc>
        <w:tc>
          <w:tcPr>
            <w:tcW w:w="3062" w:type="dxa"/>
          </w:tcPr>
          <w:p w14:paraId="4E3FB965" w14:textId="77777777" w:rsidR="00A72E02" w:rsidRPr="00190252" w:rsidRDefault="00A72E02" w:rsidP="00A72E02">
            <w:r w:rsidRPr="00190252">
              <w:t>Supersedes and is equivalent to CPCCJS3002A</w:t>
            </w:r>
          </w:p>
          <w:p w14:paraId="7DB8326D" w14:textId="77777777" w:rsidR="00A72E02" w:rsidRPr="00190252" w:rsidRDefault="00A72E02" w:rsidP="00A72E02">
            <w:r w:rsidRPr="00190252">
              <w:t>Manufacture stair components for straight flighted stairs.</w:t>
            </w:r>
          </w:p>
          <w:p w14:paraId="2A109A88" w14:textId="1E737E87" w:rsidR="00A72E02" w:rsidRPr="00190252" w:rsidRDefault="00A72E02" w:rsidP="00A72E02">
            <w:r w:rsidRPr="00190252">
              <w:t>Updated to the Standards for Training Packages.</w:t>
            </w:r>
          </w:p>
        </w:tc>
        <w:tc>
          <w:tcPr>
            <w:tcW w:w="2308" w:type="dxa"/>
          </w:tcPr>
          <w:p w14:paraId="5A052A9F" w14:textId="4FC9CF7E" w:rsidR="00A72E02" w:rsidRPr="00190252" w:rsidRDefault="00A72E02" w:rsidP="00A72E02">
            <w:r w:rsidRPr="00190252">
              <w:t>E</w:t>
            </w:r>
          </w:p>
        </w:tc>
      </w:tr>
      <w:tr w:rsidR="00A72E02" w14:paraId="48B19023" w14:textId="77777777" w:rsidTr="00190252">
        <w:trPr>
          <w:trHeight w:val="1074"/>
        </w:trPr>
        <w:tc>
          <w:tcPr>
            <w:tcW w:w="3254" w:type="dxa"/>
          </w:tcPr>
          <w:p w14:paraId="3FAD1C2A" w14:textId="0C29F56F" w:rsidR="00A72E02" w:rsidRDefault="00A72E02" w:rsidP="00775560">
            <w:pPr>
              <w:ind w:left="360"/>
            </w:pPr>
            <w:r>
              <w:t>CPCCJS3003 Assemble and install stairs</w:t>
            </w:r>
          </w:p>
        </w:tc>
        <w:tc>
          <w:tcPr>
            <w:tcW w:w="2520" w:type="dxa"/>
          </w:tcPr>
          <w:p w14:paraId="6F1E5EBB" w14:textId="77777777" w:rsidR="00A72E02" w:rsidRDefault="00A72E02" w:rsidP="00A72E02"/>
        </w:tc>
        <w:tc>
          <w:tcPr>
            <w:tcW w:w="2803" w:type="dxa"/>
          </w:tcPr>
          <w:p w14:paraId="40B962F0" w14:textId="77777777" w:rsidR="00A72E02" w:rsidRDefault="00A72E02" w:rsidP="00A72E02">
            <w:r>
              <w:t>CPCCJS3003A</w:t>
            </w:r>
          </w:p>
          <w:p w14:paraId="7B252637" w14:textId="23157332" w:rsidR="00A72E02" w:rsidRDefault="00A72E02" w:rsidP="00A72E02">
            <w:r>
              <w:t>Assemble and install stairs</w:t>
            </w:r>
          </w:p>
        </w:tc>
        <w:tc>
          <w:tcPr>
            <w:tcW w:w="3062" w:type="dxa"/>
          </w:tcPr>
          <w:p w14:paraId="08F10F1F" w14:textId="77777777" w:rsidR="00A72E02" w:rsidRDefault="00A72E02" w:rsidP="00A72E02">
            <w:r>
              <w:t>Supersedes and is equivalent to CPCCJS3003A</w:t>
            </w:r>
          </w:p>
          <w:p w14:paraId="5B37F69A" w14:textId="22DDD674" w:rsidR="00A72E02" w:rsidRDefault="00A72E02" w:rsidP="00A72E02">
            <w:r>
              <w:t>Assemble and install stairs. Updated to the Standards for Training Packages.</w:t>
            </w:r>
          </w:p>
        </w:tc>
        <w:tc>
          <w:tcPr>
            <w:tcW w:w="2308" w:type="dxa"/>
          </w:tcPr>
          <w:p w14:paraId="0CFC5E12" w14:textId="3378F0D7" w:rsidR="00A72E02" w:rsidRDefault="00A72E02" w:rsidP="00A72E02">
            <w:r>
              <w:t>E</w:t>
            </w:r>
          </w:p>
        </w:tc>
      </w:tr>
      <w:tr w:rsidR="00A72E02" w14:paraId="66763D21" w14:textId="77777777" w:rsidTr="00190252">
        <w:trPr>
          <w:trHeight w:val="1074"/>
        </w:trPr>
        <w:tc>
          <w:tcPr>
            <w:tcW w:w="3254" w:type="dxa"/>
          </w:tcPr>
          <w:p w14:paraId="5EF36003" w14:textId="41BC33A2" w:rsidR="00A72E02" w:rsidRDefault="00A72E02" w:rsidP="00775560">
            <w:pPr>
              <w:ind w:left="360"/>
            </w:pPr>
            <w:r>
              <w:t>CPCCJS3004 Manufacture and install continuous handrailing and special stair components</w:t>
            </w:r>
          </w:p>
        </w:tc>
        <w:tc>
          <w:tcPr>
            <w:tcW w:w="2520" w:type="dxa"/>
          </w:tcPr>
          <w:p w14:paraId="39B73000" w14:textId="77777777" w:rsidR="00A72E02" w:rsidRDefault="00A72E02" w:rsidP="00A72E02"/>
        </w:tc>
        <w:tc>
          <w:tcPr>
            <w:tcW w:w="2803" w:type="dxa"/>
          </w:tcPr>
          <w:p w14:paraId="6C15AB49" w14:textId="77777777" w:rsidR="00A72E02" w:rsidRDefault="00A72E02" w:rsidP="00A72E02">
            <w:r>
              <w:t>CPCCJS3004A</w:t>
            </w:r>
          </w:p>
          <w:p w14:paraId="43B952D5" w14:textId="1658FCC5" w:rsidR="00A72E02" w:rsidRDefault="00A72E02" w:rsidP="00A72E02">
            <w:r>
              <w:t>Manufacture and install continuous handrailing and special stair components</w:t>
            </w:r>
          </w:p>
        </w:tc>
        <w:tc>
          <w:tcPr>
            <w:tcW w:w="3062" w:type="dxa"/>
          </w:tcPr>
          <w:p w14:paraId="6EE5BEBF" w14:textId="77777777" w:rsidR="00A72E02" w:rsidRDefault="00A72E02" w:rsidP="00A72E02">
            <w:r>
              <w:t>Supersedes and is equivalent to CPCCJS3004A</w:t>
            </w:r>
          </w:p>
          <w:p w14:paraId="37AB7F42" w14:textId="7ED39387" w:rsidR="00A72E02" w:rsidRDefault="00A72E02" w:rsidP="00A72E02">
            <w:r>
              <w:t>Manufacture and install continuous handrailing and special stair components. Updated to the Standards for Training Packages.</w:t>
            </w:r>
          </w:p>
        </w:tc>
        <w:tc>
          <w:tcPr>
            <w:tcW w:w="2308" w:type="dxa"/>
          </w:tcPr>
          <w:p w14:paraId="493DE490" w14:textId="15CFA2D9" w:rsidR="00A72E02" w:rsidRDefault="00A72E02" w:rsidP="00A72E02">
            <w:r>
              <w:t>E</w:t>
            </w:r>
          </w:p>
        </w:tc>
      </w:tr>
      <w:tr w:rsidR="00A72E02" w14:paraId="7EF3E3B4" w14:textId="77777777" w:rsidTr="00190252">
        <w:trPr>
          <w:trHeight w:val="1074"/>
        </w:trPr>
        <w:tc>
          <w:tcPr>
            <w:tcW w:w="3254" w:type="dxa"/>
          </w:tcPr>
          <w:p w14:paraId="61140C81" w14:textId="59A71B99" w:rsidR="00A72E02" w:rsidRDefault="00A72E02" w:rsidP="00775560">
            <w:pPr>
              <w:ind w:left="360"/>
            </w:pPr>
            <w:r>
              <w:t>CPCCJS3005 Manufacture stair components for curved and geometric stairs</w:t>
            </w:r>
          </w:p>
        </w:tc>
        <w:tc>
          <w:tcPr>
            <w:tcW w:w="2520" w:type="dxa"/>
          </w:tcPr>
          <w:p w14:paraId="593091D2" w14:textId="77777777" w:rsidR="00A72E02" w:rsidRDefault="00A72E02" w:rsidP="00A72E02"/>
        </w:tc>
        <w:tc>
          <w:tcPr>
            <w:tcW w:w="2803" w:type="dxa"/>
          </w:tcPr>
          <w:p w14:paraId="7ADAA255" w14:textId="77777777" w:rsidR="00A72E02" w:rsidRDefault="00A72E02" w:rsidP="00A72E02">
            <w:r>
              <w:t>CPCCJS3005A</w:t>
            </w:r>
          </w:p>
          <w:p w14:paraId="375700C7" w14:textId="30928A58" w:rsidR="00A72E02" w:rsidRDefault="00A72E02" w:rsidP="00A72E02">
            <w:r>
              <w:t>Manufacture stair components for curved and geometric stairs</w:t>
            </w:r>
          </w:p>
        </w:tc>
        <w:tc>
          <w:tcPr>
            <w:tcW w:w="3062" w:type="dxa"/>
          </w:tcPr>
          <w:p w14:paraId="00D2285E" w14:textId="77777777" w:rsidR="00A72E02" w:rsidRDefault="00A72E02" w:rsidP="00A72E02">
            <w:r>
              <w:t>Supersedes and is equivalent to CPCCJS3005A</w:t>
            </w:r>
          </w:p>
          <w:p w14:paraId="19633BD3" w14:textId="77777777" w:rsidR="00A72E02" w:rsidRDefault="00A72E02" w:rsidP="00A72E02">
            <w:r>
              <w:t>Manufacture stair components for curved and geometric stairs.</w:t>
            </w:r>
          </w:p>
          <w:p w14:paraId="0EFABE6F" w14:textId="77777777" w:rsidR="00A72E02" w:rsidRDefault="00A72E02" w:rsidP="00A72E02">
            <w:r>
              <w:t>Updated to the Standards for</w:t>
            </w:r>
          </w:p>
          <w:p w14:paraId="1FC5A3D1" w14:textId="446870D1" w:rsidR="00A72E02" w:rsidRDefault="00A72E02" w:rsidP="00A72E02">
            <w:r>
              <w:t>Training Packages.</w:t>
            </w:r>
          </w:p>
        </w:tc>
        <w:tc>
          <w:tcPr>
            <w:tcW w:w="2308" w:type="dxa"/>
          </w:tcPr>
          <w:p w14:paraId="7C2A5460" w14:textId="75BCE4DE" w:rsidR="00A72E02" w:rsidRDefault="00A72E02" w:rsidP="00A72E02">
            <w:r>
              <w:t>E</w:t>
            </w:r>
          </w:p>
        </w:tc>
      </w:tr>
      <w:tr w:rsidR="00A72E02" w14:paraId="7282585A" w14:textId="77777777" w:rsidTr="00190252">
        <w:trPr>
          <w:trHeight w:val="1074"/>
        </w:trPr>
        <w:tc>
          <w:tcPr>
            <w:tcW w:w="3254" w:type="dxa"/>
          </w:tcPr>
          <w:p w14:paraId="212329AD" w14:textId="6AA50032" w:rsidR="00A72E02" w:rsidRPr="00EC00CF" w:rsidRDefault="00A72E02" w:rsidP="00775560">
            <w:pPr>
              <w:ind w:left="360"/>
            </w:pPr>
            <w:r w:rsidRPr="00EC00CF">
              <w:t>CPCCJS3006 Construct, assemble and install composite external stairs</w:t>
            </w:r>
          </w:p>
        </w:tc>
        <w:tc>
          <w:tcPr>
            <w:tcW w:w="2520" w:type="dxa"/>
          </w:tcPr>
          <w:p w14:paraId="5D02931C" w14:textId="77777777" w:rsidR="00A72E02" w:rsidRPr="00EC00CF" w:rsidRDefault="00A72E02" w:rsidP="00A72E02"/>
        </w:tc>
        <w:tc>
          <w:tcPr>
            <w:tcW w:w="2803" w:type="dxa"/>
          </w:tcPr>
          <w:p w14:paraId="57057F90" w14:textId="77777777" w:rsidR="00A72E02" w:rsidRPr="00EC00CF" w:rsidRDefault="00A72E02" w:rsidP="00A72E02">
            <w:r w:rsidRPr="00EC00CF">
              <w:t>CPCCJS3006A</w:t>
            </w:r>
          </w:p>
          <w:p w14:paraId="46D27B07" w14:textId="08FBABC1" w:rsidR="00A72E02" w:rsidRPr="00EC00CF" w:rsidRDefault="00A72E02" w:rsidP="00A72E02">
            <w:r w:rsidRPr="00EC00CF">
              <w:t>Construct fabricated stairs</w:t>
            </w:r>
          </w:p>
        </w:tc>
        <w:tc>
          <w:tcPr>
            <w:tcW w:w="3062" w:type="dxa"/>
          </w:tcPr>
          <w:p w14:paraId="39F8C8EE" w14:textId="77777777" w:rsidR="00A72E02" w:rsidRPr="00EC00CF" w:rsidRDefault="00A72E02" w:rsidP="00A72E02">
            <w:r w:rsidRPr="00EC00CF">
              <w:t>Supersedes and is equivalent to CPCCJS3006A</w:t>
            </w:r>
          </w:p>
          <w:p w14:paraId="184126AF" w14:textId="77777777" w:rsidR="00A72E02" w:rsidRPr="00EC00CF" w:rsidRDefault="00A72E02" w:rsidP="00A72E02">
            <w:r w:rsidRPr="00EC00CF">
              <w:t>Construct fabricated stairs. Title change.</w:t>
            </w:r>
          </w:p>
          <w:p w14:paraId="13C69DED" w14:textId="1675C159" w:rsidR="00A72E02" w:rsidRPr="00EC00CF" w:rsidRDefault="00A72E02" w:rsidP="00A72E02">
            <w:r w:rsidRPr="00EC00CF">
              <w:t>Updated to the Standards for Training Packages.</w:t>
            </w:r>
          </w:p>
        </w:tc>
        <w:tc>
          <w:tcPr>
            <w:tcW w:w="2308" w:type="dxa"/>
          </w:tcPr>
          <w:p w14:paraId="45A55388" w14:textId="3E872888" w:rsidR="00A72E02" w:rsidRPr="00EC00CF" w:rsidRDefault="00A72E02" w:rsidP="00A72E02">
            <w:r w:rsidRPr="00EC00CF">
              <w:t>E</w:t>
            </w:r>
          </w:p>
        </w:tc>
      </w:tr>
      <w:tr w:rsidR="00A72E02" w14:paraId="1FAB6AC0" w14:textId="77777777" w:rsidTr="00190252">
        <w:trPr>
          <w:trHeight w:val="1074"/>
        </w:trPr>
        <w:tc>
          <w:tcPr>
            <w:tcW w:w="3254" w:type="dxa"/>
          </w:tcPr>
          <w:p w14:paraId="0D846DA2" w14:textId="0160C420" w:rsidR="00A72E02" w:rsidRDefault="00A72E02" w:rsidP="00775560">
            <w:pPr>
              <w:ind w:left="360"/>
            </w:pPr>
            <w:r>
              <w:lastRenderedPageBreak/>
              <w:t>CPCCJS3011 Design and set out stairs</w:t>
            </w:r>
          </w:p>
        </w:tc>
        <w:tc>
          <w:tcPr>
            <w:tcW w:w="2520" w:type="dxa"/>
          </w:tcPr>
          <w:p w14:paraId="2C6E99EC" w14:textId="77777777" w:rsidR="00A72E02" w:rsidRDefault="00A72E02" w:rsidP="00A72E02"/>
        </w:tc>
        <w:tc>
          <w:tcPr>
            <w:tcW w:w="2803" w:type="dxa"/>
          </w:tcPr>
          <w:p w14:paraId="06473535" w14:textId="77777777" w:rsidR="00A72E02" w:rsidRDefault="00A72E02" w:rsidP="00A72E02">
            <w:r>
              <w:t>CPCCJS3011A</w:t>
            </w:r>
          </w:p>
          <w:p w14:paraId="2A13C3CF" w14:textId="74D0DAA3" w:rsidR="00A72E02" w:rsidRDefault="00A72E02" w:rsidP="00A72E02">
            <w:r>
              <w:t>Design and set out stairs</w:t>
            </w:r>
          </w:p>
        </w:tc>
        <w:tc>
          <w:tcPr>
            <w:tcW w:w="3062" w:type="dxa"/>
          </w:tcPr>
          <w:p w14:paraId="384CB9E7" w14:textId="77777777" w:rsidR="00A72E02" w:rsidRDefault="00A72E02" w:rsidP="00A72E02">
            <w:r>
              <w:t>Supersedes and is equivalent to CPCCJS3011A</w:t>
            </w:r>
          </w:p>
          <w:p w14:paraId="534BA434" w14:textId="7284A4BD" w:rsidR="00A72E02" w:rsidRDefault="00A72E02" w:rsidP="00A72E02">
            <w:r>
              <w:t>Design and set out stairs. Updated to the Standards for Training Packages.</w:t>
            </w:r>
          </w:p>
        </w:tc>
        <w:tc>
          <w:tcPr>
            <w:tcW w:w="2308" w:type="dxa"/>
          </w:tcPr>
          <w:p w14:paraId="17E74E16" w14:textId="65B0CDFC" w:rsidR="00A72E02" w:rsidRDefault="00A72E02" w:rsidP="00A72E02">
            <w:r>
              <w:t>E</w:t>
            </w:r>
          </w:p>
        </w:tc>
      </w:tr>
      <w:tr w:rsidR="00A72E02" w14:paraId="5F9422E9" w14:textId="77777777" w:rsidTr="00190252">
        <w:trPr>
          <w:trHeight w:val="1074"/>
        </w:trPr>
        <w:tc>
          <w:tcPr>
            <w:tcW w:w="3254" w:type="dxa"/>
          </w:tcPr>
          <w:p w14:paraId="40611872" w14:textId="55B300DC" w:rsidR="00A72E02" w:rsidRDefault="00A72E02" w:rsidP="00775560">
            <w:pPr>
              <w:ind w:left="360"/>
            </w:pPr>
            <w:r>
              <w:t>CPCCOM3001 Perform construction calculations to determine carpentry material requirements</w:t>
            </w:r>
          </w:p>
        </w:tc>
        <w:tc>
          <w:tcPr>
            <w:tcW w:w="2520" w:type="dxa"/>
          </w:tcPr>
          <w:p w14:paraId="67F3B377" w14:textId="77777777" w:rsidR="00A72E02" w:rsidRDefault="00A72E02" w:rsidP="00A72E02"/>
        </w:tc>
        <w:tc>
          <w:tcPr>
            <w:tcW w:w="2803" w:type="dxa"/>
          </w:tcPr>
          <w:p w14:paraId="0B38C535" w14:textId="4F34ED1C" w:rsidR="00A72E02" w:rsidRDefault="00A72E02" w:rsidP="00A72E02">
            <w:r>
              <w:t>New unit.</w:t>
            </w:r>
          </w:p>
        </w:tc>
        <w:tc>
          <w:tcPr>
            <w:tcW w:w="3062" w:type="dxa"/>
          </w:tcPr>
          <w:p w14:paraId="1BF24817" w14:textId="68106508" w:rsidR="00A72E02" w:rsidRDefault="00A72E02" w:rsidP="00A72E02"/>
        </w:tc>
        <w:tc>
          <w:tcPr>
            <w:tcW w:w="2308" w:type="dxa"/>
          </w:tcPr>
          <w:p w14:paraId="38C458EC" w14:textId="4DCA61A2" w:rsidR="00A72E02" w:rsidRDefault="00A72E02" w:rsidP="00A72E02"/>
        </w:tc>
      </w:tr>
      <w:tr w:rsidR="00A72E02" w14:paraId="029F4394" w14:textId="77777777" w:rsidTr="00190252">
        <w:trPr>
          <w:trHeight w:val="1074"/>
        </w:trPr>
        <w:tc>
          <w:tcPr>
            <w:tcW w:w="3254" w:type="dxa"/>
          </w:tcPr>
          <w:p w14:paraId="510C21EE" w14:textId="3C79284F" w:rsidR="00A72E02" w:rsidRDefault="00A72E02" w:rsidP="00775560">
            <w:pPr>
              <w:ind w:left="360"/>
            </w:pPr>
            <w:r>
              <w:t>CPCCOM3006 Carry out levelling operations</w:t>
            </w:r>
          </w:p>
        </w:tc>
        <w:tc>
          <w:tcPr>
            <w:tcW w:w="2520" w:type="dxa"/>
          </w:tcPr>
          <w:p w14:paraId="597E86C5" w14:textId="0F0C3013" w:rsidR="00A72E02" w:rsidRDefault="00A72E02" w:rsidP="00A72E02">
            <w:r>
              <w:t>CPCCCM3006 Carry out levelling operations</w:t>
            </w:r>
          </w:p>
        </w:tc>
        <w:tc>
          <w:tcPr>
            <w:tcW w:w="2803" w:type="dxa"/>
          </w:tcPr>
          <w:p w14:paraId="66050F34" w14:textId="0FC44AC7" w:rsidR="00A72E02" w:rsidRDefault="00A72E02" w:rsidP="00A72E02"/>
        </w:tc>
        <w:tc>
          <w:tcPr>
            <w:tcW w:w="3062" w:type="dxa"/>
          </w:tcPr>
          <w:p w14:paraId="619D066B" w14:textId="77777777" w:rsidR="00A72E02" w:rsidRDefault="00A72E02" w:rsidP="00A72E02">
            <w:r>
              <w:t>Supersedes and is equivalent to CPCCCM3006 Carry out levelling operations</w:t>
            </w:r>
          </w:p>
          <w:p w14:paraId="6B251D59" w14:textId="600C1594" w:rsidR="00A72E02" w:rsidRDefault="00A72E02" w:rsidP="00A72E02">
            <w:r>
              <w:t>Updated to reflect current industry terminology, tools and equipment</w:t>
            </w:r>
          </w:p>
        </w:tc>
        <w:tc>
          <w:tcPr>
            <w:tcW w:w="2308" w:type="dxa"/>
          </w:tcPr>
          <w:p w14:paraId="09E3C8E9" w14:textId="4AA4BF62" w:rsidR="00A72E02" w:rsidRDefault="00A72E02" w:rsidP="00A72E02">
            <w:r>
              <w:t>E</w:t>
            </w:r>
          </w:p>
        </w:tc>
      </w:tr>
      <w:tr w:rsidR="00A72E02" w14:paraId="1437BA46" w14:textId="77777777" w:rsidTr="00190252">
        <w:trPr>
          <w:trHeight w:val="1074"/>
        </w:trPr>
        <w:tc>
          <w:tcPr>
            <w:tcW w:w="3254" w:type="dxa"/>
          </w:tcPr>
          <w:p w14:paraId="32F02955" w14:textId="2D4EECAB" w:rsidR="00A72E02" w:rsidRDefault="00A72E02" w:rsidP="00775560">
            <w:pPr>
              <w:ind w:left="360"/>
            </w:pPr>
            <w:r>
              <w:t>CPCWHS3001 Identify construction work hazards and select risk control strategies</w:t>
            </w:r>
          </w:p>
        </w:tc>
        <w:tc>
          <w:tcPr>
            <w:tcW w:w="2520" w:type="dxa"/>
          </w:tcPr>
          <w:p w14:paraId="426E6DEF" w14:textId="47DA1C56" w:rsidR="00A72E02" w:rsidRDefault="00A72E02" w:rsidP="00A72E02">
            <w:r>
              <w:t>CPCCWHS3001 Identify construction work hazards and select risk control strategies.</w:t>
            </w:r>
          </w:p>
        </w:tc>
        <w:tc>
          <w:tcPr>
            <w:tcW w:w="2803" w:type="dxa"/>
          </w:tcPr>
          <w:p w14:paraId="217C4251" w14:textId="2AE029EF" w:rsidR="00A72E02" w:rsidRDefault="00A72E02" w:rsidP="00A72E02"/>
        </w:tc>
        <w:tc>
          <w:tcPr>
            <w:tcW w:w="3062" w:type="dxa"/>
          </w:tcPr>
          <w:p w14:paraId="157DDC45" w14:textId="77777777" w:rsidR="00A72E02" w:rsidRDefault="00A72E02" w:rsidP="00A72E02">
            <w:r>
              <w:t>Supersedes and is equivalent to CPCCWHS3001 Identify construction work hazards and select risk control strategies.</w:t>
            </w:r>
          </w:p>
          <w:p w14:paraId="3708E4C2" w14:textId="1878126B" w:rsidR="00A72E02" w:rsidRDefault="00A72E02" w:rsidP="00A72E02">
            <w:r>
              <w:t>Updated to reflect current industry terminology, tools and equipment.</w:t>
            </w:r>
          </w:p>
        </w:tc>
        <w:tc>
          <w:tcPr>
            <w:tcW w:w="2308" w:type="dxa"/>
          </w:tcPr>
          <w:p w14:paraId="6B3CBD51" w14:textId="5167540F" w:rsidR="00A72E02" w:rsidRDefault="00A72E02" w:rsidP="00A72E02">
            <w:r>
              <w:t>E</w:t>
            </w:r>
          </w:p>
        </w:tc>
      </w:tr>
    </w:tbl>
    <w:p w14:paraId="0AF7D941" w14:textId="77777777" w:rsidR="008A2EDE" w:rsidRDefault="008A2EDE" w:rsidP="0076590C">
      <w:pPr>
        <w:sectPr w:rsidR="008A2EDE">
          <w:headerReference w:type="even" r:id="rId23"/>
          <w:headerReference w:type="default" r:id="rId24"/>
          <w:footerReference w:type="default" r:id="rId25"/>
          <w:headerReference w:type="first" r:id="rId26"/>
          <w:pgSz w:w="16840" w:h="11900" w:orient="landscape"/>
          <w:pgMar w:top="1100" w:right="1280" w:bottom="740" w:left="1340" w:header="0" w:footer="557" w:gutter="0"/>
          <w:cols w:space="720"/>
        </w:sectPr>
      </w:pPr>
    </w:p>
    <w:p w14:paraId="33901F74" w14:textId="77777777" w:rsidR="0076590C" w:rsidRDefault="0076590C" w:rsidP="0076590C">
      <w:pPr>
        <w:pStyle w:val="Heading7"/>
        <w:spacing w:before="101"/>
        <w:ind w:left="100"/>
      </w:pPr>
      <w:r>
        <w:lastRenderedPageBreak/>
        <w:t>Imported units of competency</w:t>
      </w:r>
    </w:p>
    <w:p w14:paraId="3B137E4E" w14:textId="77777777" w:rsidR="0076590C" w:rsidRDefault="0076590C" w:rsidP="0076590C">
      <w:pPr>
        <w:pStyle w:val="BodyText"/>
        <w:spacing w:before="11"/>
        <w:rPr>
          <w:b/>
          <w:sz w:val="21"/>
        </w:rPr>
      </w:pPr>
    </w:p>
    <w:tbl>
      <w:tblPr>
        <w:tblW w:w="0" w:type="auto"/>
        <w:tblInd w:w="1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213"/>
        <w:gridCol w:w="8530"/>
        <w:gridCol w:w="3250"/>
      </w:tblGrid>
      <w:tr w:rsidR="0076590C" w14:paraId="5C8E644B" w14:textId="77777777" w:rsidTr="0076590C">
        <w:trPr>
          <w:trHeight w:val="273"/>
        </w:trPr>
        <w:tc>
          <w:tcPr>
            <w:tcW w:w="2213" w:type="dxa"/>
          </w:tcPr>
          <w:p w14:paraId="75E15604" w14:textId="77777777" w:rsidR="0076590C" w:rsidRDefault="0076590C" w:rsidP="0076590C">
            <w:pPr>
              <w:pStyle w:val="TableParagraph"/>
              <w:spacing w:before="1" w:line="252" w:lineRule="exact"/>
              <w:ind w:left="110"/>
              <w:rPr>
                <w:b/>
              </w:rPr>
            </w:pPr>
            <w:r>
              <w:rPr>
                <w:b/>
              </w:rPr>
              <w:t>Code</w:t>
            </w:r>
          </w:p>
        </w:tc>
        <w:tc>
          <w:tcPr>
            <w:tcW w:w="8530" w:type="dxa"/>
          </w:tcPr>
          <w:p w14:paraId="60ADD5EE" w14:textId="77777777" w:rsidR="0076590C" w:rsidRDefault="0076590C" w:rsidP="0076590C">
            <w:pPr>
              <w:pStyle w:val="TableParagraph"/>
              <w:spacing w:before="1" w:line="252" w:lineRule="exact"/>
              <w:ind w:left="105"/>
              <w:rPr>
                <w:b/>
              </w:rPr>
            </w:pPr>
            <w:r>
              <w:rPr>
                <w:b/>
              </w:rPr>
              <w:t>Title</w:t>
            </w:r>
          </w:p>
        </w:tc>
        <w:tc>
          <w:tcPr>
            <w:tcW w:w="3250" w:type="dxa"/>
          </w:tcPr>
          <w:p w14:paraId="07F4FCAE" w14:textId="77777777" w:rsidR="0076590C" w:rsidRDefault="0076590C" w:rsidP="0076590C">
            <w:pPr>
              <w:pStyle w:val="TableParagraph"/>
              <w:spacing w:before="1" w:line="252" w:lineRule="exact"/>
              <w:ind w:left="104"/>
              <w:rPr>
                <w:b/>
              </w:rPr>
            </w:pPr>
            <w:r>
              <w:rPr>
                <w:b/>
              </w:rPr>
              <w:t>Training Package</w:t>
            </w:r>
          </w:p>
        </w:tc>
      </w:tr>
      <w:tr w:rsidR="0076590C" w14:paraId="3770542D" w14:textId="77777777" w:rsidTr="0076590C">
        <w:trPr>
          <w:trHeight w:val="268"/>
        </w:trPr>
        <w:tc>
          <w:tcPr>
            <w:tcW w:w="2213" w:type="dxa"/>
          </w:tcPr>
          <w:p w14:paraId="5DAA7D37" w14:textId="77777777" w:rsidR="0076590C" w:rsidRDefault="0076590C" w:rsidP="0076590C">
            <w:pPr>
              <w:pStyle w:val="TableParagraph"/>
              <w:spacing w:before="1" w:line="247" w:lineRule="exact"/>
              <w:ind w:left="110"/>
            </w:pPr>
            <w:r>
              <w:t>MSFFM3009</w:t>
            </w:r>
          </w:p>
        </w:tc>
        <w:tc>
          <w:tcPr>
            <w:tcW w:w="8530" w:type="dxa"/>
          </w:tcPr>
          <w:p w14:paraId="70929D5D" w14:textId="77777777" w:rsidR="0076590C" w:rsidRDefault="0076590C" w:rsidP="0076590C">
            <w:pPr>
              <w:pStyle w:val="TableParagraph"/>
              <w:spacing w:before="1" w:line="247" w:lineRule="exact"/>
              <w:ind w:left="105"/>
            </w:pPr>
            <w:r>
              <w:t>Produce manual and computer-aided production drawings</w:t>
            </w:r>
          </w:p>
        </w:tc>
        <w:tc>
          <w:tcPr>
            <w:tcW w:w="3250" w:type="dxa"/>
          </w:tcPr>
          <w:p w14:paraId="43ABF8B0" w14:textId="77777777" w:rsidR="0076590C" w:rsidRDefault="0076590C" w:rsidP="0076590C">
            <w:pPr>
              <w:pStyle w:val="TableParagraph"/>
              <w:spacing w:before="1" w:line="247" w:lineRule="exact"/>
              <w:ind w:left="104"/>
            </w:pPr>
            <w:r>
              <w:t>MSF Furnishing Training Package</w:t>
            </w:r>
          </w:p>
        </w:tc>
      </w:tr>
      <w:tr w:rsidR="0076590C" w14:paraId="2C6BEEEB" w14:textId="77777777" w:rsidTr="0076590C">
        <w:trPr>
          <w:trHeight w:val="268"/>
        </w:trPr>
        <w:tc>
          <w:tcPr>
            <w:tcW w:w="2213" w:type="dxa"/>
          </w:tcPr>
          <w:p w14:paraId="6B5A0CD3" w14:textId="77777777" w:rsidR="0076590C" w:rsidRDefault="0076590C" w:rsidP="0076590C">
            <w:pPr>
              <w:pStyle w:val="TableParagraph"/>
              <w:spacing w:before="1" w:line="247" w:lineRule="exact"/>
              <w:ind w:left="110"/>
            </w:pPr>
            <w:r>
              <w:t>MSFFM3011</w:t>
            </w:r>
          </w:p>
        </w:tc>
        <w:tc>
          <w:tcPr>
            <w:tcW w:w="8530" w:type="dxa"/>
          </w:tcPr>
          <w:p w14:paraId="78AAE99E" w14:textId="77777777" w:rsidR="0076590C" w:rsidRDefault="0076590C" w:rsidP="0076590C">
            <w:pPr>
              <w:pStyle w:val="TableParagraph"/>
              <w:spacing w:before="1" w:line="247" w:lineRule="exact"/>
              <w:ind w:left="105"/>
            </w:pPr>
            <w:r>
              <w:t>Measure and draw site layout for manufactured furniture products</w:t>
            </w:r>
          </w:p>
        </w:tc>
        <w:tc>
          <w:tcPr>
            <w:tcW w:w="3250" w:type="dxa"/>
          </w:tcPr>
          <w:p w14:paraId="4FD1530D" w14:textId="77777777" w:rsidR="0076590C" w:rsidRDefault="0076590C" w:rsidP="0076590C">
            <w:pPr>
              <w:pStyle w:val="TableParagraph"/>
              <w:spacing w:before="1" w:line="247" w:lineRule="exact"/>
              <w:ind w:left="104"/>
            </w:pPr>
            <w:r>
              <w:t>MSF Furnishing Training Package</w:t>
            </w:r>
          </w:p>
        </w:tc>
      </w:tr>
      <w:tr w:rsidR="0076590C" w14:paraId="7280EE61" w14:textId="77777777" w:rsidTr="0076590C">
        <w:trPr>
          <w:trHeight w:val="268"/>
        </w:trPr>
        <w:tc>
          <w:tcPr>
            <w:tcW w:w="2213" w:type="dxa"/>
          </w:tcPr>
          <w:p w14:paraId="43B97501" w14:textId="77777777" w:rsidR="0076590C" w:rsidRDefault="0076590C" w:rsidP="0076590C">
            <w:pPr>
              <w:pStyle w:val="TableParagraph"/>
              <w:spacing w:before="1" w:line="247" w:lineRule="exact"/>
              <w:ind w:left="110"/>
            </w:pPr>
            <w:r>
              <w:t>MSFFM3020</w:t>
            </w:r>
          </w:p>
        </w:tc>
        <w:tc>
          <w:tcPr>
            <w:tcW w:w="8530" w:type="dxa"/>
          </w:tcPr>
          <w:p w14:paraId="3CCA73B7" w14:textId="77777777" w:rsidR="0076590C" w:rsidRDefault="0076590C" w:rsidP="0076590C">
            <w:pPr>
              <w:pStyle w:val="TableParagraph"/>
              <w:spacing w:before="1" w:line="247" w:lineRule="exact"/>
              <w:ind w:left="105"/>
            </w:pPr>
            <w:r>
              <w:t>Fabricate synthetic solid surface products</w:t>
            </w:r>
          </w:p>
        </w:tc>
        <w:tc>
          <w:tcPr>
            <w:tcW w:w="3250" w:type="dxa"/>
          </w:tcPr>
          <w:p w14:paraId="3DC610D7" w14:textId="77777777" w:rsidR="0076590C" w:rsidRDefault="0076590C" w:rsidP="0076590C">
            <w:pPr>
              <w:pStyle w:val="TableParagraph"/>
              <w:spacing w:before="1" w:line="247" w:lineRule="exact"/>
              <w:ind w:left="104"/>
            </w:pPr>
            <w:r>
              <w:t>MSF Furnishing Training Package</w:t>
            </w:r>
          </w:p>
        </w:tc>
      </w:tr>
    </w:tbl>
    <w:p w14:paraId="5745FD1E" w14:textId="77777777" w:rsidR="0076590C" w:rsidRDefault="0076590C" w:rsidP="0076590C">
      <w:pPr>
        <w:spacing w:line="247" w:lineRule="exact"/>
        <w:sectPr w:rsidR="0076590C">
          <w:pgSz w:w="16840" w:h="11900" w:orient="landscape"/>
          <w:pgMar w:top="1100" w:right="1280" w:bottom="740" w:left="1340" w:header="0" w:footer="557" w:gutter="0"/>
          <w:cols w:space="720"/>
        </w:sectPr>
      </w:pPr>
    </w:p>
    <w:p w14:paraId="4C07EB5A" w14:textId="77777777" w:rsidR="008A2EDE" w:rsidRDefault="008A2EDE" w:rsidP="0076590C">
      <w:pPr>
        <w:sectPr w:rsidR="008A2EDE">
          <w:pgSz w:w="16840" w:h="11900" w:orient="landscape"/>
          <w:pgMar w:top="1100" w:right="1280" w:bottom="740" w:left="1340" w:header="0" w:footer="557" w:gutter="0"/>
          <w:cols w:space="720"/>
        </w:sectPr>
      </w:pPr>
    </w:p>
    <w:p w14:paraId="66DCBD53" w14:textId="77777777" w:rsidR="008A2EDE" w:rsidRDefault="008A2EDE">
      <w:pPr>
        <w:pStyle w:val="BodyText"/>
        <w:rPr>
          <w:rFonts w:ascii="Times New Roman"/>
          <w:sz w:val="20"/>
        </w:rPr>
      </w:pPr>
    </w:p>
    <w:p w14:paraId="3D580CFE" w14:textId="77777777" w:rsidR="008A2EDE" w:rsidRDefault="008A2EDE">
      <w:pPr>
        <w:pStyle w:val="BodyText"/>
        <w:rPr>
          <w:rFonts w:ascii="Times New Roman"/>
          <w:sz w:val="20"/>
        </w:rPr>
      </w:pPr>
    </w:p>
    <w:p w14:paraId="75F73F11" w14:textId="77777777" w:rsidR="008A2EDE" w:rsidRDefault="008A2EDE">
      <w:pPr>
        <w:pStyle w:val="BodyText"/>
        <w:spacing w:before="1"/>
        <w:rPr>
          <w:rFonts w:ascii="Times New Roman"/>
          <w:sz w:val="12"/>
        </w:rPr>
      </w:pPr>
    </w:p>
    <w:p w14:paraId="2165A995" w14:textId="77777777" w:rsidR="008A2EDE" w:rsidRDefault="008A2EDE">
      <w:pPr>
        <w:pStyle w:val="BodyText"/>
        <w:spacing w:before="7"/>
        <w:rPr>
          <w:rFonts w:ascii="Times New Roman"/>
          <w:sz w:val="12"/>
        </w:rPr>
      </w:pPr>
    </w:p>
    <w:p w14:paraId="49A5FC58" w14:textId="77777777" w:rsidR="008A2EDE" w:rsidRDefault="00A50BD3">
      <w:pPr>
        <w:pStyle w:val="Heading1"/>
        <w:ind w:left="1259" w:firstLine="0"/>
      </w:pPr>
      <w:bookmarkStart w:id="10" w:name="_Toc23938254"/>
      <w:r>
        <w:rPr>
          <w:color w:val="A2A9AF"/>
        </w:rPr>
        <w:t>Appendix A: Industry stakeholders</w:t>
      </w:r>
      <w:bookmarkEnd w:id="10"/>
    </w:p>
    <w:p w14:paraId="7FCE85D8" w14:textId="77777777" w:rsidR="008A2EDE" w:rsidRDefault="00A50BD3">
      <w:pPr>
        <w:pStyle w:val="Heading7"/>
        <w:spacing w:before="300"/>
        <w:ind w:left="1259"/>
      </w:pPr>
      <w:r>
        <w:t>Technical Advisory Group (TAG) Members</w:t>
      </w:r>
    </w:p>
    <w:p w14:paraId="30F1B36B" w14:textId="77777777" w:rsidR="008A2EDE" w:rsidRDefault="008A2EDE">
      <w:pPr>
        <w:pStyle w:val="BodyText"/>
        <w:spacing w:before="11"/>
        <w:rPr>
          <w:b/>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238"/>
        <w:gridCol w:w="4248"/>
      </w:tblGrid>
      <w:tr w:rsidR="008A2EDE" w14:paraId="0A161DFE" w14:textId="77777777">
        <w:trPr>
          <w:trHeight w:val="340"/>
        </w:trPr>
        <w:tc>
          <w:tcPr>
            <w:tcW w:w="4238" w:type="dxa"/>
          </w:tcPr>
          <w:p w14:paraId="437CE4C4" w14:textId="77777777" w:rsidR="008A2EDE" w:rsidRDefault="00A50BD3">
            <w:pPr>
              <w:pStyle w:val="TableParagraph"/>
              <w:spacing w:before="35"/>
              <w:ind w:left="110"/>
              <w:rPr>
                <w:b/>
              </w:rPr>
            </w:pPr>
            <w:r>
              <w:rPr>
                <w:b/>
              </w:rPr>
              <w:t>TAG Member</w:t>
            </w:r>
          </w:p>
        </w:tc>
        <w:tc>
          <w:tcPr>
            <w:tcW w:w="4248" w:type="dxa"/>
          </w:tcPr>
          <w:p w14:paraId="29610554" w14:textId="77777777" w:rsidR="008A2EDE" w:rsidRDefault="00A50BD3">
            <w:pPr>
              <w:pStyle w:val="TableParagraph"/>
              <w:spacing w:before="35"/>
              <w:ind w:left="110"/>
              <w:rPr>
                <w:b/>
              </w:rPr>
            </w:pPr>
            <w:r>
              <w:rPr>
                <w:b/>
              </w:rPr>
              <w:t>Organisation</w:t>
            </w:r>
          </w:p>
        </w:tc>
      </w:tr>
      <w:tr w:rsidR="008A2EDE" w14:paraId="78F8BAAB" w14:textId="77777777">
        <w:trPr>
          <w:trHeight w:val="340"/>
        </w:trPr>
        <w:tc>
          <w:tcPr>
            <w:tcW w:w="4238" w:type="dxa"/>
          </w:tcPr>
          <w:p w14:paraId="0D894EC7" w14:textId="77777777" w:rsidR="008A2EDE" w:rsidRDefault="00A50BD3">
            <w:pPr>
              <w:pStyle w:val="TableParagraph"/>
              <w:spacing w:before="35"/>
              <w:ind w:left="110"/>
            </w:pPr>
            <w:r>
              <w:t>Adam Cox</w:t>
            </w:r>
          </w:p>
        </w:tc>
        <w:tc>
          <w:tcPr>
            <w:tcW w:w="4248" w:type="dxa"/>
          </w:tcPr>
          <w:p w14:paraId="679FCFEE" w14:textId="77777777" w:rsidR="008A2EDE" w:rsidRDefault="00A50BD3">
            <w:pPr>
              <w:pStyle w:val="TableParagraph"/>
              <w:spacing w:before="35"/>
              <w:ind w:left="110"/>
            </w:pPr>
            <w:r>
              <w:t>Chair – Fernbrooke Homes</w:t>
            </w:r>
          </w:p>
        </w:tc>
      </w:tr>
      <w:tr w:rsidR="008A2EDE" w14:paraId="4720F12D" w14:textId="77777777">
        <w:trPr>
          <w:trHeight w:val="335"/>
        </w:trPr>
        <w:tc>
          <w:tcPr>
            <w:tcW w:w="4238" w:type="dxa"/>
          </w:tcPr>
          <w:p w14:paraId="791E30D2" w14:textId="77777777" w:rsidR="008A2EDE" w:rsidRDefault="00A50BD3">
            <w:pPr>
              <w:pStyle w:val="TableParagraph"/>
              <w:spacing w:before="35"/>
              <w:ind w:left="110"/>
            </w:pPr>
            <w:r>
              <w:t>Adam Profke</w:t>
            </w:r>
          </w:p>
        </w:tc>
        <w:tc>
          <w:tcPr>
            <w:tcW w:w="4248" w:type="dxa"/>
          </w:tcPr>
          <w:p w14:paraId="1643EE7D" w14:textId="77777777" w:rsidR="008A2EDE" w:rsidRDefault="00A50BD3">
            <w:pPr>
              <w:pStyle w:val="TableParagraph"/>
              <w:spacing w:before="35"/>
              <w:ind w:left="110"/>
            </w:pPr>
            <w:r>
              <w:t>Master Builders of Queensland</w:t>
            </w:r>
          </w:p>
        </w:tc>
      </w:tr>
      <w:tr w:rsidR="008A2EDE" w14:paraId="549F6D49" w14:textId="77777777">
        <w:trPr>
          <w:trHeight w:val="340"/>
        </w:trPr>
        <w:tc>
          <w:tcPr>
            <w:tcW w:w="4238" w:type="dxa"/>
          </w:tcPr>
          <w:p w14:paraId="55D114ED" w14:textId="77777777" w:rsidR="008A2EDE" w:rsidRDefault="00A50BD3">
            <w:pPr>
              <w:pStyle w:val="TableParagraph"/>
              <w:spacing w:before="40"/>
              <w:ind w:left="110"/>
            </w:pPr>
            <w:r>
              <w:t>Alan Davis</w:t>
            </w:r>
          </w:p>
        </w:tc>
        <w:tc>
          <w:tcPr>
            <w:tcW w:w="4248" w:type="dxa"/>
          </w:tcPr>
          <w:p w14:paraId="511CB02C" w14:textId="77777777" w:rsidR="008A2EDE" w:rsidRDefault="00A50BD3">
            <w:pPr>
              <w:pStyle w:val="TableParagraph"/>
              <w:spacing w:before="40"/>
              <w:ind w:left="110"/>
            </w:pPr>
            <w:r>
              <w:t>Construction Training Council WA</w:t>
            </w:r>
          </w:p>
        </w:tc>
      </w:tr>
      <w:tr w:rsidR="008A2EDE" w14:paraId="7F3BEBBE" w14:textId="77777777">
        <w:trPr>
          <w:trHeight w:val="340"/>
        </w:trPr>
        <w:tc>
          <w:tcPr>
            <w:tcW w:w="4238" w:type="dxa"/>
          </w:tcPr>
          <w:p w14:paraId="0330798B" w14:textId="77777777" w:rsidR="008A2EDE" w:rsidRDefault="00A50BD3">
            <w:pPr>
              <w:pStyle w:val="TableParagraph"/>
              <w:spacing w:before="40"/>
              <w:ind w:left="110"/>
            </w:pPr>
            <w:r>
              <w:t>Daniel Bonnici</w:t>
            </w:r>
          </w:p>
        </w:tc>
        <w:tc>
          <w:tcPr>
            <w:tcW w:w="4248" w:type="dxa"/>
          </w:tcPr>
          <w:p w14:paraId="75B36BCF" w14:textId="77777777" w:rsidR="008A2EDE" w:rsidRDefault="00A50BD3">
            <w:pPr>
              <w:pStyle w:val="TableParagraph"/>
              <w:spacing w:before="40"/>
              <w:ind w:left="110"/>
            </w:pPr>
            <w:r>
              <w:t>Department of Education VIC</w:t>
            </w:r>
          </w:p>
        </w:tc>
      </w:tr>
      <w:tr w:rsidR="008A2EDE" w14:paraId="3358B9CA" w14:textId="77777777">
        <w:trPr>
          <w:trHeight w:val="340"/>
        </w:trPr>
        <w:tc>
          <w:tcPr>
            <w:tcW w:w="4238" w:type="dxa"/>
          </w:tcPr>
          <w:p w14:paraId="38CFDF6B" w14:textId="77777777" w:rsidR="008A2EDE" w:rsidRDefault="00A50BD3">
            <w:pPr>
              <w:pStyle w:val="TableParagraph"/>
              <w:spacing w:before="40"/>
              <w:ind w:left="110"/>
            </w:pPr>
            <w:r>
              <w:t>Liam O`Hearn</w:t>
            </w:r>
          </w:p>
        </w:tc>
        <w:tc>
          <w:tcPr>
            <w:tcW w:w="4248" w:type="dxa"/>
          </w:tcPr>
          <w:p w14:paraId="19BAEE68" w14:textId="77777777" w:rsidR="008A2EDE" w:rsidRDefault="00A50BD3">
            <w:pPr>
              <w:pStyle w:val="TableParagraph"/>
              <w:spacing w:before="40"/>
              <w:ind w:left="110"/>
            </w:pPr>
            <w:r>
              <w:t>CFMEU</w:t>
            </w:r>
          </w:p>
        </w:tc>
      </w:tr>
      <w:tr w:rsidR="008A2EDE" w14:paraId="76F7A916" w14:textId="77777777">
        <w:trPr>
          <w:trHeight w:val="340"/>
        </w:trPr>
        <w:tc>
          <w:tcPr>
            <w:tcW w:w="4238" w:type="dxa"/>
          </w:tcPr>
          <w:p w14:paraId="6DDC4216" w14:textId="77777777" w:rsidR="008A2EDE" w:rsidRDefault="00A50BD3">
            <w:pPr>
              <w:pStyle w:val="TableParagraph"/>
              <w:spacing w:before="40"/>
              <w:ind w:left="110"/>
            </w:pPr>
            <w:r>
              <w:t>Peter Forsingdal</w:t>
            </w:r>
          </w:p>
        </w:tc>
        <w:tc>
          <w:tcPr>
            <w:tcW w:w="4248" w:type="dxa"/>
          </w:tcPr>
          <w:p w14:paraId="35E03FAD" w14:textId="77777777" w:rsidR="008A2EDE" w:rsidRDefault="00A50BD3">
            <w:pPr>
              <w:pStyle w:val="TableParagraph"/>
              <w:spacing w:before="40"/>
              <w:ind w:left="110"/>
            </w:pPr>
            <w:r>
              <w:t>Hutchinson Builders</w:t>
            </w:r>
          </w:p>
        </w:tc>
      </w:tr>
      <w:tr w:rsidR="008A2EDE" w14:paraId="27484A29" w14:textId="77777777">
        <w:trPr>
          <w:trHeight w:val="340"/>
        </w:trPr>
        <w:tc>
          <w:tcPr>
            <w:tcW w:w="4238" w:type="dxa"/>
          </w:tcPr>
          <w:p w14:paraId="161E97A6" w14:textId="77777777" w:rsidR="008A2EDE" w:rsidRDefault="00A50BD3">
            <w:pPr>
              <w:pStyle w:val="TableParagraph"/>
              <w:spacing w:before="40"/>
              <w:ind w:left="110"/>
            </w:pPr>
            <w:r>
              <w:t>Rod Eske</w:t>
            </w:r>
          </w:p>
        </w:tc>
        <w:tc>
          <w:tcPr>
            <w:tcW w:w="4248" w:type="dxa"/>
          </w:tcPr>
          <w:p w14:paraId="2EAC6916" w14:textId="77777777" w:rsidR="008A2EDE" w:rsidRDefault="00A50BD3">
            <w:pPr>
              <w:pStyle w:val="TableParagraph"/>
              <w:spacing w:before="40"/>
              <w:ind w:left="110"/>
            </w:pPr>
            <w:r>
              <w:t>Hutchinson Builders</w:t>
            </w:r>
          </w:p>
        </w:tc>
      </w:tr>
      <w:tr w:rsidR="008A2EDE" w14:paraId="20ED47F0" w14:textId="77777777">
        <w:trPr>
          <w:trHeight w:val="340"/>
        </w:trPr>
        <w:tc>
          <w:tcPr>
            <w:tcW w:w="4238" w:type="dxa"/>
          </w:tcPr>
          <w:p w14:paraId="1B51C038" w14:textId="77777777" w:rsidR="008A2EDE" w:rsidRDefault="00A50BD3">
            <w:pPr>
              <w:pStyle w:val="TableParagraph"/>
              <w:spacing w:before="35"/>
              <w:ind w:left="110"/>
            </w:pPr>
            <w:r>
              <w:t>Tristan Howison</w:t>
            </w:r>
          </w:p>
        </w:tc>
        <w:tc>
          <w:tcPr>
            <w:tcW w:w="4248" w:type="dxa"/>
          </w:tcPr>
          <w:p w14:paraId="2A47D619" w14:textId="77777777" w:rsidR="008A2EDE" w:rsidRDefault="00A50BD3">
            <w:pPr>
              <w:pStyle w:val="TableParagraph"/>
              <w:spacing w:before="35"/>
              <w:ind w:left="110"/>
            </w:pPr>
            <w:r>
              <w:t>TAFE NSW</w:t>
            </w:r>
          </w:p>
        </w:tc>
      </w:tr>
    </w:tbl>
    <w:p w14:paraId="49ED8745" w14:textId="77777777" w:rsidR="008A2EDE" w:rsidRDefault="008A2EDE">
      <w:pPr>
        <w:sectPr w:rsidR="008A2EDE">
          <w:headerReference w:type="even" r:id="rId27"/>
          <w:headerReference w:type="default" r:id="rId28"/>
          <w:footerReference w:type="default" r:id="rId29"/>
          <w:headerReference w:type="first" r:id="rId30"/>
          <w:pgSz w:w="11900" w:h="16840"/>
          <w:pgMar w:top="1600" w:right="700" w:bottom="740" w:left="440" w:header="0" w:footer="558" w:gutter="0"/>
          <w:pgNumType w:start="27"/>
          <w:cols w:space="720"/>
        </w:sect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122"/>
        <w:gridCol w:w="6365"/>
      </w:tblGrid>
      <w:tr w:rsidR="008A2EDE" w14:paraId="079DA5A9" w14:textId="77777777">
        <w:trPr>
          <w:trHeight w:val="273"/>
        </w:trPr>
        <w:tc>
          <w:tcPr>
            <w:tcW w:w="8487" w:type="dxa"/>
            <w:gridSpan w:val="2"/>
          </w:tcPr>
          <w:p w14:paraId="386B4E0A" w14:textId="77777777" w:rsidR="008A2EDE" w:rsidRDefault="00A50BD3">
            <w:pPr>
              <w:pStyle w:val="TableParagraph"/>
              <w:spacing w:before="6" w:line="247" w:lineRule="exact"/>
              <w:ind w:left="110"/>
              <w:rPr>
                <w:b/>
              </w:rPr>
            </w:pPr>
            <w:r>
              <w:rPr>
                <w:b/>
              </w:rPr>
              <w:lastRenderedPageBreak/>
              <w:t>Working Group – Subject Matter Experts (SMEs)</w:t>
            </w:r>
          </w:p>
        </w:tc>
      </w:tr>
      <w:tr w:rsidR="008A2EDE" w14:paraId="4A062667" w14:textId="77777777">
        <w:trPr>
          <w:trHeight w:val="273"/>
        </w:trPr>
        <w:tc>
          <w:tcPr>
            <w:tcW w:w="2122" w:type="dxa"/>
          </w:tcPr>
          <w:p w14:paraId="45E8F792" w14:textId="77777777" w:rsidR="008A2EDE" w:rsidRDefault="00A50BD3">
            <w:pPr>
              <w:pStyle w:val="TableParagraph"/>
              <w:spacing w:before="6" w:line="247" w:lineRule="exact"/>
              <w:ind w:left="110"/>
              <w:rPr>
                <w:b/>
              </w:rPr>
            </w:pPr>
            <w:r>
              <w:rPr>
                <w:b/>
              </w:rPr>
              <w:t>Subject Matter</w:t>
            </w:r>
          </w:p>
        </w:tc>
        <w:tc>
          <w:tcPr>
            <w:tcW w:w="6365" w:type="dxa"/>
          </w:tcPr>
          <w:p w14:paraId="156E7834" w14:textId="77777777" w:rsidR="008A2EDE" w:rsidRDefault="00A50BD3">
            <w:pPr>
              <w:pStyle w:val="TableParagraph"/>
              <w:spacing w:before="6" w:line="247" w:lineRule="exact"/>
              <w:ind w:left="109"/>
              <w:rPr>
                <w:b/>
              </w:rPr>
            </w:pPr>
            <w:r>
              <w:rPr>
                <w:b/>
              </w:rPr>
              <w:t>Expert name and Organisation</w:t>
            </w:r>
          </w:p>
        </w:tc>
      </w:tr>
      <w:tr w:rsidR="008A2EDE" w14:paraId="525EE530" w14:textId="77777777">
        <w:trPr>
          <w:trHeight w:val="4300"/>
        </w:trPr>
        <w:tc>
          <w:tcPr>
            <w:tcW w:w="2122" w:type="dxa"/>
          </w:tcPr>
          <w:p w14:paraId="68FC0A24" w14:textId="77777777" w:rsidR="008A2EDE" w:rsidRDefault="008A2EDE">
            <w:pPr>
              <w:pStyle w:val="TableParagraph"/>
              <w:ind w:left="0"/>
              <w:rPr>
                <w:b/>
                <w:sz w:val="26"/>
              </w:rPr>
            </w:pPr>
          </w:p>
          <w:p w14:paraId="281E0748" w14:textId="77777777" w:rsidR="008A2EDE" w:rsidRDefault="008A2EDE">
            <w:pPr>
              <w:pStyle w:val="TableParagraph"/>
              <w:ind w:left="0"/>
              <w:rPr>
                <w:b/>
                <w:sz w:val="26"/>
              </w:rPr>
            </w:pPr>
          </w:p>
          <w:p w14:paraId="230A26D5" w14:textId="77777777" w:rsidR="008A2EDE" w:rsidRDefault="008A2EDE">
            <w:pPr>
              <w:pStyle w:val="TableParagraph"/>
              <w:ind w:left="0"/>
              <w:rPr>
                <w:b/>
                <w:sz w:val="26"/>
              </w:rPr>
            </w:pPr>
          </w:p>
          <w:p w14:paraId="57806C67" w14:textId="77777777" w:rsidR="008A2EDE" w:rsidRDefault="008A2EDE">
            <w:pPr>
              <w:pStyle w:val="TableParagraph"/>
              <w:ind w:left="0"/>
              <w:rPr>
                <w:b/>
                <w:sz w:val="26"/>
              </w:rPr>
            </w:pPr>
          </w:p>
          <w:p w14:paraId="74CBA001" w14:textId="77777777" w:rsidR="008A2EDE" w:rsidRDefault="008A2EDE">
            <w:pPr>
              <w:pStyle w:val="TableParagraph"/>
              <w:ind w:left="0"/>
              <w:rPr>
                <w:b/>
                <w:sz w:val="26"/>
              </w:rPr>
            </w:pPr>
          </w:p>
          <w:p w14:paraId="42C6387B" w14:textId="77777777" w:rsidR="008A2EDE" w:rsidRDefault="008A2EDE">
            <w:pPr>
              <w:pStyle w:val="TableParagraph"/>
              <w:spacing w:before="3"/>
              <w:ind w:left="0"/>
              <w:rPr>
                <w:b/>
                <w:sz w:val="24"/>
              </w:rPr>
            </w:pPr>
          </w:p>
          <w:p w14:paraId="497192BC" w14:textId="77777777" w:rsidR="008A2EDE" w:rsidRDefault="00A50BD3">
            <w:pPr>
              <w:pStyle w:val="TableParagraph"/>
              <w:ind w:left="110" w:right="829"/>
            </w:pPr>
            <w:r>
              <w:t>Heritage and Restoration</w:t>
            </w:r>
          </w:p>
        </w:tc>
        <w:tc>
          <w:tcPr>
            <w:tcW w:w="6365" w:type="dxa"/>
          </w:tcPr>
          <w:p w14:paraId="25171E26" w14:textId="77777777" w:rsidR="008A2EDE" w:rsidRDefault="00A50BD3">
            <w:pPr>
              <w:pStyle w:val="TableParagraph"/>
              <w:spacing w:before="1"/>
              <w:ind w:left="109" w:right="2980"/>
            </w:pPr>
            <w:r>
              <w:t>Adam Laxton, Chisholm Education Alan Hopkins, Kirribilli Constructions Andrew Gilchrist</w:t>
            </w:r>
          </w:p>
          <w:p w14:paraId="02EC6835" w14:textId="77777777" w:rsidR="008A2EDE" w:rsidRDefault="00A50BD3">
            <w:pPr>
              <w:pStyle w:val="TableParagraph"/>
              <w:spacing w:before="1"/>
              <w:ind w:left="109"/>
            </w:pPr>
            <w:r>
              <w:t>Darren Epps</w:t>
            </w:r>
          </w:p>
          <w:p w14:paraId="426668E9" w14:textId="77777777" w:rsidR="008A2EDE" w:rsidRDefault="00A50BD3">
            <w:pPr>
              <w:pStyle w:val="TableParagraph"/>
              <w:ind w:left="109" w:right="3424"/>
            </w:pPr>
            <w:r>
              <w:t>David Porter, Blue Dog Training Eric Parnis, CITB SA</w:t>
            </w:r>
          </w:p>
          <w:p w14:paraId="6DD37A33" w14:textId="77777777" w:rsidR="008A2EDE" w:rsidRDefault="00A50BD3">
            <w:pPr>
              <w:pStyle w:val="TableParagraph"/>
              <w:spacing w:before="1"/>
              <w:ind w:left="109"/>
            </w:pPr>
            <w:r>
              <w:t>Fred Lijauco, TBCITB</w:t>
            </w:r>
          </w:p>
          <w:p w14:paraId="6503F946" w14:textId="77777777" w:rsidR="008A2EDE" w:rsidRDefault="00A50BD3">
            <w:pPr>
              <w:pStyle w:val="TableParagraph"/>
              <w:ind w:left="109" w:right="2071"/>
            </w:pPr>
            <w:r>
              <w:t>Greg Cheetham, Building Industry Skills Centre Katherine Jagger, TAFE NSW</w:t>
            </w:r>
          </w:p>
          <w:p w14:paraId="647EF148" w14:textId="77777777" w:rsidR="008A2EDE" w:rsidRDefault="00A50BD3">
            <w:pPr>
              <w:pStyle w:val="TableParagraph"/>
              <w:ind w:left="109"/>
            </w:pPr>
            <w:r>
              <w:t>Nick Del Grosso</w:t>
            </w:r>
          </w:p>
          <w:p w14:paraId="74FB44D9" w14:textId="77777777" w:rsidR="008A2EDE" w:rsidRDefault="00A50BD3">
            <w:pPr>
              <w:pStyle w:val="TableParagraph"/>
              <w:spacing w:before="1"/>
              <w:ind w:left="109" w:right="2985"/>
            </w:pPr>
            <w:r>
              <w:t>Richard Bell, TAFE NSW, Skills Points Scott Leighton</w:t>
            </w:r>
          </w:p>
          <w:p w14:paraId="668D3609" w14:textId="77777777" w:rsidR="008A2EDE" w:rsidRDefault="00A50BD3">
            <w:pPr>
              <w:pStyle w:val="TableParagraph"/>
              <w:ind w:left="109" w:right="3697"/>
              <w:jc w:val="both"/>
            </w:pPr>
            <w:r>
              <w:t>Simon Cocker, WorkSafe Tas Tristan Howison, TAFE NSW Wayne Saunders, TAFE SA</w:t>
            </w:r>
          </w:p>
        </w:tc>
      </w:tr>
      <w:tr w:rsidR="008A2EDE" w14:paraId="5C68B0D6" w14:textId="77777777">
        <w:trPr>
          <w:trHeight w:val="2682"/>
        </w:trPr>
        <w:tc>
          <w:tcPr>
            <w:tcW w:w="2122" w:type="dxa"/>
          </w:tcPr>
          <w:p w14:paraId="1D8B4E30" w14:textId="77777777" w:rsidR="008A2EDE" w:rsidRDefault="008A2EDE">
            <w:pPr>
              <w:pStyle w:val="TableParagraph"/>
              <w:ind w:left="0"/>
              <w:rPr>
                <w:b/>
                <w:sz w:val="26"/>
              </w:rPr>
            </w:pPr>
          </w:p>
          <w:p w14:paraId="0443428F" w14:textId="77777777" w:rsidR="008A2EDE" w:rsidRDefault="008A2EDE">
            <w:pPr>
              <w:pStyle w:val="TableParagraph"/>
              <w:ind w:left="0"/>
              <w:rPr>
                <w:b/>
                <w:sz w:val="26"/>
              </w:rPr>
            </w:pPr>
          </w:p>
          <w:p w14:paraId="235D277E" w14:textId="77777777" w:rsidR="008A2EDE" w:rsidRDefault="008A2EDE">
            <w:pPr>
              <w:pStyle w:val="TableParagraph"/>
              <w:ind w:left="0"/>
              <w:rPr>
                <w:b/>
                <w:sz w:val="26"/>
              </w:rPr>
            </w:pPr>
          </w:p>
          <w:p w14:paraId="47C0C173" w14:textId="77777777" w:rsidR="008A2EDE" w:rsidRDefault="008A2EDE">
            <w:pPr>
              <w:pStyle w:val="TableParagraph"/>
              <w:spacing w:before="10"/>
              <w:ind w:left="0"/>
              <w:rPr>
                <w:b/>
                <w:sz w:val="31"/>
              </w:rPr>
            </w:pPr>
          </w:p>
          <w:p w14:paraId="48CA26DA" w14:textId="77777777" w:rsidR="008A2EDE" w:rsidRDefault="00A50BD3">
            <w:pPr>
              <w:pStyle w:val="TableParagraph"/>
              <w:ind w:left="110"/>
            </w:pPr>
            <w:r>
              <w:t>Form Work</w:t>
            </w:r>
          </w:p>
        </w:tc>
        <w:tc>
          <w:tcPr>
            <w:tcW w:w="6365" w:type="dxa"/>
          </w:tcPr>
          <w:p w14:paraId="0E415D61" w14:textId="77777777" w:rsidR="008A2EDE" w:rsidRDefault="00A50BD3">
            <w:pPr>
              <w:pStyle w:val="TableParagraph"/>
              <w:spacing w:before="1"/>
              <w:ind w:left="109" w:right="4055"/>
            </w:pPr>
            <w:r>
              <w:t>Andrew Gilchrist Andrew Mellas, TasTAFE Chris Smith,</w:t>
            </w:r>
            <w:r>
              <w:rPr>
                <w:spacing w:val="-4"/>
              </w:rPr>
              <w:t xml:space="preserve"> </w:t>
            </w:r>
            <w:r>
              <w:t>TasTAFE</w:t>
            </w:r>
          </w:p>
          <w:p w14:paraId="7CA80017" w14:textId="77777777" w:rsidR="008A2EDE" w:rsidRDefault="00A50BD3">
            <w:pPr>
              <w:pStyle w:val="TableParagraph"/>
              <w:ind w:left="109" w:right="2071"/>
            </w:pPr>
            <w:r>
              <w:t>Greg Cheetham, Building Industry Skills Centre Judd Kruse</w:t>
            </w:r>
          </w:p>
          <w:p w14:paraId="541878DA" w14:textId="77777777" w:rsidR="008A2EDE" w:rsidRDefault="00A50BD3">
            <w:pPr>
              <w:pStyle w:val="TableParagraph"/>
              <w:ind w:left="109" w:right="3700"/>
            </w:pPr>
            <w:r>
              <w:t>Katherine Jagger, TAFE NSW Nick Del Grosso</w:t>
            </w:r>
          </w:p>
          <w:p w14:paraId="49E11ED5" w14:textId="77777777" w:rsidR="008A2EDE" w:rsidRDefault="00A50BD3">
            <w:pPr>
              <w:pStyle w:val="TableParagraph"/>
              <w:ind w:left="109" w:right="2985"/>
            </w:pPr>
            <w:r>
              <w:t>Richard Bell, TAFE NSW, Skills Points Tristan Howison, TAFE NSW</w:t>
            </w:r>
          </w:p>
        </w:tc>
      </w:tr>
      <w:tr w:rsidR="008A2EDE" w14:paraId="133E1714" w14:textId="77777777">
        <w:trPr>
          <w:trHeight w:val="3494"/>
        </w:trPr>
        <w:tc>
          <w:tcPr>
            <w:tcW w:w="2122" w:type="dxa"/>
          </w:tcPr>
          <w:p w14:paraId="3754EB51" w14:textId="77777777" w:rsidR="008A2EDE" w:rsidRDefault="008A2EDE">
            <w:pPr>
              <w:pStyle w:val="TableParagraph"/>
              <w:ind w:left="0"/>
              <w:rPr>
                <w:b/>
                <w:sz w:val="26"/>
              </w:rPr>
            </w:pPr>
          </w:p>
          <w:p w14:paraId="4FD459A4" w14:textId="77777777" w:rsidR="008A2EDE" w:rsidRDefault="008A2EDE">
            <w:pPr>
              <w:pStyle w:val="TableParagraph"/>
              <w:ind w:left="0"/>
              <w:rPr>
                <w:b/>
                <w:sz w:val="26"/>
              </w:rPr>
            </w:pPr>
          </w:p>
          <w:p w14:paraId="207FD2E7" w14:textId="77777777" w:rsidR="008A2EDE" w:rsidRDefault="008A2EDE">
            <w:pPr>
              <w:pStyle w:val="TableParagraph"/>
              <w:ind w:left="0"/>
              <w:rPr>
                <w:b/>
                <w:sz w:val="26"/>
              </w:rPr>
            </w:pPr>
          </w:p>
          <w:p w14:paraId="62CAB817" w14:textId="77777777" w:rsidR="008A2EDE" w:rsidRDefault="008A2EDE">
            <w:pPr>
              <w:pStyle w:val="TableParagraph"/>
              <w:ind w:left="0"/>
              <w:rPr>
                <w:b/>
                <w:sz w:val="26"/>
              </w:rPr>
            </w:pPr>
          </w:p>
          <w:p w14:paraId="160531D6" w14:textId="77777777" w:rsidR="008A2EDE" w:rsidRDefault="008A2EDE">
            <w:pPr>
              <w:pStyle w:val="TableParagraph"/>
              <w:ind w:left="0"/>
              <w:rPr>
                <w:b/>
                <w:sz w:val="26"/>
              </w:rPr>
            </w:pPr>
          </w:p>
          <w:p w14:paraId="60558C4C" w14:textId="77777777" w:rsidR="008A2EDE" w:rsidRDefault="00A50BD3">
            <w:pPr>
              <w:pStyle w:val="TableParagraph"/>
              <w:spacing w:before="162"/>
              <w:ind w:left="110"/>
            </w:pPr>
            <w:r>
              <w:t>Commercial</w:t>
            </w:r>
          </w:p>
        </w:tc>
        <w:tc>
          <w:tcPr>
            <w:tcW w:w="6365" w:type="dxa"/>
          </w:tcPr>
          <w:p w14:paraId="4CF42A3B" w14:textId="77777777" w:rsidR="008A2EDE" w:rsidRDefault="00A50BD3">
            <w:pPr>
              <w:pStyle w:val="TableParagraph"/>
              <w:spacing w:before="1"/>
              <w:ind w:left="109" w:right="3179"/>
            </w:pPr>
            <w:r>
              <w:t>Adam Laxton, Chisholm Education Andrew Gilchrist</w:t>
            </w:r>
          </w:p>
          <w:p w14:paraId="4E05057B" w14:textId="77777777" w:rsidR="008A2EDE" w:rsidRDefault="00A50BD3">
            <w:pPr>
              <w:pStyle w:val="TableParagraph"/>
              <w:spacing w:before="1"/>
              <w:ind w:left="109" w:right="4038"/>
            </w:pPr>
            <w:r>
              <w:t>Andrew Mellas, TasTAFE Chris Smith, TasTAFE Fred Lijauco, TBCITB</w:t>
            </w:r>
          </w:p>
          <w:p w14:paraId="31B016AD" w14:textId="77777777" w:rsidR="008A2EDE" w:rsidRDefault="00A50BD3">
            <w:pPr>
              <w:pStyle w:val="TableParagraph"/>
              <w:ind w:left="109" w:right="2071"/>
            </w:pPr>
            <w:r>
              <w:t>Greg Cheetham, Building Industry Skills Centre Katherine Jagger, TAFE NSW</w:t>
            </w:r>
          </w:p>
          <w:p w14:paraId="4B62C044" w14:textId="77777777" w:rsidR="008A2EDE" w:rsidRDefault="00A50BD3">
            <w:pPr>
              <w:pStyle w:val="TableParagraph"/>
              <w:spacing w:before="1"/>
              <w:ind w:left="109"/>
            </w:pPr>
            <w:r>
              <w:t>Nick Del Grosso</w:t>
            </w:r>
          </w:p>
          <w:p w14:paraId="2676CD3E" w14:textId="77777777" w:rsidR="008A2EDE" w:rsidRDefault="00A50BD3">
            <w:pPr>
              <w:pStyle w:val="TableParagraph"/>
              <w:ind w:left="109" w:right="1190"/>
            </w:pPr>
            <w:r>
              <w:t>Paul Muenchow, Department of Training and Workforce Development</w:t>
            </w:r>
          </w:p>
          <w:p w14:paraId="36AC8383" w14:textId="77777777" w:rsidR="008A2EDE" w:rsidRDefault="00A50BD3">
            <w:pPr>
              <w:pStyle w:val="TableParagraph"/>
              <w:spacing w:before="1"/>
              <w:ind w:left="109" w:right="848"/>
            </w:pPr>
            <w:r>
              <w:t>Richard Bell, TAFE NSW, Skills Points Stephen Gillie, TasTAFE Tristan Howison, TAFE NSW</w:t>
            </w:r>
          </w:p>
        </w:tc>
      </w:tr>
      <w:tr w:rsidR="008A2EDE" w14:paraId="3E56D256" w14:textId="77777777">
        <w:trPr>
          <w:trHeight w:val="2682"/>
        </w:trPr>
        <w:tc>
          <w:tcPr>
            <w:tcW w:w="2122" w:type="dxa"/>
          </w:tcPr>
          <w:p w14:paraId="50080F9D" w14:textId="77777777" w:rsidR="008A2EDE" w:rsidRDefault="008A2EDE">
            <w:pPr>
              <w:pStyle w:val="TableParagraph"/>
              <w:ind w:left="0"/>
              <w:rPr>
                <w:b/>
                <w:sz w:val="26"/>
              </w:rPr>
            </w:pPr>
          </w:p>
          <w:p w14:paraId="604BE076" w14:textId="77777777" w:rsidR="008A2EDE" w:rsidRDefault="008A2EDE">
            <w:pPr>
              <w:pStyle w:val="TableParagraph"/>
              <w:ind w:left="0"/>
              <w:rPr>
                <w:b/>
                <w:sz w:val="26"/>
              </w:rPr>
            </w:pPr>
          </w:p>
          <w:p w14:paraId="59EEF452" w14:textId="77777777" w:rsidR="008A2EDE" w:rsidRDefault="008A2EDE">
            <w:pPr>
              <w:pStyle w:val="TableParagraph"/>
              <w:ind w:left="0"/>
              <w:rPr>
                <w:b/>
                <w:sz w:val="26"/>
              </w:rPr>
            </w:pPr>
          </w:p>
          <w:p w14:paraId="3F1FC561" w14:textId="77777777" w:rsidR="008A2EDE" w:rsidRDefault="008A2EDE">
            <w:pPr>
              <w:pStyle w:val="TableParagraph"/>
              <w:spacing w:before="10"/>
              <w:ind w:left="0"/>
              <w:rPr>
                <w:b/>
                <w:sz w:val="31"/>
              </w:rPr>
            </w:pPr>
          </w:p>
          <w:p w14:paraId="40E4010A" w14:textId="77777777" w:rsidR="008A2EDE" w:rsidRDefault="00A50BD3">
            <w:pPr>
              <w:pStyle w:val="TableParagraph"/>
              <w:ind w:left="110"/>
            </w:pPr>
            <w:r>
              <w:t>Joinery</w:t>
            </w:r>
          </w:p>
        </w:tc>
        <w:tc>
          <w:tcPr>
            <w:tcW w:w="6365" w:type="dxa"/>
          </w:tcPr>
          <w:p w14:paraId="0608BE91" w14:textId="77777777" w:rsidR="008A2EDE" w:rsidRDefault="00A50BD3">
            <w:pPr>
              <w:pStyle w:val="TableParagraph"/>
              <w:spacing w:before="3" w:line="237" w:lineRule="auto"/>
              <w:ind w:left="109" w:right="4054"/>
            </w:pPr>
            <w:r>
              <w:t>Adrian Laws, TAFE NSW Andrew Gilchrist Andrew Mellas, TasTAFE Fred Lijauco,</w:t>
            </w:r>
            <w:r>
              <w:rPr>
                <w:spacing w:val="-4"/>
              </w:rPr>
              <w:t xml:space="preserve"> </w:t>
            </w:r>
            <w:r>
              <w:t>TBCITB</w:t>
            </w:r>
          </w:p>
          <w:p w14:paraId="188383AA" w14:textId="77777777" w:rsidR="008A2EDE" w:rsidRDefault="00A50BD3">
            <w:pPr>
              <w:pStyle w:val="TableParagraph"/>
              <w:spacing w:before="5"/>
              <w:ind w:left="109" w:right="2071"/>
            </w:pPr>
            <w:r>
              <w:t>Greg Cheetham, Building Industry Skills Centre Nick Del Grosso</w:t>
            </w:r>
          </w:p>
          <w:p w14:paraId="085ED313" w14:textId="77777777" w:rsidR="008A2EDE" w:rsidRDefault="00A50BD3">
            <w:pPr>
              <w:pStyle w:val="TableParagraph"/>
              <w:spacing w:before="1"/>
              <w:ind w:left="109" w:right="2985"/>
            </w:pPr>
            <w:r>
              <w:t>Richard Bell, TAFE NSW, Skills Points Tristan Howison, TAFE NSW</w:t>
            </w:r>
          </w:p>
          <w:p w14:paraId="38D429DD" w14:textId="77777777" w:rsidR="008A2EDE" w:rsidRDefault="00A50BD3">
            <w:pPr>
              <w:pStyle w:val="TableParagraph"/>
              <w:ind w:left="109"/>
            </w:pPr>
            <w:r>
              <w:t>Wayne Saunders, TAFE SA</w:t>
            </w:r>
          </w:p>
        </w:tc>
      </w:tr>
    </w:tbl>
    <w:p w14:paraId="23CFF8EC" w14:textId="77777777" w:rsidR="008A2EDE" w:rsidRDefault="008A2EDE">
      <w:pPr>
        <w:sectPr w:rsidR="008A2EDE">
          <w:pgSz w:w="11900" w:h="16840"/>
          <w:pgMar w:top="1440" w:right="700" w:bottom="740" w:left="440" w:header="0" w:footer="558" w:gutter="0"/>
          <w:cols w:space="720"/>
        </w:sect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122"/>
        <w:gridCol w:w="6365"/>
      </w:tblGrid>
      <w:tr w:rsidR="008A2EDE" w14:paraId="51137007" w14:textId="77777777">
        <w:trPr>
          <w:trHeight w:val="273"/>
        </w:trPr>
        <w:tc>
          <w:tcPr>
            <w:tcW w:w="8487" w:type="dxa"/>
            <w:gridSpan w:val="2"/>
          </w:tcPr>
          <w:p w14:paraId="7C8D3ABD" w14:textId="77777777" w:rsidR="008A2EDE" w:rsidRDefault="00A50BD3">
            <w:pPr>
              <w:pStyle w:val="TableParagraph"/>
              <w:spacing w:before="6" w:line="247" w:lineRule="exact"/>
              <w:ind w:left="110"/>
              <w:rPr>
                <w:b/>
              </w:rPr>
            </w:pPr>
            <w:r>
              <w:rPr>
                <w:b/>
              </w:rPr>
              <w:lastRenderedPageBreak/>
              <w:t>Working Group – Subject Matter Experts (SMEs)</w:t>
            </w:r>
          </w:p>
        </w:tc>
      </w:tr>
      <w:tr w:rsidR="008A2EDE" w14:paraId="7BEC8A46" w14:textId="77777777">
        <w:trPr>
          <w:trHeight w:val="273"/>
        </w:trPr>
        <w:tc>
          <w:tcPr>
            <w:tcW w:w="2122" w:type="dxa"/>
          </w:tcPr>
          <w:p w14:paraId="71BD90AF" w14:textId="77777777" w:rsidR="008A2EDE" w:rsidRDefault="00A50BD3">
            <w:pPr>
              <w:pStyle w:val="TableParagraph"/>
              <w:spacing w:before="6" w:line="247" w:lineRule="exact"/>
              <w:ind w:left="110"/>
              <w:rPr>
                <w:b/>
              </w:rPr>
            </w:pPr>
            <w:r>
              <w:rPr>
                <w:b/>
              </w:rPr>
              <w:t>Subject Matter</w:t>
            </w:r>
          </w:p>
        </w:tc>
        <w:tc>
          <w:tcPr>
            <w:tcW w:w="6365" w:type="dxa"/>
          </w:tcPr>
          <w:p w14:paraId="1064891B" w14:textId="77777777" w:rsidR="008A2EDE" w:rsidRDefault="00A50BD3">
            <w:pPr>
              <w:pStyle w:val="TableParagraph"/>
              <w:spacing w:before="6" w:line="247" w:lineRule="exact"/>
              <w:ind w:left="109"/>
              <w:rPr>
                <w:b/>
              </w:rPr>
            </w:pPr>
            <w:r>
              <w:rPr>
                <w:b/>
              </w:rPr>
              <w:t>Expert name and Organisation</w:t>
            </w:r>
          </w:p>
        </w:tc>
      </w:tr>
      <w:tr w:rsidR="008A2EDE" w14:paraId="6C95F57F" w14:textId="77777777">
        <w:trPr>
          <w:trHeight w:val="4838"/>
        </w:trPr>
        <w:tc>
          <w:tcPr>
            <w:tcW w:w="2122" w:type="dxa"/>
          </w:tcPr>
          <w:p w14:paraId="3C81ABD9" w14:textId="77777777" w:rsidR="008A2EDE" w:rsidRDefault="008A2EDE">
            <w:pPr>
              <w:pStyle w:val="TableParagraph"/>
              <w:ind w:left="0"/>
              <w:rPr>
                <w:b/>
                <w:sz w:val="26"/>
              </w:rPr>
            </w:pPr>
          </w:p>
          <w:p w14:paraId="55AA6698" w14:textId="77777777" w:rsidR="008A2EDE" w:rsidRDefault="008A2EDE">
            <w:pPr>
              <w:pStyle w:val="TableParagraph"/>
              <w:ind w:left="0"/>
              <w:rPr>
                <w:b/>
                <w:sz w:val="26"/>
              </w:rPr>
            </w:pPr>
          </w:p>
          <w:p w14:paraId="052EA8FE" w14:textId="77777777" w:rsidR="008A2EDE" w:rsidRDefault="008A2EDE">
            <w:pPr>
              <w:pStyle w:val="TableParagraph"/>
              <w:ind w:left="0"/>
              <w:rPr>
                <w:b/>
                <w:sz w:val="26"/>
              </w:rPr>
            </w:pPr>
          </w:p>
          <w:p w14:paraId="6A15CE98" w14:textId="77777777" w:rsidR="008A2EDE" w:rsidRDefault="008A2EDE">
            <w:pPr>
              <w:pStyle w:val="TableParagraph"/>
              <w:ind w:left="0"/>
              <w:rPr>
                <w:b/>
                <w:sz w:val="26"/>
              </w:rPr>
            </w:pPr>
          </w:p>
          <w:p w14:paraId="61A39181" w14:textId="77777777" w:rsidR="008A2EDE" w:rsidRDefault="008A2EDE">
            <w:pPr>
              <w:pStyle w:val="TableParagraph"/>
              <w:ind w:left="0"/>
              <w:rPr>
                <w:b/>
                <w:sz w:val="26"/>
              </w:rPr>
            </w:pPr>
          </w:p>
          <w:p w14:paraId="5B11FE78" w14:textId="77777777" w:rsidR="008A2EDE" w:rsidRDefault="008A2EDE">
            <w:pPr>
              <w:pStyle w:val="TableParagraph"/>
              <w:ind w:left="0"/>
              <w:rPr>
                <w:b/>
                <w:sz w:val="26"/>
              </w:rPr>
            </w:pPr>
          </w:p>
          <w:p w14:paraId="5C5C1E0E" w14:textId="77777777" w:rsidR="008A2EDE" w:rsidRDefault="008A2EDE">
            <w:pPr>
              <w:pStyle w:val="TableParagraph"/>
              <w:ind w:left="0"/>
              <w:rPr>
                <w:b/>
                <w:sz w:val="26"/>
              </w:rPr>
            </w:pPr>
          </w:p>
          <w:p w14:paraId="54F9DE78" w14:textId="77777777" w:rsidR="008A2EDE" w:rsidRDefault="00A50BD3">
            <w:pPr>
              <w:pStyle w:val="TableParagraph"/>
              <w:spacing w:before="199"/>
              <w:ind w:left="110"/>
            </w:pPr>
            <w:r>
              <w:t>Residential</w:t>
            </w:r>
          </w:p>
        </w:tc>
        <w:tc>
          <w:tcPr>
            <w:tcW w:w="6365" w:type="dxa"/>
          </w:tcPr>
          <w:p w14:paraId="10D88434" w14:textId="77777777" w:rsidR="008A2EDE" w:rsidRDefault="00A50BD3">
            <w:pPr>
              <w:pStyle w:val="TableParagraph"/>
              <w:spacing w:before="1"/>
              <w:ind w:left="109" w:right="3179"/>
            </w:pPr>
            <w:r>
              <w:t>Adam Laxton, Chisholm Education Andrew Gilchrist</w:t>
            </w:r>
          </w:p>
          <w:p w14:paraId="5D5473DD" w14:textId="77777777" w:rsidR="008A2EDE" w:rsidRDefault="00A50BD3">
            <w:pPr>
              <w:pStyle w:val="TableParagraph"/>
              <w:spacing w:before="1"/>
              <w:ind w:left="109" w:right="4038"/>
            </w:pPr>
            <w:r>
              <w:t>Andrew Mellas, TasTAFE Chris Smith, TasTAFE</w:t>
            </w:r>
          </w:p>
          <w:p w14:paraId="0BEDCF3D" w14:textId="77777777" w:rsidR="008A2EDE" w:rsidRDefault="00A50BD3">
            <w:pPr>
              <w:pStyle w:val="TableParagraph"/>
              <w:ind w:left="109" w:right="3424"/>
            </w:pPr>
            <w:r>
              <w:t>David Porter, Blue Dog Training Fred Lijauco, TBCITB</w:t>
            </w:r>
          </w:p>
          <w:p w14:paraId="3D34047E" w14:textId="77777777" w:rsidR="008A2EDE" w:rsidRDefault="00A50BD3">
            <w:pPr>
              <w:pStyle w:val="TableParagraph"/>
              <w:spacing w:before="1"/>
              <w:ind w:left="109" w:right="2071"/>
            </w:pPr>
            <w:r>
              <w:t>Greg Cheetham, Building Industry Skills Centre Katherine Jagger, TAFE NSW</w:t>
            </w:r>
          </w:p>
          <w:p w14:paraId="0F9D2B7F" w14:textId="77777777" w:rsidR="008A2EDE" w:rsidRDefault="00A50BD3">
            <w:pPr>
              <w:pStyle w:val="TableParagraph"/>
              <w:ind w:left="109" w:right="3765"/>
            </w:pPr>
            <w:r>
              <w:t>Martin Los, Boxhill Institute Mike Kent, Feduni</w:t>
            </w:r>
          </w:p>
          <w:p w14:paraId="1B9A52D3" w14:textId="77777777" w:rsidR="008A2EDE" w:rsidRDefault="00A50BD3">
            <w:pPr>
              <w:pStyle w:val="TableParagraph"/>
              <w:spacing w:before="1"/>
              <w:ind w:left="109" w:right="4826"/>
            </w:pPr>
            <w:r>
              <w:t>Nick Del Grosso Paul Baker</w:t>
            </w:r>
          </w:p>
          <w:p w14:paraId="0A681829" w14:textId="77777777" w:rsidR="008A2EDE" w:rsidRDefault="00A50BD3">
            <w:pPr>
              <w:pStyle w:val="TableParagraph"/>
              <w:ind w:left="109" w:right="1190"/>
            </w:pPr>
            <w:r>
              <w:t>Paul Muenchow, Department of Training and Workforce DEvelopment</w:t>
            </w:r>
          </w:p>
          <w:p w14:paraId="56739683" w14:textId="77777777" w:rsidR="008A2EDE" w:rsidRDefault="00A50BD3">
            <w:pPr>
              <w:pStyle w:val="TableParagraph"/>
              <w:spacing w:before="1"/>
              <w:ind w:left="109" w:right="2985"/>
            </w:pPr>
            <w:r>
              <w:t>Richard Bell, TAFE NSW, Skills Points Roland</w:t>
            </w:r>
            <w:r>
              <w:rPr>
                <w:spacing w:val="-2"/>
              </w:rPr>
              <w:t xml:space="preserve"> </w:t>
            </w:r>
            <w:r>
              <w:t>Heath</w:t>
            </w:r>
          </w:p>
          <w:p w14:paraId="2B621395" w14:textId="77777777" w:rsidR="008A2EDE" w:rsidRDefault="00A50BD3">
            <w:pPr>
              <w:pStyle w:val="TableParagraph"/>
              <w:ind w:left="109"/>
            </w:pPr>
            <w:r>
              <w:t>Tristan Howison, TAFE NSW</w:t>
            </w:r>
          </w:p>
        </w:tc>
      </w:tr>
    </w:tbl>
    <w:p w14:paraId="4FF7F615" w14:textId="77777777" w:rsidR="008A2EDE" w:rsidRDefault="008A2EDE">
      <w:pPr>
        <w:pStyle w:val="BodyText"/>
        <w:spacing w:before="6"/>
        <w:rPr>
          <w:b/>
          <w:sz w:val="13"/>
        </w:rPr>
      </w:pPr>
    </w:p>
    <w:p w14:paraId="76A861A9" w14:textId="77777777" w:rsidR="008A2EDE" w:rsidRDefault="00A50BD3">
      <w:pPr>
        <w:pStyle w:val="Heading7"/>
        <w:spacing w:before="101"/>
        <w:ind w:left="1259"/>
      </w:pPr>
      <w:r>
        <w:t>Forum attendees</w:t>
      </w:r>
    </w:p>
    <w:p w14:paraId="34B78F06" w14:textId="77777777" w:rsidR="008A2EDE" w:rsidRDefault="008A2EDE">
      <w:pPr>
        <w:pStyle w:val="BodyText"/>
        <w:rPr>
          <w:b/>
        </w:rPr>
      </w:pPr>
    </w:p>
    <w:p w14:paraId="00F6B220" w14:textId="77777777" w:rsidR="008A2EDE" w:rsidRDefault="00A50BD3">
      <w:pPr>
        <w:pStyle w:val="BodyText"/>
        <w:ind w:left="1259" w:right="2338"/>
      </w:pPr>
      <w:r>
        <w:t>Location: Construction Futures Centre – 104 Belgravia Street, Belmont WA 6104 Date: Thursday, 17 May 2018 from 4:00 pm to 6:00 pm (AWST)</w:t>
      </w:r>
    </w:p>
    <w:p w14:paraId="131C1A0B" w14:textId="77777777" w:rsidR="008A2EDE" w:rsidRDefault="008A2EDE">
      <w:pPr>
        <w:pStyle w:val="BodyText"/>
        <w:spacing w:before="11"/>
        <w:rPr>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39129C77" w14:textId="77777777">
        <w:trPr>
          <w:trHeight w:val="470"/>
        </w:trPr>
        <w:tc>
          <w:tcPr>
            <w:tcW w:w="1973" w:type="dxa"/>
          </w:tcPr>
          <w:p w14:paraId="381FD61D" w14:textId="77777777" w:rsidR="008A2EDE" w:rsidRDefault="00A50BD3">
            <w:pPr>
              <w:pStyle w:val="TableParagraph"/>
              <w:spacing w:before="59"/>
              <w:rPr>
                <w:b/>
              </w:rPr>
            </w:pPr>
            <w:r>
              <w:rPr>
                <w:b/>
              </w:rPr>
              <w:t>First Name</w:t>
            </w:r>
          </w:p>
        </w:tc>
        <w:tc>
          <w:tcPr>
            <w:tcW w:w="6528" w:type="dxa"/>
          </w:tcPr>
          <w:p w14:paraId="3865EBC4" w14:textId="77777777" w:rsidR="008A2EDE" w:rsidRDefault="00A50BD3">
            <w:pPr>
              <w:pStyle w:val="TableParagraph"/>
              <w:spacing w:before="59"/>
              <w:ind w:left="110"/>
              <w:rPr>
                <w:b/>
              </w:rPr>
            </w:pPr>
            <w:r>
              <w:rPr>
                <w:b/>
              </w:rPr>
              <w:t>Surname</w:t>
            </w:r>
          </w:p>
        </w:tc>
      </w:tr>
      <w:tr w:rsidR="008A2EDE" w14:paraId="11FA47C8" w14:textId="77777777">
        <w:trPr>
          <w:trHeight w:val="470"/>
        </w:trPr>
        <w:tc>
          <w:tcPr>
            <w:tcW w:w="1973" w:type="dxa"/>
          </w:tcPr>
          <w:p w14:paraId="1A09480A" w14:textId="77777777" w:rsidR="008A2EDE" w:rsidRDefault="00A50BD3">
            <w:pPr>
              <w:pStyle w:val="TableParagraph"/>
              <w:spacing w:before="59"/>
            </w:pPr>
            <w:r>
              <w:t>Adam</w:t>
            </w:r>
          </w:p>
        </w:tc>
        <w:tc>
          <w:tcPr>
            <w:tcW w:w="6528" w:type="dxa"/>
          </w:tcPr>
          <w:p w14:paraId="711D740F" w14:textId="77777777" w:rsidR="008A2EDE" w:rsidRDefault="00A50BD3">
            <w:pPr>
              <w:pStyle w:val="TableParagraph"/>
              <w:spacing w:before="59"/>
            </w:pPr>
            <w:r>
              <w:t>Smith</w:t>
            </w:r>
          </w:p>
        </w:tc>
      </w:tr>
      <w:tr w:rsidR="008A2EDE" w14:paraId="67F28452" w14:textId="77777777">
        <w:trPr>
          <w:trHeight w:val="470"/>
        </w:trPr>
        <w:tc>
          <w:tcPr>
            <w:tcW w:w="1973" w:type="dxa"/>
          </w:tcPr>
          <w:p w14:paraId="49A07F86" w14:textId="77777777" w:rsidR="008A2EDE" w:rsidRDefault="00A50BD3">
            <w:pPr>
              <w:pStyle w:val="TableParagraph"/>
              <w:spacing w:before="59"/>
            </w:pPr>
            <w:r>
              <w:t>Alan</w:t>
            </w:r>
          </w:p>
        </w:tc>
        <w:tc>
          <w:tcPr>
            <w:tcW w:w="6528" w:type="dxa"/>
          </w:tcPr>
          <w:p w14:paraId="2D49168A" w14:textId="77777777" w:rsidR="008A2EDE" w:rsidRDefault="00A50BD3">
            <w:pPr>
              <w:pStyle w:val="TableParagraph"/>
              <w:spacing w:before="59"/>
            </w:pPr>
            <w:r>
              <w:t>Davis</w:t>
            </w:r>
          </w:p>
        </w:tc>
      </w:tr>
      <w:tr w:rsidR="008A2EDE" w14:paraId="26407D01" w14:textId="77777777">
        <w:trPr>
          <w:trHeight w:val="470"/>
        </w:trPr>
        <w:tc>
          <w:tcPr>
            <w:tcW w:w="1973" w:type="dxa"/>
          </w:tcPr>
          <w:p w14:paraId="5DCB35F9" w14:textId="77777777" w:rsidR="008A2EDE" w:rsidRDefault="00A50BD3">
            <w:pPr>
              <w:pStyle w:val="TableParagraph"/>
              <w:spacing w:before="59"/>
            </w:pPr>
            <w:r>
              <w:t>Carly</w:t>
            </w:r>
          </w:p>
        </w:tc>
        <w:tc>
          <w:tcPr>
            <w:tcW w:w="6528" w:type="dxa"/>
          </w:tcPr>
          <w:p w14:paraId="57E278C8" w14:textId="77777777" w:rsidR="008A2EDE" w:rsidRDefault="00A50BD3">
            <w:pPr>
              <w:pStyle w:val="TableParagraph"/>
              <w:spacing w:before="59"/>
            </w:pPr>
            <w:r>
              <w:t>Bradley</w:t>
            </w:r>
          </w:p>
        </w:tc>
      </w:tr>
      <w:tr w:rsidR="008A2EDE" w14:paraId="51F0EA2A" w14:textId="77777777">
        <w:trPr>
          <w:trHeight w:val="470"/>
        </w:trPr>
        <w:tc>
          <w:tcPr>
            <w:tcW w:w="1973" w:type="dxa"/>
          </w:tcPr>
          <w:p w14:paraId="13085BDE" w14:textId="77777777" w:rsidR="008A2EDE" w:rsidRDefault="00A50BD3">
            <w:pPr>
              <w:pStyle w:val="TableParagraph"/>
              <w:spacing w:before="59"/>
            </w:pPr>
            <w:r>
              <w:t>Greg</w:t>
            </w:r>
          </w:p>
        </w:tc>
        <w:tc>
          <w:tcPr>
            <w:tcW w:w="6528" w:type="dxa"/>
          </w:tcPr>
          <w:p w14:paraId="42B91895" w14:textId="77777777" w:rsidR="008A2EDE" w:rsidRDefault="00A50BD3">
            <w:pPr>
              <w:pStyle w:val="TableParagraph"/>
              <w:spacing w:before="59"/>
            </w:pPr>
            <w:r>
              <w:t>Ball</w:t>
            </w:r>
          </w:p>
        </w:tc>
      </w:tr>
      <w:tr w:rsidR="008A2EDE" w14:paraId="07A504CD" w14:textId="77777777">
        <w:trPr>
          <w:trHeight w:val="470"/>
        </w:trPr>
        <w:tc>
          <w:tcPr>
            <w:tcW w:w="1973" w:type="dxa"/>
          </w:tcPr>
          <w:p w14:paraId="22542587" w14:textId="77777777" w:rsidR="008A2EDE" w:rsidRDefault="00A50BD3">
            <w:pPr>
              <w:pStyle w:val="TableParagraph"/>
              <w:spacing w:before="59"/>
            </w:pPr>
            <w:r>
              <w:t>John</w:t>
            </w:r>
          </w:p>
        </w:tc>
        <w:tc>
          <w:tcPr>
            <w:tcW w:w="6528" w:type="dxa"/>
          </w:tcPr>
          <w:p w14:paraId="11305E79" w14:textId="77777777" w:rsidR="008A2EDE" w:rsidRDefault="00A50BD3">
            <w:pPr>
              <w:pStyle w:val="TableParagraph"/>
              <w:spacing w:before="59"/>
            </w:pPr>
            <w:r>
              <w:t>Hearne</w:t>
            </w:r>
          </w:p>
        </w:tc>
      </w:tr>
      <w:tr w:rsidR="008A2EDE" w14:paraId="6D95061D" w14:textId="77777777">
        <w:trPr>
          <w:trHeight w:val="599"/>
        </w:trPr>
        <w:tc>
          <w:tcPr>
            <w:tcW w:w="1973" w:type="dxa"/>
          </w:tcPr>
          <w:p w14:paraId="60B5F2D4" w14:textId="77777777" w:rsidR="008A2EDE" w:rsidRDefault="00A50BD3">
            <w:pPr>
              <w:pStyle w:val="TableParagraph"/>
              <w:spacing w:before="59"/>
            </w:pPr>
            <w:r>
              <w:t>Louise</w:t>
            </w:r>
          </w:p>
        </w:tc>
        <w:tc>
          <w:tcPr>
            <w:tcW w:w="6528" w:type="dxa"/>
          </w:tcPr>
          <w:p w14:paraId="3F319E5C" w14:textId="77777777" w:rsidR="008A2EDE" w:rsidRDefault="00A50BD3">
            <w:pPr>
              <w:pStyle w:val="TableParagraph"/>
              <w:spacing w:before="59"/>
            </w:pPr>
            <w:r>
              <w:t>Morrison</w:t>
            </w:r>
          </w:p>
        </w:tc>
      </w:tr>
      <w:tr w:rsidR="008A2EDE" w14:paraId="25069965" w14:textId="77777777">
        <w:trPr>
          <w:trHeight w:val="470"/>
        </w:trPr>
        <w:tc>
          <w:tcPr>
            <w:tcW w:w="1973" w:type="dxa"/>
          </w:tcPr>
          <w:p w14:paraId="09186672" w14:textId="77777777" w:rsidR="008A2EDE" w:rsidRDefault="00A50BD3">
            <w:pPr>
              <w:pStyle w:val="TableParagraph"/>
              <w:spacing w:before="59"/>
            </w:pPr>
            <w:r>
              <w:t>Lyn</w:t>
            </w:r>
          </w:p>
        </w:tc>
        <w:tc>
          <w:tcPr>
            <w:tcW w:w="6528" w:type="dxa"/>
          </w:tcPr>
          <w:p w14:paraId="081EEA13" w14:textId="77777777" w:rsidR="008A2EDE" w:rsidRDefault="00A50BD3">
            <w:pPr>
              <w:pStyle w:val="TableParagraph"/>
              <w:spacing w:before="59"/>
            </w:pPr>
            <w:r>
              <w:t>MacDonald</w:t>
            </w:r>
          </w:p>
        </w:tc>
      </w:tr>
      <w:tr w:rsidR="008A2EDE" w14:paraId="794ED94C" w14:textId="77777777">
        <w:trPr>
          <w:trHeight w:val="470"/>
        </w:trPr>
        <w:tc>
          <w:tcPr>
            <w:tcW w:w="1973" w:type="dxa"/>
          </w:tcPr>
          <w:p w14:paraId="09377DE7" w14:textId="77777777" w:rsidR="008A2EDE" w:rsidRDefault="00A50BD3">
            <w:pPr>
              <w:pStyle w:val="TableParagraph"/>
              <w:spacing w:before="59"/>
            </w:pPr>
            <w:r>
              <w:t>Paul</w:t>
            </w:r>
          </w:p>
        </w:tc>
        <w:tc>
          <w:tcPr>
            <w:tcW w:w="6528" w:type="dxa"/>
          </w:tcPr>
          <w:p w14:paraId="30E5C1F6" w14:textId="77777777" w:rsidR="008A2EDE" w:rsidRDefault="00A50BD3">
            <w:pPr>
              <w:pStyle w:val="TableParagraph"/>
              <w:spacing w:before="59"/>
            </w:pPr>
            <w:r>
              <w:t>Briard</w:t>
            </w:r>
          </w:p>
        </w:tc>
      </w:tr>
      <w:tr w:rsidR="008A2EDE" w14:paraId="0E7AD62B" w14:textId="77777777">
        <w:trPr>
          <w:trHeight w:val="470"/>
        </w:trPr>
        <w:tc>
          <w:tcPr>
            <w:tcW w:w="1973" w:type="dxa"/>
          </w:tcPr>
          <w:p w14:paraId="60F33E21" w14:textId="77777777" w:rsidR="008A2EDE" w:rsidRDefault="00A50BD3">
            <w:pPr>
              <w:pStyle w:val="TableParagraph"/>
              <w:spacing w:before="59"/>
            </w:pPr>
            <w:r>
              <w:t>Paul</w:t>
            </w:r>
          </w:p>
        </w:tc>
        <w:tc>
          <w:tcPr>
            <w:tcW w:w="6528" w:type="dxa"/>
          </w:tcPr>
          <w:p w14:paraId="6EA36C33" w14:textId="77777777" w:rsidR="008A2EDE" w:rsidRDefault="00A50BD3">
            <w:pPr>
              <w:pStyle w:val="TableParagraph"/>
              <w:spacing w:before="59"/>
            </w:pPr>
            <w:r>
              <w:t>Muenchow</w:t>
            </w:r>
          </w:p>
        </w:tc>
      </w:tr>
      <w:tr w:rsidR="008A2EDE" w14:paraId="27CB5E72" w14:textId="77777777">
        <w:trPr>
          <w:trHeight w:val="470"/>
        </w:trPr>
        <w:tc>
          <w:tcPr>
            <w:tcW w:w="1973" w:type="dxa"/>
          </w:tcPr>
          <w:p w14:paraId="1976E9FE" w14:textId="77777777" w:rsidR="008A2EDE" w:rsidRDefault="00A50BD3">
            <w:pPr>
              <w:pStyle w:val="TableParagraph"/>
              <w:spacing w:before="59"/>
            </w:pPr>
            <w:r>
              <w:t>Roula</w:t>
            </w:r>
          </w:p>
        </w:tc>
        <w:tc>
          <w:tcPr>
            <w:tcW w:w="6528" w:type="dxa"/>
          </w:tcPr>
          <w:p w14:paraId="01FB7BDC" w14:textId="77777777" w:rsidR="008A2EDE" w:rsidRDefault="00A50BD3">
            <w:pPr>
              <w:pStyle w:val="TableParagraph"/>
              <w:spacing w:before="59"/>
            </w:pPr>
            <w:r>
              <w:t>Tsiolas</w:t>
            </w:r>
          </w:p>
        </w:tc>
      </w:tr>
      <w:tr w:rsidR="008A2EDE" w14:paraId="7B6312D6" w14:textId="77777777">
        <w:trPr>
          <w:trHeight w:val="470"/>
        </w:trPr>
        <w:tc>
          <w:tcPr>
            <w:tcW w:w="1973" w:type="dxa"/>
          </w:tcPr>
          <w:p w14:paraId="3FF305BF" w14:textId="77777777" w:rsidR="008A2EDE" w:rsidRDefault="00A50BD3">
            <w:pPr>
              <w:pStyle w:val="TableParagraph"/>
              <w:spacing w:before="59"/>
            </w:pPr>
            <w:r>
              <w:t>Tim</w:t>
            </w:r>
          </w:p>
        </w:tc>
        <w:tc>
          <w:tcPr>
            <w:tcW w:w="6528" w:type="dxa"/>
          </w:tcPr>
          <w:p w14:paraId="6930420E" w14:textId="77777777" w:rsidR="008A2EDE" w:rsidRDefault="00A50BD3">
            <w:pPr>
              <w:pStyle w:val="TableParagraph"/>
              <w:spacing w:before="59"/>
            </w:pPr>
            <w:r>
              <w:t>Carson</w:t>
            </w:r>
          </w:p>
        </w:tc>
      </w:tr>
    </w:tbl>
    <w:p w14:paraId="22D69055" w14:textId="77777777" w:rsidR="008A2EDE" w:rsidRDefault="008A2EDE">
      <w:pPr>
        <w:sectPr w:rsidR="008A2EDE">
          <w:pgSz w:w="11900" w:h="16840"/>
          <w:pgMar w:top="1440" w:right="700" w:bottom="740" w:left="440" w:header="0" w:footer="558" w:gutter="0"/>
          <w:cols w:space="720"/>
        </w:sectPr>
      </w:pPr>
    </w:p>
    <w:p w14:paraId="1C6BD8A2" w14:textId="77777777" w:rsidR="008A2EDE" w:rsidRDefault="008A2EDE">
      <w:pPr>
        <w:pStyle w:val="BodyText"/>
        <w:spacing w:before="10"/>
      </w:pPr>
    </w:p>
    <w:p w14:paraId="70628AD4" w14:textId="77777777" w:rsidR="008A2EDE" w:rsidRDefault="00A50BD3">
      <w:pPr>
        <w:pStyle w:val="BodyText"/>
        <w:spacing w:before="100"/>
        <w:ind w:left="1259" w:right="2711"/>
      </w:pPr>
      <w:r>
        <w:t>Location: Holmesglen St Kilda Campus – 332 St Kilda Road, St Kilda VIC 3182 Date: Tuesday, 19 June 2018 from 2:00 pm to 4:00 pm (AEST)</w:t>
      </w:r>
    </w:p>
    <w:p w14:paraId="0F74C7E7" w14:textId="77777777" w:rsidR="008A2EDE" w:rsidRDefault="008A2EDE">
      <w:pPr>
        <w:pStyle w:val="BodyText"/>
        <w:spacing w:before="11" w:after="1"/>
        <w:rPr>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36ECF4D4" w14:textId="77777777">
        <w:trPr>
          <w:trHeight w:val="470"/>
        </w:trPr>
        <w:tc>
          <w:tcPr>
            <w:tcW w:w="1973" w:type="dxa"/>
          </w:tcPr>
          <w:p w14:paraId="0E259727" w14:textId="77777777" w:rsidR="008A2EDE" w:rsidRDefault="00A50BD3">
            <w:pPr>
              <w:pStyle w:val="TableParagraph"/>
              <w:spacing w:before="59"/>
              <w:rPr>
                <w:b/>
              </w:rPr>
            </w:pPr>
            <w:r>
              <w:rPr>
                <w:b/>
              </w:rPr>
              <w:t>First Name</w:t>
            </w:r>
          </w:p>
        </w:tc>
        <w:tc>
          <w:tcPr>
            <w:tcW w:w="6528" w:type="dxa"/>
          </w:tcPr>
          <w:p w14:paraId="5324696A" w14:textId="77777777" w:rsidR="008A2EDE" w:rsidRDefault="00A50BD3">
            <w:pPr>
              <w:pStyle w:val="TableParagraph"/>
              <w:spacing w:before="59"/>
              <w:ind w:left="110"/>
              <w:rPr>
                <w:b/>
              </w:rPr>
            </w:pPr>
            <w:r>
              <w:rPr>
                <w:b/>
              </w:rPr>
              <w:t>Surname</w:t>
            </w:r>
          </w:p>
        </w:tc>
      </w:tr>
      <w:tr w:rsidR="008A2EDE" w14:paraId="3AB79F0F" w14:textId="77777777">
        <w:trPr>
          <w:trHeight w:val="470"/>
        </w:trPr>
        <w:tc>
          <w:tcPr>
            <w:tcW w:w="1973" w:type="dxa"/>
          </w:tcPr>
          <w:p w14:paraId="3B794361" w14:textId="77777777" w:rsidR="008A2EDE" w:rsidRDefault="00A50BD3">
            <w:pPr>
              <w:pStyle w:val="TableParagraph"/>
              <w:spacing w:before="59"/>
            </w:pPr>
            <w:r>
              <w:t>Adrian</w:t>
            </w:r>
          </w:p>
        </w:tc>
        <w:tc>
          <w:tcPr>
            <w:tcW w:w="6528" w:type="dxa"/>
          </w:tcPr>
          <w:p w14:paraId="361ABC53" w14:textId="77777777" w:rsidR="008A2EDE" w:rsidRDefault="00A50BD3">
            <w:pPr>
              <w:pStyle w:val="TableParagraph"/>
              <w:spacing w:before="59"/>
            </w:pPr>
            <w:r>
              <w:t>Rutley</w:t>
            </w:r>
          </w:p>
        </w:tc>
      </w:tr>
      <w:tr w:rsidR="008A2EDE" w14:paraId="005D821A" w14:textId="77777777">
        <w:trPr>
          <w:trHeight w:val="470"/>
        </w:trPr>
        <w:tc>
          <w:tcPr>
            <w:tcW w:w="1973" w:type="dxa"/>
          </w:tcPr>
          <w:p w14:paraId="315DD34C" w14:textId="77777777" w:rsidR="008A2EDE" w:rsidRDefault="00A50BD3">
            <w:pPr>
              <w:pStyle w:val="TableParagraph"/>
              <w:spacing w:before="59"/>
            </w:pPr>
            <w:r>
              <w:t>Alan</w:t>
            </w:r>
          </w:p>
        </w:tc>
        <w:tc>
          <w:tcPr>
            <w:tcW w:w="6528" w:type="dxa"/>
          </w:tcPr>
          <w:p w14:paraId="777FE412" w14:textId="77777777" w:rsidR="008A2EDE" w:rsidRDefault="00A50BD3">
            <w:pPr>
              <w:pStyle w:val="TableParagraph"/>
              <w:spacing w:before="59"/>
            </w:pPr>
            <w:r>
              <w:t>Hopkins</w:t>
            </w:r>
          </w:p>
        </w:tc>
      </w:tr>
      <w:tr w:rsidR="008A2EDE" w14:paraId="01AA5905" w14:textId="77777777">
        <w:trPr>
          <w:trHeight w:val="470"/>
        </w:trPr>
        <w:tc>
          <w:tcPr>
            <w:tcW w:w="1973" w:type="dxa"/>
          </w:tcPr>
          <w:p w14:paraId="1E54C0CA" w14:textId="77777777" w:rsidR="008A2EDE" w:rsidRDefault="00A50BD3">
            <w:pPr>
              <w:pStyle w:val="TableParagraph"/>
              <w:spacing w:before="59"/>
            </w:pPr>
            <w:r>
              <w:t>Boris</w:t>
            </w:r>
          </w:p>
        </w:tc>
        <w:tc>
          <w:tcPr>
            <w:tcW w:w="6528" w:type="dxa"/>
          </w:tcPr>
          <w:p w14:paraId="3474D8B5" w14:textId="77777777" w:rsidR="008A2EDE" w:rsidRDefault="00A50BD3">
            <w:pPr>
              <w:pStyle w:val="TableParagraph"/>
              <w:spacing w:before="59"/>
            </w:pPr>
            <w:r>
              <w:t>Iskra</w:t>
            </w:r>
          </w:p>
        </w:tc>
      </w:tr>
      <w:tr w:rsidR="008A2EDE" w14:paraId="0DC17CAE" w14:textId="77777777">
        <w:trPr>
          <w:trHeight w:val="470"/>
        </w:trPr>
        <w:tc>
          <w:tcPr>
            <w:tcW w:w="1973" w:type="dxa"/>
          </w:tcPr>
          <w:p w14:paraId="7F25D04E" w14:textId="77777777" w:rsidR="008A2EDE" w:rsidRDefault="00A50BD3">
            <w:pPr>
              <w:pStyle w:val="TableParagraph"/>
              <w:spacing w:before="59"/>
            </w:pPr>
            <w:r>
              <w:t>Chee</w:t>
            </w:r>
          </w:p>
        </w:tc>
        <w:tc>
          <w:tcPr>
            <w:tcW w:w="6528" w:type="dxa"/>
          </w:tcPr>
          <w:p w14:paraId="68B54914" w14:textId="77777777" w:rsidR="008A2EDE" w:rsidRDefault="00A50BD3">
            <w:pPr>
              <w:pStyle w:val="TableParagraph"/>
              <w:spacing w:before="59"/>
            </w:pPr>
            <w:r>
              <w:t>Ng</w:t>
            </w:r>
          </w:p>
        </w:tc>
      </w:tr>
      <w:tr w:rsidR="008A2EDE" w14:paraId="4259FCDB" w14:textId="77777777">
        <w:trPr>
          <w:trHeight w:val="470"/>
        </w:trPr>
        <w:tc>
          <w:tcPr>
            <w:tcW w:w="1973" w:type="dxa"/>
          </w:tcPr>
          <w:p w14:paraId="52D8CEB7" w14:textId="77777777" w:rsidR="008A2EDE" w:rsidRDefault="00A50BD3">
            <w:pPr>
              <w:pStyle w:val="TableParagraph"/>
              <w:spacing w:before="59"/>
            </w:pPr>
            <w:r>
              <w:t>Damian</w:t>
            </w:r>
          </w:p>
        </w:tc>
        <w:tc>
          <w:tcPr>
            <w:tcW w:w="6528" w:type="dxa"/>
          </w:tcPr>
          <w:p w14:paraId="627F2276" w14:textId="77777777" w:rsidR="008A2EDE" w:rsidRDefault="00A50BD3">
            <w:pPr>
              <w:pStyle w:val="TableParagraph"/>
              <w:spacing w:before="59"/>
            </w:pPr>
            <w:r>
              <w:t>Tolson</w:t>
            </w:r>
          </w:p>
        </w:tc>
      </w:tr>
      <w:tr w:rsidR="008A2EDE" w14:paraId="314467E7" w14:textId="77777777">
        <w:trPr>
          <w:trHeight w:val="470"/>
        </w:trPr>
        <w:tc>
          <w:tcPr>
            <w:tcW w:w="1973" w:type="dxa"/>
          </w:tcPr>
          <w:p w14:paraId="11463E4B" w14:textId="77777777" w:rsidR="008A2EDE" w:rsidRDefault="00A50BD3">
            <w:pPr>
              <w:pStyle w:val="TableParagraph"/>
              <w:spacing w:before="59"/>
            </w:pPr>
            <w:r>
              <w:t>Damien</w:t>
            </w:r>
          </w:p>
        </w:tc>
        <w:tc>
          <w:tcPr>
            <w:tcW w:w="6528" w:type="dxa"/>
          </w:tcPr>
          <w:p w14:paraId="4ED089D4" w14:textId="77777777" w:rsidR="008A2EDE" w:rsidRDefault="00A50BD3">
            <w:pPr>
              <w:pStyle w:val="TableParagraph"/>
              <w:spacing w:before="59"/>
            </w:pPr>
            <w:r>
              <w:t>Coats</w:t>
            </w:r>
          </w:p>
        </w:tc>
      </w:tr>
      <w:tr w:rsidR="008A2EDE" w14:paraId="7E2031D3" w14:textId="77777777">
        <w:trPr>
          <w:trHeight w:val="469"/>
        </w:trPr>
        <w:tc>
          <w:tcPr>
            <w:tcW w:w="1973" w:type="dxa"/>
          </w:tcPr>
          <w:p w14:paraId="2852D340" w14:textId="77777777" w:rsidR="008A2EDE" w:rsidRDefault="00A50BD3">
            <w:pPr>
              <w:pStyle w:val="TableParagraph"/>
              <w:spacing w:before="59"/>
            </w:pPr>
            <w:r>
              <w:t>Darryn</w:t>
            </w:r>
          </w:p>
        </w:tc>
        <w:tc>
          <w:tcPr>
            <w:tcW w:w="6528" w:type="dxa"/>
          </w:tcPr>
          <w:p w14:paraId="0C7EF8EC" w14:textId="77777777" w:rsidR="008A2EDE" w:rsidRDefault="00A50BD3">
            <w:pPr>
              <w:pStyle w:val="TableParagraph"/>
              <w:spacing w:before="59"/>
            </w:pPr>
            <w:r>
              <w:t>McKenzie</w:t>
            </w:r>
          </w:p>
        </w:tc>
      </w:tr>
      <w:tr w:rsidR="008A2EDE" w14:paraId="67CD20D7" w14:textId="77777777">
        <w:trPr>
          <w:trHeight w:val="470"/>
        </w:trPr>
        <w:tc>
          <w:tcPr>
            <w:tcW w:w="1973" w:type="dxa"/>
          </w:tcPr>
          <w:p w14:paraId="34245F6B" w14:textId="77777777" w:rsidR="008A2EDE" w:rsidRDefault="00A50BD3">
            <w:pPr>
              <w:pStyle w:val="TableParagraph"/>
              <w:spacing w:before="59"/>
            </w:pPr>
            <w:r>
              <w:t>David</w:t>
            </w:r>
          </w:p>
        </w:tc>
        <w:tc>
          <w:tcPr>
            <w:tcW w:w="6528" w:type="dxa"/>
          </w:tcPr>
          <w:p w14:paraId="726D57C5" w14:textId="77777777" w:rsidR="008A2EDE" w:rsidRDefault="00A50BD3">
            <w:pPr>
              <w:pStyle w:val="TableParagraph"/>
              <w:spacing w:before="59"/>
            </w:pPr>
            <w:r>
              <w:t>Uebergang</w:t>
            </w:r>
          </w:p>
        </w:tc>
      </w:tr>
      <w:tr w:rsidR="008A2EDE" w14:paraId="607417A6" w14:textId="77777777">
        <w:trPr>
          <w:trHeight w:val="470"/>
        </w:trPr>
        <w:tc>
          <w:tcPr>
            <w:tcW w:w="1973" w:type="dxa"/>
          </w:tcPr>
          <w:p w14:paraId="4371D71C" w14:textId="77777777" w:rsidR="008A2EDE" w:rsidRDefault="00A50BD3">
            <w:pPr>
              <w:pStyle w:val="TableParagraph"/>
              <w:spacing w:before="59"/>
            </w:pPr>
            <w:r>
              <w:t>Dean</w:t>
            </w:r>
          </w:p>
        </w:tc>
        <w:tc>
          <w:tcPr>
            <w:tcW w:w="6528" w:type="dxa"/>
          </w:tcPr>
          <w:p w14:paraId="01562272" w14:textId="77777777" w:rsidR="008A2EDE" w:rsidRDefault="00A50BD3">
            <w:pPr>
              <w:pStyle w:val="TableParagraph"/>
              <w:spacing w:before="59"/>
            </w:pPr>
            <w:r>
              <w:t>Palmer</w:t>
            </w:r>
          </w:p>
        </w:tc>
      </w:tr>
      <w:tr w:rsidR="008A2EDE" w14:paraId="78A0D7D9" w14:textId="77777777">
        <w:trPr>
          <w:trHeight w:val="470"/>
        </w:trPr>
        <w:tc>
          <w:tcPr>
            <w:tcW w:w="1973" w:type="dxa"/>
          </w:tcPr>
          <w:p w14:paraId="60BC29E6" w14:textId="77777777" w:rsidR="008A2EDE" w:rsidRDefault="00A50BD3">
            <w:pPr>
              <w:pStyle w:val="TableParagraph"/>
              <w:spacing w:before="59"/>
            </w:pPr>
            <w:r>
              <w:t>Greg</w:t>
            </w:r>
          </w:p>
        </w:tc>
        <w:tc>
          <w:tcPr>
            <w:tcW w:w="6528" w:type="dxa"/>
          </w:tcPr>
          <w:p w14:paraId="2DA045C1" w14:textId="77777777" w:rsidR="008A2EDE" w:rsidRDefault="00A50BD3">
            <w:pPr>
              <w:pStyle w:val="TableParagraph"/>
              <w:spacing w:before="59"/>
            </w:pPr>
            <w:r>
              <w:t>O`Toole</w:t>
            </w:r>
          </w:p>
        </w:tc>
      </w:tr>
      <w:tr w:rsidR="008A2EDE" w14:paraId="1BF5908B" w14:textId="77777777">
        <w:trPr>
          <w:trHeight w:val="470"/>
        </w:trPr>
        <w:tc>
          <w:tcPr>
            <w:tcW w:w="1973" w:type="dxa"/>
          </w:tcPr>
          <w:p w14:paraId="4D859EC3" w14:textId="77777777" w:rsidR="008A2EDE" w:rsidRDefault="00A50BD3">
            <w:pPr>
              <w:pStyle w:val="TableParagraph"/>
              <w:spacing w:before="59"/>
            </w:pPr>
            <w:r>
              <w:t>Ingrid</w:t>
            </w:r>
          </w:p>
        </w:tc>
        <w:tc>
          <w:tcPr>
            <w:tcW w:w="6528" w:type="dxa"/>
          </w:tcPr>
          <w:p w14:paraId="1A286D4B" w14:textId="77777777" w:rsidR="008A2EDE" w:rsidRDefault="00A50BD3">
            <w:pPr>
              <w:pStyle w:val="TableParagraph"/>
              <w:spacing w:before="59"/>
            </w:pPr>
            <w:r>
              <w:t>Mountford</w:t>
            </w:r>
          </w:p>
        </w:tc>
      </w:tr>
      <w:tr w:rsidR="008A2EDE" w14:paraId="112CF6AB" w14:textId="77777777">
        <w:trPr>
          <w:trHeight w:val="470"/>
        </w:trPr>
        <w:tc>
          <w:tcPr>
            <w:tcW w:w="1973" w:type="dxa"/>
          </w:tcPr>
          <w:p w14:paraId="36B6E41C" w14:textId="77777777" w:rsidR="008A2EDE" w:rsidRDefault="00A50BD3">
            <w:pPr>
              <w:pStyle w:val="TableParagraph"/>
              <w:spacing w:before="59"/>
            </w:pPr>
            <w:r>
              <w:t>Jennifer</w:t>
            </w:r>
          </w:p>
        </w:tc>
        <w:tc>
          <w:tcPr>
            <w:tcW w:w="6528" w:type="dxa"/>
          </w:tcPr>
          <w:p w14:paraId="2159E82E" w14:textId="77777777" w:rsidR="008A2EDE" w:rsidRDefault="00A50BD3">
            <w:pPr>
              <w:pStyle w:val="TableParagraph"/>
              <w:spacing w:before="59"/>
            </w:pPr>
            <w:r>
              <w:t>Mason</w:t>
            </w:r>
          </w:p>
        </w:tc>
      </w:tr>
      <w:tr w:rsidR="008A2EDE" w14:paraId="2031195F" w14:textId="77777777">
        <w:trPr>
          <w:trHeight w:val="470"/>
        </w:trPr>
        <w:tc>
          <w:tcPr>
            <w:tcW w:w="1973" w:type="dxa"/>
          </w:tcPr>
          <w:p w14:paraId="04FFBC51" w14:textId="77777777" w:rsidR="008A2EDE" w:rsidRDefault="00A50BD3">
            <w:pPr>
              <w:pStyle w:val="TableParagraph"/>
              <w:spacing w:before="59"/>
            </w:pPr>
            <w:r>
              <w:t>Jim</w:t>
            </w:r>
          </w:p>
        </w:tc>
        <w:tc>
          <w:tcPr>
            <w:tcW w:w="6528" w:type="dxa"/>
          </w:tcPr>
          <w:p w14:paraId="61E819C2" w14:textId="77777777" w:rsidR="008A2EDE" w:rsidRDefault="00A50BD3">
            <w:pPr>
              <w:pStyle w:val="TableParagraph"/>
              <w:spacing w:before="59"/>
            </w:pPr>
            <w:r>
              <w:t>Karcos</w:t>
            </w:r>
          </w:p>
        </w:tc>
      </w:tr>
      <w:tr w:rsidR="008A2EDE" w14:paraId="449D1B45" w14:textId="77777777">
        <w:trPr>
          <w:trHeight w:val="470"/>
        </w:trPr>
        <w:tc>
          <w:tcPr>
            <w:tcW w:w="1973" w:type="dxa"/>
          </w:tcPr>
          <w:p w14:paraId="16A70896" w14:textId="77777777" w:rsidR="008A2EDE" w:rsidRDefault="00A50BD3">
            <w:pPr>
              <w:pStyle w:val="TableParagraph"/>
              <w:spacing w:before="59"/>
            </w:pPr>
            <w:r>
              <w:t>Justin</w:t>
            </w:r>
          </w:p>
        </w:tc>
        <w:tc>
          <w:tcPr>
            <w:tcW w:w="6528" w:type="dxa"/>
          </w:tcPr>
          <w:p w14:paraId="21012960" w14:textId="77777777" w:rsidR="008A2EDE" w:rsidRDefault="00A50BD3">
            <w:pPr>
              <w:pStyle w:val="TableParagraph"/>
              <w:spacing w:before="59"/>
            </w:pPr>
            <w:r>
              <w:t>Maddy</w:t>
            </w:r>
          </w:p>
        </w:tc>
      </w:tr>
      <w:tr w:rsidR="008A2EDE" w14:paraId="31C7EABD" w14:textId="77777777">
        <w:trPr>
          <w:trHeight w:val="470"/>
        </w:trPr>
        <w:tc>
          <w:tcPr>
            <w:tcW w:w="1973" w:type="dxa"/>
          </w:tcPr>
          <w:p w14:paraId="5A2C0646" w14:textId="77777777" w:rsidR="008A2EDE" w:rsidRDefault="00A50BD3">
            <w:pPr>
              <w:pStyle w:val="TableParagraph"/>
              <w:spacing w:before="59"/>
            </w:pPr>
            <w:r>
              <w:t>Liam</w:t>
            </w:r>
          </w:p>
        </w:tc>
        <w:tc>
          <w:tcPr>
            <w:tcW w:w="6528" w:type="dxa"/>
          </w:tcPr>
          <w:p w14:paraId="65F98DF5" w14:textId="77777777" w:rsidR="008A2EDE" w:rsidRDefault="00A50BD3">
            <w:pPr>
              <w:pStyle w:val="TableParagraph"/>
              <w:spacing w:before="59"/>
            </w:pPr>
            <w:r>
              <w:t>O`Hearn</w:t>
            </w:r>
          </w:p>
        </w:tc>
      </w:tr>
      <w:tr w:rsidR="008A2EDE" w14:paraId="09AA75D6" w14:textId="77777777">
        <w:trPr>
          <w:trHeight w:val="470"/>
        </w:trPr>
        <w:tc>
          <w:tcPr>
            <w:tcW w:w="1973" w:type="dxa"/>
          </w:tcPr>
          <w:p w14:paraId="5D851C5D" w14:textId="77777777" w:rsidR="008A2EDE" w:rsidRDefault="00A50BD3">
            <w:pPr>
              <w:pStyle w:val="TableParagraph"/>
              <w:spacing w:before="59"/>
            </w:pPr>
            <w:r>
              <w:t>Lynda</w:t>
            </w:r>
          </w:p>
        </w:tc>
        <w:tc>
          <w:tcPr>
            <w:tcW w:w="6528" w:type="dxa"/>
          </w:tcPr>
          <w:p w14:paraId="569E1578" w14:textId="77777777" w:rsidR="008A2EDE" w:rsidRDefault="00A50BD3">
            <w:pPr>
              <w:pStyle w:val="TableParagraph"/>
              <w:spacing w:before="59"/>
            </w:pPr>
            <w:r>
              <w:t>Green</w:t>
            </w:r>
          </w:p>
        </w:tc>
      </w:tr>
      <w:tr w:rsidR="008A2EDE" w14:paraId="6A22C238" w14:textId="77777777">
        <w:trPr>
          <w:trHeight w:val="470"/>
        </w:trPr>
        <w:tc>
          <w:tcPr>
            <w:tcW w:w="1973" w:type="dxa"/>
          </w:tcPr>
          <w:p w14:paraId="6B775307" w14:textId="77777777" w:rsidR="008A2EDE" w:rsidRDefault="00A50BD3">
            <w:pPr>
              <w:pStyle w:val="TableParagraph"/>
              <w:spacing w:before="59"/>
            </w:pPr>
            <w:r>
              <w:t>Mark</w:t>
            </w:r>
          </w:p>
        </w:tc>
        <w:tc>
          <w:tcPr>
            <w:tcW w:w="6528" w:type="dxa"/>
          </w:tcPr>
          <w:p w14:paraId="5BB92DE6" w14:textId="77777777" w:rsidR="008A2EDE" w:rsidRDefault="00A50BD3">
            <w:pPr>
              <w:pStyle w:val="TableParagraph"/>
              <w:spacing w:before="59"/>
            </w:pPr>
            <w:r>
              <w:t>Courtney</w:t>
            </w:r>
          </w:p>
        </w:tc>
      </w:tr>
      <w:tr w:rsidR="008A2EDE" w14:paraId="4404180D" w14:textId="77777777">
        <w:trPr>
          <w:trHeight w:val="470"/>
        </w:trPr>
        <w:tc>
          <w:tcPr>
            <w:tcW w:w="1973" w:type="dxa"/>
          </w:tcPr>
          <w:p w14:paraId="5281CD3D" w14:textId="77777777" w:rsidR="008A2EDE" w:rsidRDefault="00A50BD3">
            <w:pPr>
              <w:pStyle w:val="TableParagraph"/>
              <w:spacing w:before="59"/>
            </w:pPr>
            <w:r>
              <w:t>Mark</w:t>
            </w:r>
          </w:p>
        </w:tc>
        <w:tc>
          <w:tcPr>
            <w:tcW w:w="6528" w:type="dxa"/>
          </w:tcPr>
          <w:p w14:paraId="58AB7068" w14:textId="77777777" w:rsidR="008A2EDE" w:rsidRDefault="00A50BD3">
            <w:pPr>
              <w:pStyle w:val="TableParagraph"/>
              <w:spacing w:before="59"/>
            </w:pPr>
            <w:r>
              <w:t>Ryan</w:t>
            </w:r>
          </w:p>
        </w:tc>
      </w:tr>
      <w:tr w:rsidR="008A2EDE" w14:paraId="19E76D3B" w14:textId="77777777">
        <w:trPr>
          <w:trHeight w:val="470"/>
        </w:trPr>
        <w:tc>
          <w:tcPr>
            <w:tcW w:w="1973" w:type="dxa"/>
          </w:tcPr>
          <w:p w14:paraId="6C1B957E" w14:textId="77777777" w:rsidR="008A2EDE" w:rsidRDefault="00A50BD3">
            <w:pPr>
              <w:pStyle w:val="TableParagraph"/>
              <w:spacing w:before="59"/>
            </w:pPr>
            <w:r>
              <w:t>Neville</w:t>
            </w:r>
          </w:p>
        </w:tc>
        <w:tc>
          <w:tcPr>
            <w:tcW w:w="6528" w:type="dxa"/>
          </w:tcPr>
          <w:p w14:paraId="7942FCC1" w14:textId="77777777" w:rsidR="008A2EDE" w:rsidRDefault="00A50BD3">
            <w:pPr>
              <w:pStyle w:val="TableParagraph"/>
              <w:spacing w:before="59"/>
            </w:pPr>
            <w:r>
              <w:t>Saunders</w:t>
            </w:r>
          </w:p>
        </w:tc>
      </w:tr>
      <w:tr w:rsidR="008A2EDE" w14:paraId="2A9CE911" w14:textId="77777777">
        <w:trPr>
          <w:trHeight w:val="470"/>
        </w:trPr>
        <w:tc>
          <w:tcPr>
            <w:tcW w:w="1973" w:type="dxa"/>
          </w:tcPr>
          <w:p w14:paraId="5E562050" w14:textId="77777777" w:rsidR="008A2EDE" w:rsidRDefault="00A50BD3">
            <w:pPr>
              <w:pStyle w:val="TableParagraph"/>
              <w:spacing w:before="59"/>
            </w:pPr>
            <w:r>
              <w:t>Patricia</w:t>
            </w:r>
          </w:p>
        </w:tc>
        <w:tc>
          <w:tcPr>
            <w:tcW w:w="6528" w:type="dxa"/>
          </w:tcPr>
          <w:p w14:paraId="29227987" w14:textId="77777777" w:rsidR="008A2EDE" w:rsidRDefault="00A50BD3">
            <w:pPr>
              <w:pStyle w:val="TableParagraph"/>
              <w:spacing w:before="59"/>
            </w:pPr>
            <w:r>
              <w:t>Kanyi</w:t>
            </w:r>
          </w:p>
        </w:tc>
      </w:tr>
      <w:tr w:rsidR="008A2EDE" w14:paraId="73ABC433" w14:textId="77777777">
        <w:trPr>
          <w:trHeight w:val="470"/>
        </w:trPr>
        <w:tc>
          <w:tcPr>
            <w:tcW w:w="1973" w:type="dxa"/>
          </w:tcPr>
          <w:p w14:paraId="60A5ED6B" w14:textId="77777777" w:rsidR="008A2EDE" w:rsidRDefault="00A50BD3">
            <w:pPr>
              <w:pStyle w:val="TableParagraph"/>
              <w:spacing w:before="59"/>
            </w:pPr>
            <w:r>
              <w:t>Ross</w:t>
            </w:r>
          </w:p>
        </w:tc>
        <w:tc>
          <w:tcPr>
            <w:tcW w:w="6528" w:type="dxa"/>
          </w:tcPr>
          <w:p w14:paraId="5891FD35" w14:textId="77777777" w:rsidR="008A2EDE" w:rsidRDefault="00A50BD3">
            <w:pPr>
              <w:pStyle w:val="TableParagraph"/>
              <w:spacing w:before="59"/>
            </w:pPr>
            <w:r>
              <w:t>Firth</w:t>
            </w:r>
          </w:p>
        </w:tc>
      </w:tr>
      <w:tr w:rsidR="008A2EDE" w14:paraId="121CBB8A" w14:textId="77777777">
        <w:trPr>
          <w:trHeight w:val="470"/>
        </w:trPr>
        <w:tc>
          <w:tcPr>
            <w:tcW w:w="1973" w:type="dxa"/>
          </w:tcPr>
          <w:p w14:paraId="1F92D296" w14:textId="77777777" w:rsidR="008A2EDE" w:rsidRDefault="00A50BD3">
            <w:pPr>
              <w:pStyle w:val="TableParagraph"/>
              <w:spacing w:before="59"/>
            </w:pPr>
            <w:r>
              <w:t>Sue</w:t>
            </w:r>
          </w:p>
        </w:tc>
        <w:tc>
          <w:tcPr>
            <w:tcW w:w="6528" w:type="dxa"/>
          </w:tcPr>
          <w:p w14:paraId="5EA59A49" w14:textId="77777777" w:rsidR="008A2EDE" w:rsidRDefault="00A50BD3">
            <w:pPr>
              <w:pStyle w:val="TableParagraph"/>
              <w:spacing w:before="59"/>
            </w:pPr>
            <w:r>
              <w:t>Fechner</w:t>
            </w:r>
          </w:p>
        </w:tc>
      </w:tr>
      <w:tr w:rsidR="008A2EDE" w14:paraId="0F715752" w14:textId="77777777">
        <w:trPr>
          <w:trHeight w:val="470"/>
        </w:trPr>
        <w:tc>
          <w:tcPr>
            <w:tcW w:w="1973" w:type="dxa"/>
          </w:tcPr>
          <w:p w14:paraId="73534883" w14:textId="77777777" w:rsidR="008A2EDE" w:rsidRDefault="00A50BD3">
            <w:pPr>
              <w:pStyle w:val="TableParagraph"/>
              <w:spacing w:before="59"/>
            </w:pPr>
            <w:r>
              <w:t>Teresa</w:t>
            </w:r>
          </w:p>
        </w:tc>
        <w:tc>
          <w:tcPr>
            <w:tcW w:w="6528" w:type="dxa"/>
          </w:tcPr>
          <w:p w14:paraId="5D11D04F" w14:textId="77777777" w:rsidR="008A2EDE" w:rsidRDefault="00A50BD3">
            <w:pPr>
              <w:pStyle w:val="TableParagraph"/>
              <w:spacing w:before="59"/>
            </w:pPr>
            <w:r>
              <w:t>Signorello</w:t>
            </w:r>
          </w:p>
        </w:tc>
      </w:tr>
      <w:tr w:rsidR="008A2EDE" w14:paraId="322C8BF0" w14:textId="77777777">
        <w:trPr>
          <w:trHeight w:val="470"/>
        </w:trPr>
        <w:tc>
          <w:tcPr>
            <w:tcW w:w="1973" w:type="dxa"/>
          </w:tcPr>
          <w:p w14:paraId="0A2F987E" w14:textId="77777777" w:rsidR="008A2EDE" w:rsidRDefault="00A50BD3">
            <w:pPr>
              <w:pStyle w:val="TableParagraph"/>
              <w:spacing w:before="59"/>
            </w:pPr>
            <w:r>
              <w:t>Tom</w:t>
            </w:r>
          </w:p>
        </w:tc>
        <w:tc>
          <w:tcPr>
            <w:tcW w:w="6528" w:type="dxa"/>
          </w:tcPr>
          <w:p w14:paraId="5EF9D9FC" w14:textId="77777777" w:rsidR="008A2EDE" w:rsidRDefault="00A50BD3">
            <w:pPr>
              <w:pStyle w:val="TableParagraph"/>
              <w:spacing w:before="59"/>
            </w:pPr>
            <w:r>
              <w:t>Tyndell</w:t>
            </w:r>
          </w:p>
        </w:tc>
      </w:tr>
      <w:tr w:rsidR="008A2EDE" w14:paraId="5AA8A4D3" w14:textId="77777777">
        <w:trPr>
          <w:trHeight w:val="469"/>
        </w:trPr>
        <w:tc>
          <w:tcPr>
            <w:tcW w:w="1973" w:type="dxa"/>
          </w:tcPr>
          <w:p w14:paraId="72014589" w14:textId="77777777" w:rsidR="008A2EDE" w:rsidRDefault="00A50BD3">
            <w:pPr>
              <w:pStyle w:val="TableParagraph"/>
              <w:spacing w:before="59"/>
            </w:pPr>
            <w:r>
              <w:t>William</w:t>
            </w:r>
          </w:p>
        </w:tc>
        <w:tc>
          <w:tcPr>
            <w:tcW w:w="6528" w:type="dxa"/>
          </w:tcPr>
          <w:p w14:paraId="35D58052" w14:textId="77777777" w:rsidR="008A2EDE" w:rsidRDefault="00A50BD3">
            <w:pPr>
              <w:pStyle w:val="TableParagraph"/>
              <w:spacing w:before="59"/>
            </w:pPr>
            <w:r>
              <w:t>Spencer</w:t>
            </w:r>
          </w:p>
        </w:tc>
      </w:tr>
    </w:tbl>
    <w:p w14:paraId="12C82718" w14:textId="77777777" w:rsidR="008A2EDE" w:rsidRDefault="008A2EDE">
      <w:pPr>
        <w:sectPr w:rsidR="008A2EDE">
          <w:pgSz w:w="11900" w:h="16840"/>
          <w:pgMar w:top="1600" w:right="700" w:bottom="820" w:left="440" w:header="0" w:footer="558" w:gutter="0"/>
          <w:cols w:space="720"/>
        </w:sectPr>
      </w:pPr>
    </w:p>
    <w:p w14:paraId="23908189" w14:textId="77777777" w:rsidR="008A2EDE" w:rsidRDefault="008A2EDE">
      <w:pPr>
        <w:pStyle w:val="BodyText"/>
        <w:spacing w:before="10"/>
      </w:pPr>
    </w:p>
    <w:p w14:paraId="79C638FC" w14:textId="77777777" w:rsidR="008A2EDE" w:rsidRDefault="00A50BD3">
      <w:pPr>
        <w:pStyle w:val="BodyText"/>
        <w:spacing w:before="100"/>
        <w:ind w:left="1259" w:right="2815"/>
      </w:pPr>
      <w:r>
        <w:t>Location: TasTAFE Clarence Campus - 4A Bounty Street, Warrane TAS 7018 Date: Wednesday, 20 June 2018 from 5:30 pm to 7:30 pm (AEST)</w:t>
      </w:r>
    </w:p>
    <w:p w14:paraId="4485220B" w14:textId="77777777" w:rsidR="008A2EDE" w:rsidRDefault="008A2EDE">
      <w:pPr>
        <w:pStyle w:val="BodyText"/>
        <w:spacing w:before="11" w:after="1"/>
        <w:rPr>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0D058147" w14:textId="77777777">
        <w:trPr>
          <w:trHeight w:val="470"/>
        </w:trPr>
        <w:tc>
          <w:tcPr>
            <w:tcW w:w="1973" w:type="dxa"/>
          </w:tcPr>
          <w:p w14:paraId="4277DBA2" w14:textId="77777777" w:rsidR="008A2EDE" w:rsidRDefault="00A50BD3">
            <w:pPr>
              <w:pStyle w:val="TableParagraph"/>
              <w:spacing w:before="59"/>
              <w:rPr>
                <w:b/>
              </w:rPr>
            </w:pPr>
            <w:r>
              <w:rPr>
                <w:b/>
              </w:rPr>
              <w:t>First Name</w:t>
            </w:r>
          </w:p>
        </w:tc>
        <w:tc>
          <w:tcPr>
            <w:tcW w:w="6528" w:type="dxa"/>
          </w:tcPr>
          <w:p w14:paraId="0B31B550" w14:textId="77777777" w:rsidR="008A2EDE" w:rsidRDefault="00A50BD3">
            <w:pPr>
              <w:pStyle w:val="TableParagraph"/>
              <w:spacing w:before="59"/>
              <w:ind w:left="110"/>
              <w:rPr>
                <w:b/>
              </w:rPr>
            </w:pPr>
            <w:r>
              <w:rPr>
                <w:b/>
              </w:rPr>
              <w:t>Surname</w:t>
            </w:r>
          </w:p>
        </w:tc>
      </w:tr>
      <w:tr w:rsidR="008A2EDE" w14:paraId="19540DE1" w14:textId="77777777">
        <w:trPr>
          <w:trHeight w:val="470"/>
        </w:trPr>
        <w:tc>
          <w:tcPr>
            <w:tcW w:w="1973" w:type="dxa"/>
          </w:tcPr>
          <w:p w14:paraId="273D31A6" w14:textId="77777777" w:rsidR="008A2EDE" w:rsidRDefault="00A50BD3">
            <w:pPr>
              <w:pStyle w:val="TableParagraph"/>
              <w:spacing w:before="59"/>
            </w:pPr>
            <w:r>
              <w:t>Andrew</w:t>
            </w:r>
          </w:p>
        </w:tc>
        <w:tc>
          <w:tcPr>
            <w:tcW w:w="6528" w:type="dxa"/>
          </w:tcPr>
          <w:p w14:paraId="71A67143" w14:textId="77777777" w:rsidR="008A2EDE" w:rsidRDefault="00A50BD3">
            <w:pPr>
              <w:pStyle w:val="TableParagraph"/>
              <w:spacing w:before="59"/>
            </w:pPr>
            <w:r>
              <w:t>Mellas</w:t>
            </w:r>
          </w:p>
        </w:tc>
      </w:tr>
      <w:tr w:rsidR="008A2EDE" w14:paraId="25DFB2F1" w14:textId="77777777">
        <w:trPr>
          <w:trHeight w:val="470"/>
        </w:trPr>
        <w:tc>
          <w:tcPr>
            <w:tcW w:w="1973" w:type="dxa"/>
          </w:tcPr>
          <w:p w14:paraId="48A53200" w14:textId="77777777" w:rsidR="008A2EDE" w:rsidRDefault="00A50BD3">
            <w:pPr>
              <w:pStyle w:val="TableParagraph"/>
              <w:spacing w:before="59"/>
            </w:pPr>
            <w:r>
              <w:t>Bruce</w:t>
            </w:r>
          </w:p>
        </w:tc>
        <w:tc>
          <w:tcPr>
            <w:tcW w:w="6528" w:type="dxa"/>
          </w:tcPr>
          <w:p w14:paraId="047C0BDC" w14:textId="77777777" w:rsidR="008A2EDE" w:rsidRDefault="00A50BD3">
            <w:pPr>
              <w:pStyle w:val="TableParagraph"/>
              <w:spacing w:before="59"/>
            </w:pPr>
            <w:r>
              <w:t>Menzie</w:t>
            </w:r>
          </w:p>
        </w:tc>
      </w:tr>
      <w:tr w:rsidR="008A2EDE" w14:paraId="02B8F6B6" w14:textId="77777777">
        <w:trPr>
          <w:trHeight w:val="470"/>
        </w:trPr>
        <w:tc>
          <w:tcPr>
            <w:tcW w:w="1973" w:type="dxa"/>
          </w:tcPr>
          <w:p w14:paraId="11E08DFD" w14:textId="77777777" w:rsidR="008A2EDE" w:rsidRDefault="00A50BD3">
            <w:pPr>
              <w:pStyle w:val="TableParagraph"/>
              <w:spacing w:before="59"/>
            </w:pPr>
            <w:r>
              <w:t>David</w:t>
            </w:r>
          </w:p>
        </w:tc>
        <w:tc>
          <w:tcPr>
            <w:tcW w:w="6528" w:type="dxa"/>
          </w:tcPr>
          <w:p w14:paraId="6EB3CC7E" w14:textId="77777777" w:rsidR="008A2EDE" w:rsidRDefault="00A50BD3">
            <w:pPr>
              <w:pStyle w:val="TableParagraph"/>
              <w:spacing w:before="59"/>
            </w:pPr>
            <w:r>
              <w:t>Fagan</w:t>
            </w:r>
          </w:p>
        </w:tc>
      </w:tr>
      <w:tr w:rsidR="008A2EDE" w14:paraId="13E60898" w14:textId="77777777">
        <w:trPr>
          <w:trHeight w:val="470"/>
        </w:trPr>
        <w:tc>
          <w:tcPr>
            <w:tcW w:w="1973" w:type="dxa"/>
          </w:tcPr>
          <w:p w14:paraId="0CDD5E31" w14:textId="77777777" w:rsidR="008A2EDE" w:rsidRDefault="00A50BD3">
            <w:pPr>
              <w:pStyle w:val="TableParagraph"/>
              <w:spacing w:before="59"/>
            </w:pPr>
            <w:r>
              <w:t>Eddie</w:t>
            </w:r>
          </w:p>
        </w:tc>
        <w:tc>
          <w:tcPr>
            <w:tcW w:w="6528" w:type="dxa"/>
          </w:tcPr>
          <w:p w14:paraId="23732884" w14:textId="77777777" w:rsidR="008A2EDE" w:rsidRDefault="00A50BD3">
            <w:pPr>
              <w:pStyle w:val="TableParagraph"/>
              <w:spacing w:before="59"/>
            </w:pPr>
            <w:r>
              <w:t>Costello</w:t>
            </w:r>
          </w:p>
        </w:tc>
      </w:tr>
      <w:tr w:rsidR="008A2EDE" w14:paraId="08F41E11" w14:textId="77777777">
        <w:trPr>
          <w:trHeight w:val="470"/>
        </w:trPr>
        <w:tc>
          <w:tcPr>
            <w:tcW w:w="1973" w:type="dxa"/>
          </w:tcPr>
          <w:p w14:paraId="7AE45FBB" w14:textId="77777777" w:rsidR="008A2EDE" w:rsidRDefault="00A50BD3">
            <w:pPr>
              <w:pStyle w:val="TableParagraph"/>
              <w:spacing w:before="59"/>
            </w:pPr>
            <w:r>
              <w:t>Fred</w:t>
            </w:r>
          </w:p>
        </w:tc>
        <w:tc>
          <w:tcPr>
            <w:tcW w:w="6528" w:type="dxa"/>
          </w:tcPr>
          <w:p w14:paraId="26398D72" w14:textId="77777777" w:rsidR="008A2EDE" w:rsidRDefault="00A50BD3">
            <w:pPr>
              <w:pStyle w:val="TableParagraph"/>
              <w:spacing w:before="59"/>
            </w:pPr>
            <w:r>
              <w:t>Lijauco</w:t>
            </w:r>
          </w:p>
        </w:tc>
      </w:tr>
      <w:tr w:rsidR="008A2EDE" w14:paraId="3B6D314B" w14:textId="77777777">
        <w:trPr>
          <w:trHeight w:val="470"/>
        </w:trPr>
        <w:tc>
          <w:tcPr>
            <w:tcW w:w="1973" w:type="dxa"/>
          </w:tcPr>
          <w:p w14:paraId="183228E0" w14:textId="77777777" w:rsidR="008A2EDE" w:rsidRDefault="00A50BD3">
            <w:pPr>
              <w:pStyle w:val="TableParagraph"/>
              <w:spacing w:before="59"/>
            </w:pPr>
            <w:r>
              <w:t>Glenn</w:t>
            </w:r>
          </w:p>
        </w:tc>
        <w:tc>
          <w:tcPr>
            <w:tcW w:w="6528" w:type="dxa"/>
          </w:tcPr>
          <w:p w14:paraId="5756E3C7" w14:textId="77777777" w:rsidR="008A2EDE" w:rsidRDefault="00A50BD3">
            <w:pPr>
              <w:pStyle w:val="TableParagraph"/>
              <w:spacing w:before="59"/>
            </w:pPr>
            <w:r>
              <w:t>Robinson</w:t>
            </w:r>
          </w:p>
        </w:tc>
      </w:tr>
      <w:tr w:rsidR="008A2EDE" w14:paraId="3F1EB196" w14:textId="77777777">
        <w:trPr>
          <w:trHeight w:val="469"/>
        </w:trPr>
        <w:tc>
          <w:tcPr>
            <w:tcW w:w="1973" w:type="dxa"/>
          </w:tcPr>
          <w:p w14:paraId="6708E894" w14:textId="77777777" w:rsidR="008A2EDE" w:rsidRDefault="00A50BD3">
            <w:pPr>
              <w:pStyle w:val="TableParagraph"/>
              <w:spacing w:before="59"/>
            </w:pPr>
            <w:r>
              <w:t>Mark</w:t>
            </w:r>
          </w:p>
        </w:tc>
        <w:tc>
          <w:tcPr>
            <w:tcW w:w="6528" w:type="dxa"/>
          </w:tcPr>
          <w:p w14:paraId="5BCF69E7" w14:textId="77777777" w:rsidR="008A2EDE" w:rsidRDefault="00A50BD3">
            <w:pPr>
              <w:pStyle w:val="TableParagraph"/>
              <w:spacing w:before="59"/>
            </w:pPr>
            <w:r>
              <w:t>Elliott</w:t>
            </w:r>
          </w:p>
        </w:tc>
      </w:tr>
      <w:tr w:rsidR="008A2EDE" w14:paraId="5D02F3C2" w14:textId="77777777">
        <w:trPr>
          <w:trHeight w:val="470"/>
        </w:trPr>
        <w:tc>
          <w:tcPr>
            <w:tcW w:w="1973" w:type="dxa"/>
          </w:tcPr>
          <w:p w14:paraId="178FAC33" w14:textId="77777777" w:rsidR="008A2EDE" w:rsidRDefault="00A50BD3">
            <w:pPr>
              <w:pStyle w:val="TableParagraph"/>
              <w:spacing w:before="59"/>
            </w:pPr>
            <w:r>
              <w:t>Ottmar</w:t>
            </w:r>
          </w:p>
        </w:tc>
        <w:tc>
          <w:tcPr>
            <w:tcW w:w="6528" w:type="dxa"/>
          </w:tcPr>
          <w:p w14:paraId="7DCDD8CC" w14:textId="77777777" w:rsidR="008A2EDE" w:rsidRDefault="00A50BD3">
            <w:pPr>
              <w:pStyle w:val="TableParagraph"/>
              <w:spacing w:before="59"/>
            </w:pPr>
            <w:r>
              <w:t>Helm</w:t>
            </w:r>
          </w:p>
        </w:tc>
      </w:tr>
      <w:tr w:rsidR="008A2EDE" w14:paraId="430D75E9" w14:textId="77777777">
        <w:trPr>
          <w:trHeight w:val="470"/>
        </w:trPr>
        <w:tc>
          <w:tcPr>
            <w:tcW w:w="1973" w:type="dxa"/>
          </w:tcPr>
          <w:p w14:paraId="554E37CF" w14:textId="77777777" w:rsidR="008A2EDE" w:rsidRDefault="00A50BD3">
            <w:pPr>
              <w:pStyle w:val="TableParagraph"/>
              <w:spacing w:before="59"/>
            </w:pPr>
            <w:r>
              <w:t>Paul</w:t>
            </w:r>
          </w:p>
        </w:tc>
        <w:tc>
          <w:tcPr>
            <w:tcW w:w="6528" w:type="dxa"/>
          </w:tcPr>
          <w:p w14:paraId="34BFF457" w14:textId="77777777" w:rsidR="008A2EDE" w:rsidRDefault="00A50BD3">
            <w:pPr>
              <w:pStyle w:val="TableParagraph"/>
              <w:spacing w:before="59"/>
            </w:pPr>
            <w:r>
              <w:t>Jarman</w:t>
            </w:r>
          </w:p>
        </w:tc>
      </w:tr>
      <w:tr w:rsidR="008A2EDE" w14:paraId="2E76A175" w14:textId="77777777">
        <w:trPr>
          <w:trHeight w:val="470"/>
        </w:trPr>
        <w:tc>
          <w:tcPr>
            <w:tcW w:w="1973" w:type="dxa"/>
          </w:tcPr>
          <w:p w14:paraId="76715058" w14:textId="77777777" w:rsidR="008A2EDE" w:rsidRDefault="00A50BD3">
            <w:pPr>
              <w:pStyle w:val="TableParagraph"/>
              <w:spacing w:before="59"/>
            </w:pPr>
            <w:r>
              <w:t>Paul</w:t>
            </w:r>
          </w:p>
        </w:tc>
        <w:tc>
          <w:tcPr>
            <w:tcW w:w="6528" w:type="dxa"/>
          </w:tcPr>
          <w:p w14:paraId="742444F7" w14:textId="77777777" w:rsidR="008A2EDE" w:rsidRDefault="00A50BD3">
            <w:pPr>
              <w:pStyle w:val="TableParagraph"/>
              <w:spacing w:before="59"/>
            </w:pPr>
            <w:r>
              <w:t>Vines</w:t>
            </w:r>
          </w:p>
        </w:tc>
      </w:tr>
      <w:tr w:rsidR="008A2EDE" w14:paraId="5D06F854" w14:textId="77777777">
        <w:trPr>
          <w:trHeight w:val="470"/>
        </w:trPr>
        <w:tc>
          <w:tcPr>
            <w:tcW w:w="1973" w:type="dxa"/>
          </w:tcPr>
          <w:p w14:paraId="181CC45F" w14:textId="77777777" w:rsidR="008A2EDE" w:rsidRDefault="00A50BD3">
            <w:pPr>
              <w:pStyle w:val="TableParagraph"/>
              <w:spacing w:before="59"/>
            </w:pPr>
            <w:r>
              <w:t>Peter</w:t>
            </w:r>
          </w:p>
        </w:tc>
        <w:tc>
          <w:tcPr>
            <w:tcW w:w="6528" w:type="dxa"/>
          </w:tcPr>
          <w:p w14:paraId="22A63333" w14:textId="77777777" w:rsidR="008A2EDE" w:rsidRDefault="00A50BD3">
            <w:pPr>
              <w:pStyle w:val="TableParagraph"/>
              <w:spacing w:before="59"/>
            </w:pPr>
            <w:r>
              <w:t>Forrester</w:t>
            </w:r>
          </w:p>
        </w:tc>
      </w:tr>
      <w:tr w:rsidR="008A2EDE" w14:paraId="3A1D433B" w14:textId="77777777">
        <w:trPr>
          <w:trHeight w:val="470"/>
        </w:trPr>
        <w:tc>
          <w:tcPr>
            <w:tcW w:w="1973" w:type="dxa"/>
          </w:tcPr>
          <w:p w14:paraId="6F718F52" w14:textId="77777777" w:rsidR="008A2EDE" w:rsidRDefault="00A50BD3">
            <w:pPr>
              <w:pStyle w:val="TableParagraph"/>
              <w:spacing w:before="59"/>
            </w:pPr>
            <w:r>
              <w:t>Rob</w:t>
            </w:r>
          </w:p>
        </w:tc>
        <w:tc>
          <w:tcPr>
            <w:tcW w:w="6528" w:type="dxa"/>
          </w:tcPr>
          <w:p w14:paraId="729430B3" w14:textId="77777777" w:rsidR="008A2EDE" w:rsidRDefault="00A50BD3">
            <w:pPr>
              <w:pStyle w:val="TableParagraph"/>
              <w:spacing w:before="59"/>
            </w:pPr>
            <w:r>
              <w:t>Mason</w:t>
            </w:r>
          </w:p>
        </w:tc>
      </w:tr>
      <w:tr w:rsidR="008A2EDE" w14:paraId="712D0DA4" w14:textId="77777777">
        <w:trPr>
          <w:trHeight w:val="470"/>
        </w:trPr>
        <w:tc>
          <w:tcPr>
            <w:tcW w:w="1973" w:type="dxa"/>
          </w:tcPr>
          <w:p w14:paraId="0FA9002F" w14:textId="77777777" w:rsidR="008A2EDE" w:rsidRDefault="00A50BD3">
            <w:pPr>
              <w:pStyle w:val="TableParagraph"/>
              <w:spacing w:before="59"/>
            </w:pPr>
            <w:r>
              <w:t>Robbie</w:t>
            </w:r>
          </w:p>
        </w:tc>
        <w:tc>
          <w:tcPr>
            <w:tcW w:w="6528" w:type="dxa"/>
          </w:tcPr>
          <w:p w14:paraId="6178C511" w14:textId="77777777" w:rsidR="008A2EDE" w:rsidRDefault="00A50BD3">
            <w:pPr>
              <w:pStyle w:val="TableParagraph"/>
              <w:spacing w:before="59"/>
            </w:pPr>
            <w:r>
              <w:t>Mee</w:t>
            </w:r>
          </w:p>
        </w:tc>
      </w:tr>
      <w:tr w:rsidR="008A2EDE" w14:paraId="595BCBEA" w14:textId="77777777">
        <w:trPr>
          <w:trHeight w:val="470"/>
        </w:trPr>
        <w:tc>
          <w:tcPr>
            <w:tcW w:w="1973" w:type="dxa"/>
          </w:tcPr>
          <w:p w14:paraId="68713F11" w14:textId="77777777" w:rsidR="008A2EDE" w:rsidRDefault="00A50BD3">
            <w:pPr>
              <w:pStyle w:val="TableParagraph"/>
              <w:spacing w:before="59"/>
            </w:pPr>
            <w:r>
              <w:t>Rod</w:t>
            </w:r>
          </w:p>
        </w:tc>
        <w:tc>
          <w:tcPr>
            <w:tcW w:w="6528" w:type="dxa"/>
          </w:tcPr>
          <w:p w14:paraId="5B8D5DFE" w14:textId="77777777" w:rsidR="008A2EDE" w:rsidRDefault="00A50BD3">
            <w:pPr>
              <w:pStyle w:val="TableParagraph"/>
              <w:spacing w:before="59"/>
            </w:pPr>
            <w:r>
              <w:t>Betts</w:t>
            </w:r>
          </w:p>
        </w:tc>
      </w:tr>
      <w:tr w:rsidR="008A2EDE" w14:paraId="79791647" w14:textId="77777777">
        <w:trPr>
          <w:trHeight w:val="470"/>
        </w:trPr>
        <w:tc>
          <w:tcPr>
            <w:tcW w:w="1973" w:type="dxa"/>
          </w:tcPr>
          <w:p w14:paraId="31AAA667" w14:textId="77777777" w:rsidR="008A2EDE" w:rsidRDefault="00A50BD3">
            <w:pPr>
              <w:pStyle w:val="TableParagraph"/>
              <w:spacing w:before="59"/>
            </w:pPr>
            <w:r>
              <w:t>Scott</w:t>
            </w:r>
          </w:p>
        </w:tc>
        <w:tc>
          <w:tcPr>
            <w:tcW w:w="6528" w:type="dxa"/>
          </w:tcPr>
          <w:p w14:paraId="7ABE8173" w14:textId="77777777" w:rsidR="008A2EDE" w:rsidRDefault="00A50BD3">
            <w:pPr>
              <w:pStyle w:val="TableParagraph"/>
              <w:spacing w:before="59"/>
            </w:pPr>
            <w:r>
              <w:t>Dickson</w:t>
            </w:r>
          </w:p>
        </w:tc>
      </w:tr>
      <w:tr w:rsidR="008A2EDE" w14:paraId="237DD2F7" w14:textId="77777777">
        <w:trPr>
          <w:trHeight w:val="470"/>
        </w:trPr>
        <w:tc>
          <w:tcPr>
            <w:tcW w:w="1973" w:type="dxa"/>
          </w:tcPr>
          <w:p w14:paraId="3558AB96" w14:textId="77777777" w:rsidR="008A2EDE" w:rsidRDefault="00A50BD3">
            <w:pPr>
              <w:pStyle w:val="TableParagraph"/>
              <w:spacing w:before="59"/>
            </w:pPr>
            <w:r>
              <w:t>Simon</w:t>
            </w:r>
          </w:p>
        </w:tc>
        <w:tc>
          <w:tcPr>
            <w:tcW w:w="6528" w:type="dxa"/>
          </w:tcPr>
          <w:p w14:paraId="25BB74D5" w14:textId="77777777" w:rsidR="008A2EDE" w:rsidRDefault="00A50BD3">
            <w:pPr>
              <w:pStyle w:val="TableParagraph"/>
              <w:spacing w:before="59"/>
            </w:pPr>
            <w:r>
              <w:t>Cocker</w:t>
            </w:r>
          </w:p>
        </w:tc>
      </w:tr>
      <w:tr w:rsidR="008A2EDE" w14:paraId="6B757D78" w14:textId="77777777">
        <w:trPr>
          <w:trHeight w:val="470"/>
        </w:trPr>
        <w:tc>
          <w:tcPr>
            <w:tcW w:w="1973" w:type="dxa"/>
          </w:tcPr>
          <w:p w14:paraId="2D13216D" w14:textId="77777777" w:rsidR="008A2EDE" w:rsidRDefault="00A50BD3">
            <w:pPr>
              <w:pStyle w:val="TableParagraph"/>
              <w:spacing w:before="59"/>
            </w:pPr>
            <w:r>
              <w:t>Simon</w:t>
            </w:r>
          </w:p>
        </w:tc>
        <w:tc>
          <w:tcPr>
            <w:tcW w:w="6528" w:type="dxa"/>
          </w:tcPr>
          <w:p w14:paraId="51F62851" w14:textId="77777777" w:rsidR="008A2EDE" w:rsidRDefault="00A50BD3">
            <w:pPr>
              <w:pStyle w:val="TableParagraph"/>
              <w:spacing w:before="59"/>
            </w:pPr>
            <w:r>
              <w:t>Nuss</w:t>
            </w:r>
          </w:p>
        </w:tc>
      </w:tr>
      <w:tr w:rsidR="008A2EDE" w14:paraId="6FA72094" w14:textId="77777777">
        <w:trPr>
          <w:trHeight w:val="470"/>
        </w:trPr>
        <w:tc>
          <w:tcPr>
            <w:tcW w:w="1973" w:type="dxa"/>
          </w:tcPr>
          <w:p w14:paraId="155B60D4" w14:textId="77777777" w:rsidR="008A2EDE" w:rsidRDefault="00A50BD3">
            <w:pPr>
              <w:pStyle w:val="TableParagraph"/>
              <w:spacing w:before="59"/>
            </w:pPr>
            <w:r>
              <w:t>Stephen</w:t>
            </w:r>
          </w:p>
        </w:tc>
        <w:tc>
          <w:tcPr>
            <w:tcW w:w="6528" w:type="dxa"/>
          </w:tcPr>
          <w:p w14:paraId="6D9E5EC8" w14:textId="77777777" w:rsidR="008A2EDE" w:rsidRDefault="00A50BD3">
            <w:pPr>
              <w:pStyle w:val="TableParagraph"/>
              <w:spacing w:before="59"/>
            </w:pPr>
            <w:r>
              <w:t>Deverell</w:t>
            </w:r>
          </w:p>
        </w:tc>
      </w:tr>
      <w:tr w:rsidR="008A2EDE" w14:paraId="7C4B9E49" w14:textId="77777777">
        <w:trPr>
          <w:trHeight w:val="470"/>
        </w:trPr>
        <w:tc>
          <w:tcPr>
            <w:tcW w:w="1973" w:type="dxa"/>
          </w:tcPr>
          <w:p w14:paraId="7999CCC4" w14:textId="77777777" w:rsidR="008A2EDE" w:rsidRDefault="00A50BD3">
            <w:pPr>
              <w:pStyle w:val="TableParagraph"/>
              <w:spacing w:before="59"/>
            </w:pPr>
            <w:r>
              <w:t>Stephen</w:t>
            </w:r>
          </w:p>
        </w:tc>
        <w:tc>
          <w:tcPr>
            <w:tcW w:w="6528" w:type="dxa"/>
          </w:tcPr>
          <w:p w14:paraId="1C5176EA" w14:textId="77777777" w:rsidR="008A2EDE" w:rsidRDefault="00A50BD3">
            <w:pPr>
              <w:pStyle w:val="TableParagraph"/>
              <w:spacing w:before="59"/>
            </w:pPr>
            <w:r>
              <w:t>Gillie</w:t>
            </w:r>
          </w:p>
        </w:tc>
      </w:tr>
      <w:tr w:rsidR="008A2EDE" w14:paraId="5E207C7B" w14:textId="77777777">
        <w:trPr>
          <w:trHeight w:val="470"/>
        </w:trPr>
        <w:tc>
          <w:tcPr>
            <w:tcW w:w="1973" w:type="dxa"/>
          </w:tcPr>
          <w:p w14:paraId="7C0447F5" w14:textId="77777777" w:rsidR="008A2EDE" w:rsidRDefault="00A50BD3">
            <w:pPr>
              <w:pStyle w:val="TableParagraph"/>
              <w:spacing w:before="59"/>
            </w:pPr>
            <w:r>
              <w:t>Yvette</w:t>
            </w:r>
          </w:p>
        </w:tc>
        <w:tc>
          <w:tcPr>
            <w:tcW w:w="6528" w:type="dxa"/>
          </w:tcPr>
          <w:p w14:paraId="4B498281" w14:textId="77777777" w:rsidR="008A2EDE" w:rsidRDefault="00A50BD3">
            <w:pPr>
              <w:pStyle w:val="TableParagraph"/>
              <w:spacing w:before="59"/>
            </w:pPr>
            <w:r>
              <w:t>Shegog</w:t>
            </w:r>
          </w:p>
        </w:tc>
      </w:tr>
    </w:tbl>
    <w:p w14:paraId="1F5470EC" w14:textId="77777777" w:rsidR="008A2EDE" w:rsidRDefault="008A2EDE">
      <w:pPr>
        <w:pStyle w:val="BodyText"/>
        <w:rPr>
          <w:sz w:val="26"/>
        </w:rPr>
      </w:pPr>
    </w:p>
    <w:p w14:paraId="057CD957" w14:textId="77777777" w:rsidR="008A2EDE" w:rsidRDefault="00A50BD3">
      <w:pPr>
        <w:pStyle w:val="BodyText"/>
        <w:spacing w:before="222"/>
        <w:ind w:left="1259" w:right="2675"/>
      </w:pPr>
      <w:r>
        <w:t>Location: TasTAFE (Drysdale Area) – 20-36 Valley Road, Devonport TAS 7310 Date: Thursday, 21 June 2018 from 5:30 pm to 7:30 pm (AEST)</w:t>
      </w:r>
    </w:p>
    <w:p w14:paraId="21AA9CA6" w14:textId="77777777" w:rsidR="008A2EDE" w:rsidRDefault="008A2EDE">
      <w:pPr>
        <w:pStyle w:val="BodyText"/>
        <w:spacing w:before="11"/>
        <w:rPr>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74F9AA99" w14:textId="77777777">
        <w:trPr>
          <w:trHeight w:val="470"/>
        </w:trPr>
        <w:tc>
          <w:tcPr>
            <w:tcW w:w="1973" w:type="dxa"/>
          </w:tcPr>
          <w:p w14:paraId="29484F11" w14:textId="77777777" w:rsidR="008A2EDE" w:rsidRDefault="00A50BD3">
            <w:pPr>
              <w:pStyle w:val="TableParagraph"/>
              <w:spacing w:before="59"/>
              <w:rPr>
                <w:b/>
              </w:rPr>
            </w:pPr>
            <w:r>
              <w:rPr>
                <w:b/>
              </w:rPr>
              <w:t>First Name</w:t>
            </w:r>
          </w:p>
        </w:tc>
        <w:tc>
          <w:tcPr>
            <w:tcW w:w="6528" w:type="dxa"/>
          </w:tcPr>
          <w:p w14:paraId="560E12F2" w14:textId="77777777" w:rsidR="008A2EDE" w:rsidRDefault="00A50BD3">
            <w:pPr>
              <w:pStyle w:val="TableParagraph"/>
              <w:spacing w:before="59"/>
              <w:ind w:left="110"/>
              <w:rPr>
                <w:b/>
              </w:rPr>
            </w:pPr>
            <w:r>
              <w:rPr>
                <w:b/>
              </w:rPr>
              <w:t>Surname</w:t>
            </w:r>
          </w:p>
        </w:tc>
      </w:tr>
      <w:tr w:rsidR="008A2EDE" w14:paraId="77833212" w14:textId="77777777">
        <w:trPr>
          <w:trHeight w:val="469"/>
        </w:trPr>
        <w:tc>
          <w:tcPr>
            <w:tcW w:w="1973" w:type="dxa"/>
          </w:tcPr>
          <w:p w14:paraId="2912A3DF" w14:textId="77777777" w:rsidR="008A2EDE" w:rsidRDefault="00A50BD3">
            <w:pPr>
              <w:pStyle w:val="TableParagraph"/>
              <w:spacing w:before="59"/>
            </w:pPr>
            <w:r>
              <w:t>Andrew</w:t>
            </w:r>
          </w:p>
        </w:tc>
        <w:tc>
          <w:tcPr>
            <w:tcW w:w="6528" w:type="dxa"/>
          </w:tcPr>
          <w:p w14:paraId="4B257841" w14:textId="77777777" w:rsidR="008A2EDE" w:rsidRDefault="00A50BD3">
            <w:pPr>
              <w:pStyle w:val="TableParagraph"/>
              <w:spacing w:before="59"/>
            </w:pPr>
            <w:r>
              <w:t>Mellas</w:t>
            </w:r>
          </w:p>
        </w:tc>
      </w:tr>
    </w:tbl>
    <w:p w14:paraId="7F24E248" w14:textId="77777777" w:rsidR="008A2EDE" w:rsidRDefault="008A2EDE">
      <w:pPr>
        <w:sectPr w:rsidR="008A2EDE">
          <w:pgSz w:w="11900" w:h="16840"/>
          <w:pgMar w:top="1600" w:right="700" w:bottom="820" w:left="440" w:header="0" w:footer="558" w:gutter="0"/>
          <w:cols w:space="720"/>
        </w:sect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594C7413" w14:textId="77777777">
        <w:trPr>
          <w:trHeight w:val="470"/>
        </w:trPr>
        <w:tc>
          <w:tcPr>
            <w:tcW w:w="1973" w:type="dxa"/>
          </w:tcPr>
          <w:p w14:paraId="4509ED33" w14:textId="77777777" w:rsidR="008A2EDE" w:rsidRDefault="00A50BD3">
            <w:pPr>
              <w:pStyle w:val="TableParagraph"/>
              <w:spacing w:before="59"/>
              <w:rPr>
                <w:b/>
              </w:rPr>
            </w:pPr>
            <w:r>
              <w:rPr>
                <w:b/>
              </w:rPr>
              <w:lastRenderedPageBreak/>
              <w:t>First Name</w:t>
            </w:r>
          </w:p>
        </w:tc>
        <w:tc>
          <w:tcPr>
            <w:tcW w:w="6528" w:type="dxa"/>
          </w:tcPr>
          <w:p w14:paraId="28DD9FE9" w14:textId="77777777" w:rsidR="008A2EDE" w:rsidRDefault="00A50BD3">
            <w:pPr>
              <w:pStyle w:val="TableParagraph"/>
              <w:spacing w:before="59"/>
              <w:ind w:left="110"/>
              <w:rPr>
                <w:b/>
              </w:rPr>
            </w:pPr>
            <w:r>
              <w:rPr>
                <w:b/>
              </w:rPr>
              <w:t>Surname</w:t>
            </w:r>
          </w:p>
        </w:tc>
      </w:tr>
      <w:tr w:rsidR="008A2EDE" w14:paraId="03839C82" w14:textId="77777777">
        <w:trPr>
          <w:trHeight w:val="470"/>
        </w:trPr>
        <w:tc>
          <w:tcPr>
            <w:tcW w:w="1973" w:type="dxa"/>
          </w:tcPr>
          <w:p w14:paraId="650DF336" w14:textId="77777777" w:rsidR="008A2EDE" w:rsidRDefault="00A50BD3">
            <w:pPr>
              <w:pStyle w:val="TableParagraph"/>
              <w:spacing w:before="59"/>
            </w:pPr>
            <w:r>
              <w:t>Brett</w:t>
            </w:r>
          </w:p>
        </w:tc>
        <w:tc>
          <w:tcPr>
            <w:tcW w:w="6528" w:type="dxa"/>
          </w:tcPr>
          <w:p w14:paraId="6338578D" w14:textId="77777777" w:rsidR="008A2EDE" w:rsidRDefault="00A50BD3">
            <w:pPr>
              <w:pStyle w:val="TableParagraph"/>
              <w:spacing w:before="59"/>
            </w:pPr>
            <w:r>
              <w:t>Johnston</w:t>
            </w:r>
          </w:p>
        </w:tc>
      </w:tr>
      <w:tr w:rsidR="008A2EDE" w14:paraId="3FCE9B6D" w14:textId="77777777">
        <w:trPr>
          <w:trHeight w:val="470"/>
        </w:trPr>
        <w:tc>
          <w:tcPr>
            <w:tcW w:w="1973" w:type="dxa"/>
          </w:tcPr>
          <w:p w14:paraId="6B17EA5C" w14:textId="77777777" w:rsidR="008A2EDE" w:rsidRDefault="00A50BD3">
            <w:pPr>
              <w:pStyle w:val="TableParagraph"/>
              <w:spacing w:before="59"/>
            </w:pPr>
            <w:r>
              <w:t>Chris</w:t>
            </w:r>
          </w:p>
        </w:tc>
        <w:tc>
          <w:tcPr>
            <w:tcW w:w="6528" w:type="dxa"/>
          </w:tcPr>
          <w:p w14:paraId="0F86C209" w14:textId="77777777" w:rsidR="008A2EDE" w:rsidRDefault="00A50BD3">
            <w:pPr>
              <w:pStyle w:val="TableParagraph"/>
              <w:spacing w:before="59"/>
            </w:pPr>
            <w:r>
              <w:t>Smith</w:t>
            </w:r>
          </w:p>
        </w:tc>
      </w:tr>
      <w:tr w:rsidR="008A2EDE" w14:paraId="002E8D60" w14:textId="77777777">
        <w:trPr>
          <w:trHeight w:val="470"/>
        </w:trPr>
        <w:tc>
          <w:tcPr>
            <w:tcW w:w="1973" w:type="dxa"/>
          </w:tcPr>
          <w:p w14:paraId="742D7B5D" w14:textId="77777777" w:rsidR="008A2EDE" w:rsidRDefault="00A50BD3">
            <w:pPr>
              <w:pStyle w:val="TableParagraph"/>
              <w:spacing w:before="59"/>
            </w:pPr>
            <w:r>
              <w:t>Dave</w:t>
            </w:r>
          </w:p>
        </w:tc>
        <w:tc>
          <w:tcPr>
            <w:tcW w:w="6528" w:type="dxa"/>
          </w:tcPr>
          <w:p w14:paraId="0FE285AA" w14:textId="77777777" w:rsidR="008A2EDE" w:rsidRDefault="00A50BD3">
            <w:pPr>
              <w:pStyle w:val="TableParagraph"/>
              <w:spacing w:before="59"/>
            </w:pPr>
            <w:r>
              <w:t>Bound</w:t>
            </w:r>
          </w:p>
        </w:tc>
      </w:tr>
      <w:tr w:rsidR="008A2EDE" w14:paraId="1F5FEA1A" w14:textId="77777777">
        <w:trPr>
          <w:trHeight w:val="470"/>
        </w:trPr>
        <w:tc>
          <w:tcPr>
            <w:tcW w:w="1973" w:type="dxa"/>
          </w:tcPr>
          <w:p w14:paraId="14F23B59" w14:textId="77777777" w:rsidR="008A2EDE" w:rsidRDefault="00A50BD3">
            <w:pPr>
              <w:pStyle w:val="TableParagraph"/>
              <w:spacing w:before="59"/>
            </w:pPr>
            <w:r>
              <w:t>David</w:t>
            </w:r>
          </w:p>
        </w:tc>
        <w:tc>
          <w:tcPr>
            <w:tcW w:w="6528" w:type="dxa"/>
          </w:tcPr>
          <w:p w14:paraId="2BDB83E6" w14:textId="77777777" w:rsidR="008A2EDE" w:rsidRDefault="00A50BD3">
            <w:pPr>
              <w:pStyle w:val="TableParagraph"/>
              <w:spacing w:before="59"/>
            </w:pPr>
            <w:r>
              <w:t>Garden</w:t>
            </w:r>
          </w:p>
        </w:tc>
      </w:tr>
      <w:tr w:rsidR="008A2EDE" w14:paraId="6E7468A8" w14:textId="77777777">
        <w:trPr>
          <w:trHeight w:val="470"/>
        </w:trPr>
        <w:tc>
          <w:tcPr>
            <w:tcW w:w="1973" w:type="dxa"/>
          </w:tcPr>
          <w:p w14:paraId="3DA4A171" w14:textId="77777777" w:rsidR="008A2EDE" w:rsidRDefault="00A50BD3">
            <w:pPr>
              <w:pStyle w:val="TableParagraph"/>
              <w:spacing w:before="59"/>
            </w:pPr>
            <w:r>
              <w:t>David</w:t>
            </w:r>
          </w:p>
        </w:tc>
        <w:tc>
          <w:tcPr>
            <w:tcW w:w="6528" w:type="dxa"/>
          </w:tcPr>
          <w:p w14:paraId="6FD23627" w14:textId="77777777" w:rsidR="008A2EDE" w:rsidRDefault="00A50BD3">
            <w:pPr>
              <w:pStyle w:val="TableParagraph"/>
              <w:spacing w:before="59"/>
            </w:pPr>
            <w:r>
              <w:t>Petterwood</w:t>
            </w:r>
          </w:p>
        </w:tc>
      </w:tr>
      <w:tr w:rsidR="008A2EDE" w14:paraId="23B04E39" w14:textId="77777777">
        <w:trPr>
          <w:trHeight w:val="470"/>
        </w:trPr>
        <w:tc>
          <w:tcPr>
            <w:tcW w:w="1973" w:type="dxa"/>
          </w:tcPr>
          <w:p w14:paraId="02DFE3DB" w14:textId="77777777" w:rsidR="008A2EDE" w:rsidRDefault="00A50BD3">
            <w:pPr>
              <w:pStyle w:val="TableParagraph"/>
              <w:spacing w:before="59"/>
            </w:pPr>
            <w:r>
              <w:t>Hayden</w:t>
            </w:r>
          </w:p>
        </w:tc>
        <w:tc>
          <w:tcPr>
            <w:tcW w:w="6528" w:type="dxa"/>
          </w:tcPr>
          <w:p w14:paraId="6234EE8C" w14:textId="77777777" w:rsidR="008A2EDE" w:rsidRDefault="00A50BD3">
            <w:pPr>
              <w:pStyle w:val="TableParagraph"/>
              <w:spacing w:before="59"/>
            </w:pPr>
            <w:r>
              <w:t>Smith</w:t>
            </w:r>
          </w:p>
        </w:tc>
      </w:tr>
      <w:tr w:rsidR="008A2EDE" w14:paraId="11F73F10" w14:textId="77777777">
        <w:trPr>
          <w:trHeight w:val="470"/>
        </w:trPr>
        <w:tc>
          <w:tcPr>
            <w:tcW w:w="1973" w:type="dxa"/>
          </w:tcPr>
          <w:p w14:paraId="3DB5B7A0" w14:textId="77777777" w:rsidR="008A2EDE" w:rsidRDefault="00A50BD3">
            <w:pPr>
              <w:pStyle w:val="TableParagraph"/>
              <w:spacing w:before="59"/>
            </w:pPr>
            <w:r>
              <w:t>Jacob</w:t>
            </w:r>
          </w:p>
        </w:tc>
        <w:tc>
          <w:tcPr>
            <w:tcW w:w="6528" w:type="dxa"/>
          </w:tcPr>
          <w:p w14:paraId="7F524392" w14:textId="77777777" w:rsidR="008A2EDE" w:rsidRDefault="00A50BD3">
            <w:pPr>
              <w:pStyle w:val="TableParagraph"/>
              <w:spacing w:before="59"/>
            </w:pPr>
            <w:r>
              <w:t>Mead</w:t>
            </w:r>
          </w:p>
        </w:tc>
      </w:tr>
      <w:tr w:rsidR="008A2EDE" w14:paraId="1FB91B0C" w14:textId="77777777">
        <w:trPr>
          <w:trHeight w:val="470"/>
        </w:trPr>
        <w:tc>
          <w:tcPr>
            <w:tcW w:w="1973" w:type="dxa"/>
          </w:tcPr>
          <w:p w14:paraId="553B0893" w14:textId="77777777" w:rsidR="008A2EDE" w:rsidRDefault="00A50BD3">
            <w:pPr>
              <w:pStyle w:val="TableParagraph"/>
              <w:spacing w:before="59"/>
            </w:pPr>
            <w:r>
              <w:t>John</w:t>
            </w:r>
          </w:p>
        </w:tc>
        <w:tc>
          <w:tcPr>
            <w:tcW w:w="6528" w:type="dxa"/>
          </w:tcPr>
          <w:p w14:paraId="54C4DF58" w14:textId="77777777" w:rsidR="008A2EDE" w:rsidRDefault="00A50BD3">
            <w:pPr>
              <w:pStyle w:val="TableParagraph"/>
              <w:spacing w:before="59"/>
            </w:pPr>
            <w:r>
              <w:t>Beswick</w:t>
            </w:r>
          </w:p>
        </w:tc>
      </w:tr>
      <w:tr w:rsidR="008A2EDE" w14:paraId="3C0CBA2B" w14:textId="77777777">
        <w:trPr>
          <w:trHeight w:val="470"/>
        </w:trPr>
        <w:tc>
          <w:tcPr>
            <w:tcW w:w="1973" w:type="dxa"/>
          </w:tcPr>
          <w:p w14:paraId="1B4F5A4D" w14:textId="77777777" w:rsidR="008A2EDE" w:rsidRDefault="00A50BD3">
            <w:pPr>
              <w:pStyle w:val="TableParagraph"/>
              <w:spacing w:before="59"/>
            </w:pPr>
            <w:r>
              <w:t>Mark</w:t>
            </w:r>
          </w:p>
        </w:tc>
        <w:tc>
          <w:tcPr>
            <w:tcW w:w="6528" w:type="dxa"/>
          </w:tcPr>
          <w:p w14:paraId="4E4805A0" w14:textId="77777777" w:rsidR="008A2EDE" w:rsidRDefault="00A50BD3">
            <w:pPr>
              <w:pStyle w:val="TableParagraph"/>
              <w:spacing w:before="59"/>
            </w:pPr>
            <w:r>
              <w:t>Fishwick</w:t>
            </w:r>
          </w:p>
        </w:tc>
      </w:tr>
      <w:tr w:rsidR="008A2EDE" w14:paraId="143F15CF" w14:textId="77777777">
        <w:trPr>
          <w:trHeight w:val="470"/>
        </w:trPr>
        <w:tc>
          <w:tcPr>
            <w:tcW w:w="1973" w:type="dxa"/>
          </w:tcPr>
          <w:p w14:paraId="4F4EE4CD" w14:textId="77777777" w:rsidR="008A2EDE" w:rsidRDefault="00A50BD3">
            <w:pPr>
              <w:pStyle w:val="TableParagraph"/>
              <w:spacing w:before="59"/>
            </w:pPr>
            <w:r>
              <w:t>Matthew</w:t>
            </w:r>
          </w:p>
        </w:tc>
        <w:tc>
          <w:tcPr>
            <w:tcW w:w="6528" w:type="dxa"/>
          </w:tcPr>
          <w:p w14:paraId="20AC7CDE" w14:textId="77777777" w:rsidR="008A2EDE" w:rsidRDefault="00A50BD3">
            <w:pPr>
              <w:pStyle w:val="TableParagraph"/>
              <w:spacing w:before="59"/>
            </w:pPr>
            <w:r>
              <w:t>Scrimgeour</w:t>
            </w:r>
          </w:p>
        </w:tc>
      </w:tr>
      <w:tr w:rsidR="008A2EDE" w14:paraId="675B4013" w14:textId="77777777">
        <w:trPr>
          <w:trHeight w:val="470"/>
        </w:trPr>
        <w:tc>
          <w:tcPr>
            <w:tcW w:w="1973" w:type="dxa"/>
          </w:tcPr>
          <w:p w14:paraId="533472C6" w14:textId="77777777" w:rsidR="008A2EDE" w:rsidRDefault="00A50BD3">
            <w:pPr>
              <w:pStyle w:val="TableParagraph"/>
              <w:spacing w:before="59"/>
            </w:pPr>
            <w:r>
              <w:t>Sean</w:t>
            </w:r>
          </w:p>
        </w:tc>
        <w:tc>
          <w:tcPr>
            <w:tcW w:w="6528" w:type="dxa"/>
          </w:tcPr>
          <w:p w14:paraId="1E240833" w14:textId="77777777" w:rsidR="008A2EDE" w:rsidRDefault="00A50BD3">
            <w:pPr>
              <w:pStyle w:val="TableParagraph"/>
              <w:spacing w:before="59"/>
            </w:pPr>
            <w:r>
              <w:t>Crane</w:t>
            </w:r>
          </w:p>
        </w:tc>
      </w:tr>
      <w:tr w:rsidR="008A2EDE" w14:paraId="751593D2" w14:textId="77777777">
        <w:trPr>
          <w:trHeight w:val="470"/>
        </w:trPr>
        <w:tc>
          <w:tcPr>
            <w:tcW w:w="1973" w:type="dxa"/>
          </w:tcPr>
          <w:p w14:paraId="32B617E8" w14:textId="77777777" w:rsidR="008A2EDE" w:rsidRDefault="00A50BD3">
            <w:pPr>
              <w:pStyle w:val="TableParagraph"/>
              <w:spacing w:before="59"/>
            </w:pPr>
            <w:r>
              <w:t>Wayne</w:t>
            </w:r>
          </w:p>
        </w:tc>
        <w:tc>
          <w:tcPr>
            <w:tcW w:w="6528" w:type="dxa"/>
          </w:tcPr>
          <w:p w14:paraId="0EBFF48E" w14:textId="77777777" w:rsidR="008A2EDE" w:rsidRDefault="00A50BD3">
            <w:pPr>
              <w:pStyle w:val="TableParagraph"/>
              <w:spacing w:before="59"/>
            </w:pPr>
            <w:r>
              <w:t>Licht</w:t>
            </w:r>
          </w:p>
        </w:tc>
      </w:tr>
    </w:tbl>
    <w:p w14:paraId="57D4CDE2" w14:textId="77777777" w:rsidR="008A2EDE" w:rsidRDefault="008A2EDE">
      <w:pPr>
        <w:pStyle w:val="BodyText"/>
        <w:rPr>
          <w:sz w:val="20"/>
        </w:rPr>
      </w:pPr>
    </w:p>
    <w:p w14:paraId="19EB34D7" w14:textId="77777777" w:rsidR="008A2EDE" w:rsidRDefault="008A2EDE">
      <w:pPr>
        <w:pStyle w:val="BodyText"/>
        <w:spacing w:before="11"/>
        <w:rPr>
          <w:sz w:val="15"/>
        </w:rPr>
      </w:pPr>
    </w:p>
    <w:p w14:paraId="6F56D87F" w14:textId="77777777" w:rsidR="008A2EDE" w:rsidRDefault="00A50BD3">
      <w:pPr>
        <w:pStyle w:val="BodyText"/>
        <w:spacing w:before="101"/>
        <w:ind w:left="1259" w:right="847"/>
      </w:pPr>
      <w:r>
        <w:t>Location: TAFE NSW Mount Druitt Campus – Cnr North Parade &amp; Mount Street, Mount Druitt NSW 2770</w:t>
      </w:r>
    </w:p>
    <w:p w14:paraId="71BC6969" w14:textId="77777777" w:rsidR="008A2EDE" w:rsidRDefault="00A50BD3">
      <w:pPr>
        <w:pStyle w:val="BodyText"/>
        <w:ind w:left="1259"/>
      </w:pPr>
      <w:r>
        <w:t>Date: Friday, 22 June 2018 from 7:00 am to 9:00 am (AEST)</w:t>
      </w:r>
    </w:p>
    <w:p w14:paraId="6424C2ED" w14:textId="77777777" w:rsidR="008A2EDE" w:rsidRDefault="008A2EDE">
      <w:pPr>
        <w:pStyle w:val="BodyText"/>
        <w:spacing w:before="11"/>
        <w:rPr>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368D61E8" w14:textId="77777777">
        <w:trPr>
          <w:trHeight w:val="470"/>
        </w:trPr>
        <w:tc>
          <w:tcPr>
            <w:tcW w:w="1973" w:type="dxa"/>
          </w:tcPr>
          <w:p w14:paraId="7156D995" w14:textId="77777777" w:rsidR="008A2EDE" w:rsidRDefault="00A50BD3">
            <w:pPr>
              <w:pStyle w:val="TableParagraph"/>
              <w:spacing w:before="59"/>
              <w:rPr>
                <w:b/>
              </w:rPr>
            </w:pPr>
            <w:r>
              <w:rPr>
                <w:b/>
              </w:rPr>
              <w:t>First Name</w:t>
            </w:r>
          </w:p>
        </w:tc>
        <w:tc>
          <w:tcPr>
            <w:tcW w:w="6528" w:type="dxa"/>
          </w:tcPr>
          <w:p w14:paraId="2BE62104" w14:textId="77777777" w:rsidR="008A2EDE" w:rsidRDefault="00A50BD3">
            <w:pPr>
              <w:pStyle w:val="TableParagraph"/>
              <w:spacing w:before="59"/>
              <w:ind w:left="110"/>
              <w:rPr>
                <w:b/>
              </w:rPr>
            </w:pPr>
            <w:r>
              <w:rPr>
                <w:b/>
              </w:rPr>
              <w:t>Surname</w:t>
            </w:r>
          </w:p>
        </w:tc>
      </w:tr>
      <w:tr w:rsidR="008A2EDE" w14:paraId="7F3FDE21" w14:textId="77777777">
        <w:trPr>
          <w:trHeight w:val="470"/>
        </w:trPr>
        <w:tc>
          <w:tcPr>
            <w:tcW w:w="1973" w:type="dxa"/>
          </w:tcPr>
          <w:p w14:paraId="68F1D7BF" w14:textId="77777777" w:rsidR="008A2EDE" w:rsidRDefault="00A50BD3">
            <w:pPr>
              <w:pStyle w:val="TableParagraph"/>
              <w:spacing w:before="59"/>
            </w:pPr>
            <w:r>
              <w:t>Andrew</w:t>
            </w:r>
          </w:p>
        </w:tc>
        <w:tc>
          <w:tcPr>
            <w:tcW w:w="6528" w:type="dxa"/>
          </w:tcPr>
          <w:p w14:paraId="20EEABC1" w14:textId="77777777" w:rsidR="008A2EDE" w:rsidRDefault="00A50BD3">
            <w:pPr>
              <w:pStyle w:val="TableParagraph"/>
              <w:spacing w:before="59"/>
            </w:pPr>
            <w:r>
              <w:t>Logan</w:t>
            </w:r>
          </w:p>
        </w:tc>
      </w:tr>
      <w:tr w:rsidR="008A2EDE" w14:paraId="3649B1C9" w14:textId="77777777">
        <w:trPr>
          <w:trHeight w:val="470"/>
        </w:trPr>
        <w:tc>
          <w:tcPr>
            <w:tcW w:w="1973" w:type="dxa"/>
          </w:tcPr>
          <w:p w14:paraId="5039A215" w14:textId="77777777" w:rsidR="008A2EDE" w:rsidRDefault="00A50BD3">
            <w:pPr>
              <w:pStyle w:val="TableParagraph"/>
              <w:spacing w:before="59"/>
            </w:pPr>
            <w:r>
              <w:t>Anthony</w:t>
            </w:r>
          </w:p>
        </w:tc>
        <w:tc>
          <w:tcPr>
            <w:tcW w:w="6528" w:type="dxa"/>
          </w:tcPr>
          <w:p w14:paraId="4E0BD07A" w14:textId="77777777" w:rsidR="008A2EDE" w:rsidRDefault="00A50BD3">
            <w:pPr>
              <w:pStyle w:val="TableParagraph"/>
              <w:spacing w:before="59"/>
            </w:pPr>
            <w:r>
              <w:t>Willis</w:t>
            </w:r>
          </w:p>
        </w:tc>
      </w:tr>
      <w:tr w:rsidR="008A2EDE" w14:paraId="2C1B2D63" w14:textId="77777777">
        <w:trPr>
          <w:trHeight w:val="470"/>
        </w:trPr>
        <w:tc>
          <w:tcPr>
            <w:tcW w:w="1973" w:type="dxa"/>
          </w:tcPr>
          <w:p w14:paraId="44364137" w14:textId="77777777" w:rsidR="008A2EDE" w:rsidRDefault="00A50BD3">
            <w:pPr>
              <w:pStyle w:val="TableParagraph"/>
              <w:spacing w:before="59"/>
            </w:pPr>
            <w:r>
              <w:t>Gary</w:t>
            </w:r>
          </w:p>
        </w:tc>
        <w:tc>
          <w:tcPr>
            <w:tcW w:w="6528" w:type="dxa"/>
          </w:tcPr>
          <w:p w14:paraId="7070A29C" w14:textId="77777777" w:rsidR="008A2EDE" w:rsidRDefault="00A50BD3">
            <w:pPr>
              <w:pStyle w:val="TableParagraph"/>
              <w:spacing w:before="59"/>
            </w:pPr>
            <w:r>
              <w:t>Dunshea</w:t>
            </w:r>
          </w:p>
        </w:tc>
      </w:tr>
      <w:tr w:rsidR="008A2EDE" w14:paraId="1BF2675F" w14:textId="77777777">
        <w:trPr>
          <w:trHeight w:val="470"/>
        </w:trPr>
        <w:tc>
          <w:tcPr>
            <w:tcW w:w="1973" w:type="dxa"/>
          </w:tcPr>
          <w:p w14:paraId="29A90C67" w14:textId="77777777" w:rsidR="008A2EDE" w:rsidRDefault="00A50BD3">
            <w:pPr>
              <w:pStyle w:val="TableParagraph"/>
              <w:spacing w:before="59"/>
            </w:pPr>
            <w:r>
              <w:t>Jennifer</w:t>
            </w:r>
          </w:p>
        </w:tc>
        <w:tc>
          <w:tcPr>
            <w:tcW w:w="6528" w:type="dxa"/>
          </w:tcPr>
          <w:p w14:paraId="554D924D" w14:textId="77777777" w:rsidR="008A2EDE" w:rsidRDefault="00A50BD3">
            <w:pPr>
              <w:pStyle w:val="TableParagraph"/>
              <w:spacing w:before="59"/>
            </w:pPr>
            <w:r>
              <w:t>Bailey</w:t>
            </w:r>
          </w:p>
        </w:tc>
      </w:tr>
    </w:tbl>
    <w:p w14:paraId="3D74615B" w14:textId="77777777" w:rsidR="008A2EDE" w:rsidRDefault="008A2EDE">
      <w:pPr>
        <w:pStyle w:val="BodyText"/>
        <w:rPr>
          <w:sz w:val="26"/>
        </w:rPr>
      </w:pPr>
    </w:p>
    <w:p w14:paraId="34C7C297" w14:textId="77777777" w:rsidR="008A2EDE" w:rsidRDefault="00A50BD3">
      <w:pPr>
        <w:pStyle w:val="BodyText"/>
        <w:spacing w:before="222"/>
        <w:ind w:left="1259" w:right="3607"/>
      </w:pPr>
      <w:r>
        <w:t>Location: Fedora`s, Hilton Hotel – 264 South Road, Hilton SA 5033 Date: 11 July 2018 from 4:00 pm to 6:00 pm</w:t>
      </w:r>
    </w:p>
    <w:p w14:paraId="6E80EF39" w14:textId="77777777" w:rsidR="008A2EDE" w:rsidRDefault="008A2EDE">
      <w:pPr>
        <w:pStyle w:val="BodyText"/>
        <w:spacing w:before="11"/>
        <w:rPr>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53D31425" w14:textId="77777777">
        <w:trPr>
          <w:trHeight w:val="470"/>
        </w:trPr>
        <w:tc>
          <w:tcPr>
            <w:tcW w:w="1973" w:type="dxa"/>
          </w:tcPr>
          <w:p w14:paraId="63664BC6" w14:textId="77777777" w:rsidR="008A2EDE" w:rsidRDefault="00A50BD3">
            <w:pPr>
              <w:pStyle w:val="TableParagraph"/>
              <w:spacing w:before="59"/>
              <w:rPr>
                <w:b/>
              </w:rPr>
            </w:pPr>
            <w:r>
              <w:rPr>
                <w:b/>
              </w:rPr>
              <w:t>First Name</w:t>
            </w:r>
          </w:p>
        </w:tc>
        <w:tc>
          <w:tcPr>
            <w:tcW w:w="6528" w:type="dxa"/>
          </w:tcPr>
          <w:p w14:paraId="6675E4B0" w14:textId="77777777" w:rsidR="008A2EDE" w:rsidRDefault="00A50BD3">
            <w:pPr>
              <w:pStyle w:val="TableParagraph"/>
              <w:spacing w:before="59"/>
              <w:ind w:left="110"/>
              <w:rPr>
                <w:b/>
              </w:rPr>
            </w:pPr>
            <w:r>
              <w:rPr>
                <w:b/>
              </w:rPr>
              <w:t>Surname</w:t>
            </w:r>
          </w:p>
        </w:tc>
      </w:tr>
      <w:tr w:rsidR="008A2EDE" w14:paraId="236B99B9" w14:textId="77777777">
        <w:trPr>
          <w:trHeight w:val="470"/>
        </w:trPr>
        <w:tc>
          <w:tcPr>
            <w:tcW w:w="1973" w:type="dxa"/>
          </w:tcPr>
          <w:p w14:paraId="63B8B1F8" w14:textId="77777777" w:rsidR="008A2EDE" w:rsidRDefault="00A50BD3">
            <w:pPr>
              <w:pStyle w:val="TableParagraph"/>
              <w:spacing w:before="59"/>
            </w:pPr>
            <w:r>
              <w:t>Adam</w:t>
            </w:r>
          </w:p>
        </w:tc>
        <w:tc>
          <w:tcPr>
            <w:tcW w:w="6528" w:type="dxa"/>
          </w:tcPr>
          <w:p w14:paraId="3F9071D4" w14:textId="77777777" w:rsidR="008A2EDE" w:rsidRDefault="00A50BD3">
            <w:pPr>
              <w:pStyle w:val="TableParagraph"/>
              <w:spacing w:before="59"/>
            </w:pPr>
            <w:r>
              <w:t>Guerin</w:t>
            </w:r>
          </w:p>
        </w:tc>
      </w:tr>
      <w:tr w:rsidR="008A2EDE" w14:paraId="70E7DDE1" w14:textId="77777777">
        <w:trPr>
          <w:trHeight w:val="469"/>
        </w:trPr>
        <w:tc>
          <w:tcPr>
            <w:tcW w:w="1973" w:type="dxa"/>
          </w:tcPr>
          <w:p w14:paraId="71F52186" w14:textId="77777777" w:rsidR="008A2EDE" w:rsidRDefault="00A50BD3">
            <w:pPr>
              <w:pStyle w:val="TableParagraph"/>
              <w:spacing w:before="59"/>
            </w:pPr>
            <w:r>
              <w:t>Christine</w:t>
            </w:r>
          </w:p>
        </w:tc>
        <w:tc>
          <w:tcPr>
            <w:tcW w:w="6528" w:type="dxa"/>
          </w:tcPr>
          <w:p w14:paraId="64141148" w14:textId="77777777" w:rsidR="008A2EDE" w:rsidRDefault="00A50BD3">
            <w:pPr>
              <w:pStyle w:val="TableParagraph"/>
              <w:spacing w:before="59"/>
            </w:pPr>
            <w:r>
              <w:t>Stone</w:t>
            </w:r>
          </w:p>
        </w:tc>
      </w:tr>
      <w:tr w:rsidR="008A2EDE" w14:paraId="13742B33" w14:textId="77777777">
        <w:trPr>
          <w:trHeight w:val="469"/>
        </w:trPr>
        <w:tc>
          <w:tcPr>
            <w:tcW w:w="1973" w:type="dxa"/>
          </w:tcPr>
          <w:p w14:paraId="0A380211" w14:textId="77777777" w:rsidR="008A2EDE" w:rsidRDefault="00A50BD3">
            <w:pPr>
              <w:pStyle w:val="TableParagraph"/>
              <w:spacing w:before="59"/>
            </w:pPr>
            <w:r>
              <w:t>Darren</w:t>
            </w:r>
          </w:p>
        </w:tc>
        <w:tc>
          <w:tcPr>
            <w:tcW w:w="6528" w:type="dxa"/>
          </w:tcPr>
          <w:p w14:paraId="21B40D6F" w14:textId="77777777" w:rsidR="008A2EDE" w:rsidRDefault="00A50BD3">
            <w:pPr>
              <w:pStyle w:val="TableParagraph"/>
              <w:spacing w:before="59"/>
            </w:pPr>
            <w:r>
              <w:t>Martin</w:t>
            </w:r>
          </w:p>
        </w:tc>
      </w:tr>
    </w:tbl>
    <w:p w14:paraId="6AAA0F21" w14:textId="77777777" w:rsidR="008A2EDE" w:rsidRDefault="008A2EDE">
      <w:pPr>
        <w:sectPr w:rsidR="008A2EDE">
          <w:pgSz w:w="11900" w:h="16840"/>
          <w:pgMar w:top="1440" w:right="700" w:bottom="820" w:left="440" w:header="0" w:footer="558" w:gutter="0"/>
          <w:cols w:space="720"/>
        </w:sect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7C47B7E8" w14:textId="77777777">
        <w:trPr>
          <w:trHeight w:val="470"/>
        </w:trPr>
        <w:tc>
          <w:tcPr>
            <w:tcW w:w="1973" w:type="dxa"/>
          </w:tcPr>
          <w:p w14:paraId="19134965" w14:textId="77777777" w:rsidR="008A2EDE" w:rsidRDefault="00A50BD3">
            <w:pPr>
              <w:pStyle w:val="TableParagraph"/>
              <w:spacing w:before="59"/>
              <w:rPr>
                <w:b/>
              </w:rPr>
            </w:pPr>
            <w:r>
              <w:rPr>
                <w:b/>
              </w:rPr>
              <w:lastRenderedPageBreak/>
              <w:t>First Name</w:t>
            </w:r>
          </w:p>
        </w:tc>
        <w:tc>
          <w:tcPr>
            <w:tcW w:w="6528" w:type="dxa"/>
          </w:tcPr>
          <w:p w14:paraId="13F36A75" w14:textId="77777777" w:rsidR="008A2EDE" w:rsidRDefault="00A50BD3">
            <w:pPr>
              <w:pStyle w:val="TableParagraph"/>
              <w:spacing w:before="59"/>
              <w:ind w:left="110"/>
              <w:rPr>
                <w:b/>
              </w:rPr>
            </w:pPr>
            <w:r>
              <w:rPr>
                <w:b/>
              </w:rPr>
              <w:t>Surname</w:t>
            </w:r>
          </w:p>
        </w:tc>
      </w:tr>
      <w:tr w:rsidR="008A2EDE" w14:paraId="1EBE88F4" w14:textId="77777777">
        <w:trPr>
          <w:trHeight w:val="470"/>
        </w:trPr>
        <w:tc>
          <w:tcPr>
            <w:tcW w:w="1973" w:type="dxa"/>
          </w:tcPr>
          <w:p w14:paraId="66674254" w14:textId="77777777" w:rsidR="008A2EDE" w:rsidRDefault="00A50BD3">
            <w:pPr>
              <w:pStyle w:val="TableParagraph"/>
              <w:spacing w:before="59"/>
            </w:pPr>
            <w:r>
              <w:t>David</w:t>
            </w:r>
          </w:p>
        </w:tc>
        <w:tc>
          <w:tcPr>
            <w:tcW w:w="6528" w:type="dxa"/>
          </w:tcPr>
          <w:p w14:paraId="226884E2" w14:textId="77777777" w:rsidR="008A2EDE" w:rsidRDefault="00A50BD3">
            <w:pPr>
              <w:pStyle w:val="TableParagraph"/>
              <w:spacing w:before="59"/>
            </w:pPr>
            <w:r>
              <w:t>Dorman</w:t>
            </w:r>
          </w:p>
        </w:tc>
      </w:tr>
      <w:tr w:rsidR="008A2EDE" w14:paraId="65A7909D" w14:textId="77777777">
        <w:trPr>
          <w:trHeight w:val="470"/>
        </w:trPr>
        <w:tc>
          <w:tcPr>
            <w:tcW w:w="1973" w:type="dxa"/>
          </w:tcPr>
          <w:p w14:paraId="0E98AA9F" w14:textId="77777777" w:rsidR="008A2EDE" w:rsidRDefault="00A50BD3">
            <w:pPr>
              <w:pStyle w:val="TableParagraph"/>
              <w:spacing w:before="59"/>
            </w:pPr>
            <w:r>
              <w:t>Donna</w:t>
            </w:r>
          </w:p>
        </w:tc>
        <w:tc>
          <w:tcPr>
            <w:tcW w:w="6528" w:type="dxa"/>
          </w:tcPr>
          <w:p w14:paraId="11D64F29" w14:textId="77777777" w:rsidR="008A2EDE" w:rsidRDefault="00A50BD3">
            <w:pPr>
              <w:pStyle w:val="TableParagraph"/>
              <w:spacing w:before="59"/>
            </w:pPr>
            <w:r>
              <w:t>Stuart</w:t>
            </w:r>
          </w:p>
        </w:tc>
      </w:tr>
      <w:tr w:rsidR="008A2EDE" w14:paraId="71801AA6" w14:textId="77777777">
        <w:trPr>
          <w:trHeight w:val="470"/>
        </w:trPr>
        <w:tc>
          <w:tcPr>
            <w:tcW w:w="1973" w:type="dxa"/>
          </w:tcPr>
          <w:p w14:paraId="6863C421" w14:textId="77777777" w:rsidR="008A2EDE" w:rsidRDefault="00A50BD3">
            <w:pPr>
              <w:pStyle w:val="TableParagraph"/>
              <w:spacing w:before="59"/>
            </w:pPr>
            <w:r>
              <w:t>Elias</w:t>
            </w:r>
          </w:p>
        </w:tc>
        <w:tc>
          <w:tcPr>
            <w:tcW w:w="6528" w:type="dxa"/>
          </w:tcPr>
          <w:p w14:paraId="566811CF" w14:textId="77777777" w:rsidR="008A2EDE" w:rsidRDefault="00A50BD3">
            <w:pPr>
              <w:pStyle w:val="TableParagraph"/>
              <w:spacing w:before="59"/>
            </w:pPr>
            <w:r>
              <w:t>Lambetis</w:t>
            </w:r>
          </w:p>
        </w:tc>
      </w:tr>
      <w:tr w:rsidR="008A2EDE" w14:paraId="7E773F34" w14:textId="77777777">
        <w:trPr>
          <w:trHeight w:val="470"/>
        </w:trPr>
        <w:tc>
          <w:tcPr>
            <w:tcW w:w="1973" w:type="dxa"/>
          </w:tcPr>
          <w:p w14:paraId="5A8B3416" w14:textId="77777777" w:rsidR="008A2EDE" w:rsidRDefault="00A50BD3">
            <w:pPr>
              <w:pStyle w:val="TableParagraph"/>
              <w:spacing w:before="59"/>
            </w:pPr>
            <w:r>
              <w:t>Eric</w:t>
            </w:r>
          </w:p>
        </w:tc>
        <w:tc>
          <w:tcPr>
            <w:tcW w:w="6528" w:type="dxa"/>
          </w:tcPr>
          <w:p w14:paraId="295A0B7B" w14:textId="77777777" w:rsidR="008A2EDE" w:rsidRDefault="00A50BD3">
            <w:pPr>
              <w:pStyle w:val="TableParagraph"/>
              <w:spacing w:before="59"/>
            </w:pPr>
            <w:r>
              <w:t>Parnis</w:t>
            </w:r>
          </w:p>
        </w:tc>
      </w:tr>
      <w:tr w:rsidR="008A2EDE" w14:paraId="4BC06A95" w14:textId="77777777">
        <w:trPr>
          <w:trHeight w:val="470"/>
        </w:trPr>
        <w:tc>
          <w:tcPr>
            <w:tcW w:w="1973" w:type="dxa"/>
          </w:tcPr>
          <w:p w14:paraId="3FC09FB5" w14:textId="77777777" w:rsidR="008A2EDE" w:rsidRDefault="00A50BD3">
            <w:pPr>
              <w:pStyle w:val="TableParagraph"/>
              <w:spacing w:before="59"/>
            </w:pPr>
            <w:r>
              <w:t>Grant</w:t>
            </w:r>
          </w:p>
        </w:tc>
        <w:tc>
          <w:tcPr>
            <w:tcW w:w="6528" w:type="dxa"/>
          </w:tcPr>
          <w:p w14:paraId="5BBBB94B" w14:textId="77777777" w:rsidR="008A2EDE" w:rsidRDefault="00A50BD3">
            <w:pPr>
              <w:pStyle w:val="TableParagraph"/>
              <w:spacing w:before="59"/>
            </w:pPr>
            <w:r>
              <w:t>Robinson</w:t>
            </w:r>
          </w:p>
        </w:tc>
      </w:tr>
      <w:tr w:rsidR="008A2EDE" w14:paraId="08D56A8F" w14:textId="77777777">
        <w:trPr>
          <w:trHeight w:val="470"/>
        </w:trPr>
        <w:tc>
          <w:tcPr>
            <w:tcW w:w="1973" w:type="dxa"/>
          </w:tcPr>
          <w:p w14:paraId="2FC5A508" w14:textId="77777777" w:rsidR="008A2EDE" w:rsidRDefault="00A50BD3">
            <w:pPr>
              <w:pStyle w:val="TableParagraph"/>
              <w:spacing w:before="59"/>
            </w:pPr>
            <w:r>
              <w:t>Ian</w:t>
            </w:r>
          </w:p>
        </w:tc>
        <w:tc>
          <w:tcPr>
            <w:tcW w:w="6528" w:type="dxa"/>
          </w:tcPr>
          <w:p w14:paraId="4C58E1A6" w14:textId="77777777" w:rsidR="008A2EDE" w:rsidRDefault="00A50BD3">
            <w:pPr>
              <w:pStyle w:val="TableParagraph"/>
              <w:spacing w:before="59"/>
            </w:pPr>
            <w:r>
              <w:t>Fry</w:t>
            </w:r>
          </w:p>
        </w:tc>
      </w:tr>
      <w:tr w:rsidR="008A2EDE" w14:paraId="0CD7D556" w14:textId="77777777">
        <w:trPr>
          <w:trHeight w:val="470"/>
        </w:trPr>
        <w:tc>
          <w:tcPr>
            <w:tcW w:w="1973" w:type="dxa"/>
          </w:tcPr>
          <w:p w14:paraId="7E65ADD6" w14:textId="77777777" w:rsidR="008A2EDE" w:rsidRDefault="00A50BD3">
            <w:pPr>
              <w:pStyle w:val="TableParagraph"/>
              <w:spacing w:before="59"/>
            </w:pPr>
            <w:r>
              <w:t>Jason</w:t>
            </w:r>
          </w:p>
        </w:tc>
        <w:tc>
          <w:tcPr>
            <w:tcW w:w="6528" w:type="dxa"/>
          </w:tcPr>
          <w:p w14:paraId="1DCAEC4C" w14:textId="77777777" w:rsidR="008A2EDE" w:rsidRDefault="00A50BD3">
            <w:pPr>
              <w:pStyle w:val="TableParagraph"/>
              <w:spacing w:before="59"/>
            </w:pPr>
            <w:r>
              <w:t>Stephens</w:t>
            </w:r>
          </w:p>
        </w:tc>
      </w:tr>
      <w:tr w:rsidR="008A2EDE" w14:paraId="1960F11E" w14:textId="77777777">
        <w:trPr>
          <w:trHeight w:val="470"/>
        </w:trPr>
        <w:tc>
          <w:tcPr>
            <w:tcW w:w="1973" w:type="dxa"/>
          </w:tcPr>
          <w:p w14:paraId="4F2000C9" w14:textId="77777777" w:rsidR="008A2EDE" w:rsidRDefault="00A50BD3">
            <w:pPr>
              <w:pStyle w:val="TableParagraph"/>
              <w:spacing w:before="59"/>
            </w:pPr>
            <w:r>
              <w:t>Keith</w:t>
            </w:r>
          </w:p>
        </w:tc>
        <w:tc>
          <w:tcPr>
            <w:tcW w:w="6528" w:type="dxa"/>
          </w:tcPr>
          <w:p w14:paraId="19CAEFDF" w14:textId="77777777" w:rsidR="008A2EDE" w:rsidRDefault="00A50BD3">
            <w:pPr>
              <w:pStyle w:val="TableParagraph"/>
              <w:spacing w:before="59"/>
            </w:pPr>
            <w:r>
              <w:t>Jasper</w:t>
            </w:r>
          </w:p>
        </w:tc>
      </w:tr>
      <w:tr w:rsidR="008A2EDE" w14:paraId="67450A07" w14:textId="77777777">
        <w:trPr>
          <w:trHeight w:val="470"/>
        </w:trPr>
        <w:tc>
          <w:tcPr>
            <w:tcW w:w="1973" w:type="dxa"/>
          </w:tcPr>
          <w:p w14:paraId="370EBABB" w14:textId="77777777" w:rsidR="008A2EDE" w:rsidRDefault="00A50BD3">
            <w:pPr>
              <w:pStyle w:val="TableParagraph"/>
              <w:spacing w:before="59"/>
            </w:pPr>
            <w:r>
              <w:t>Kevin</w:t>
            </w:r>
          </w:p>
        </w:tc>
        <w:tc>
          <w:tcPr>
            <w:tcW w:w="6528" w:type="dxa"/>
          </w:tcPr>
          <w:p w14:paraId="4B1E5F91" w14:textId="77777777" w:rsidR="008A2EDE" w:rsidRDefault="00A50BD3">
            <w:pPr>
              <w:pStyle w:val="TableParagraph"/>
              <w:spacing w:before="59"/>
            </w:pPr>
            <w:r>
              <w:t>Burns</w:t>
            </w:r>
          </w:p>
        </w:tc>
      </w:tr>
      <w:tr w:rsidR="008A2EDE" w14:paraId="15096CAF" w14:textId="77777777">
        <w:trPr>
          <w:trHeight w:val="470"/>
        </w:trPr>
        <w:tc>
          <w:tcPr>
            <w:tcW w:w="1973" w:type="dxa"/>
          </w:tcPr>
          <w:p w14:paraId="5E9E8BE7" w14:textId="77777777" w:rsidR="008A2EDE" w:rsidRDefault="00A50BD3">
            <w:pPr>
              <w:pStyle w:val="TableParagraph"/>
              <w:spacing w:before="59"/>
            </w:pPr>
            <w:r>
              <w:t>Marie</w:t>
            </w:r>
          </w:p>
        </w:tc>
        <w:tc>
          <w:tcPr>
            <w:tcW w:w="6528" w:type="dxa"/>
          </w:tcPr>
          <w:p w14:paraId="036A0333" w14:textId="77777777" w:rsidR="008A2EDE" w:rsidRDefault="00A50BD3">
            <w:pPr>
              <w:pStyle w:val="TableParagraph"/>
              <w:spacing w:before="59"/>
            </w:pPr>
            <w:r>
              <w:t>Paterson</w:t>
            </w:r>
          </w:p>
        </w:tc>
      </w:tr>
      <w:tr w:rsidR="008A2EDE" w14:paraId="41AA7856" w14:textId="77777777">
        <w:trPr>
          <w:trHeight w:val="470"/>
        </w:trPr>
        <w:tc>
          <w:tcPr>
            <w:tcW w:w="1973" w:type="dxa"/>
          </w:tcPr>
          <w:p w14:paraId="259B2F0C" w14:textId="77777777" w:rsidR="008A2EDE" w:rsidRDefault="00A50BD3">
            <w:pPr>
              <w:pStyle w:val="TableParagraph"/>
              <w:spacing w:before="59"/>
            </w:pPr>
            <w:r>
              <w:t>Mark</w:t>
            </w:r>
          </w:p>
        </w:tc>
        <w:tc>
          <w:tcPr>
            <w:tcW w:w="6528" w:type="dxa"/>
          </w:tcPr>
          <w:p w14:paraId="4D689F0C" w14:textId="77777777" w:rsidR="008A2EDE" w:rsidRDefault="00A50BD3">
            <w:pPr>
              <w:pStyle w:val="TableParagraph"/>
              <w:spacing w:before="59"/>
            </w:pPr>
            <w:r>
              <w:t>Gosden</w:t>
            </w:r>
          </w:p>
        </w:tc>
      </w:tr>
      <w:tr w:rsidR="008A2EDE" w14:paraId="73F16A8D" w14:textId="77777777">
        <w:trPr>
          <w:trHeight w:val="470"/>
        </w:trPr>
        <w:tc>
          <w:tcPr>
            <w:tcW w:w="1973" w:type="dxa"/>
          </w:tcPr>
          <w:p w14:paraId="43D74113" w14:textId="77777777" w:rsidR="008A2EDE" w:rsidRDefault="00A50BD3">
            <w:pPr>
              <w:pStyle w:val="TableParagraph"/>
              <w:spacing w:before="59"/>
            </w:pPr>
            <w:r>
              <w:t>Matthew</w:t>
            </w:r>
          </w:p>
        </w:tc>
        <w:tc>
          <w:tcPr>
            <w:tcW w:w="6528" w:type="dxa"/>
          </w:tcPr>
          <w:p w14:paraId="33E85AD5" w14:textId="77777777" w:rsidR="008A2EDE" w:rsidRDefault="00A50BD3">
            <w:pPr>
              <w:pStyle w:val="TableParagraph"/>
              <w:spacing w:before="59"/>
            </w:pPr>
            <w:r>
              <w:t>Pincin</w:t>
            </w:r>
          </w:p>
        </w:tc>
      </w:tr>
      <w:tr w:rsidR="008A2EDE" w14:paraId="74D23D4B" w14:textId="77777777">
        <w:trPr>
          <w:trHeight w:val="470"/>
        </w:trPr>
        <w:tc>
          <w:tcPr>
            <w:tcW w:w="1973" w:type="dxa"/>
          </w:tcPr>
          <w:p w14:paraId="0F91A6E0" w14:textId="77777777" w:rsidR="008A2EDE" w:rsidRDefault="00A50BD3">
            <w:pPr>
              <w:pStyle w:val="TableParagraph"/>
              <w:spacing w:before="59"/>
            </w:pPr>
            <w:r>
              <w:t>Monica</w:t>
            </w:r>
          </w:p>
        </w:tc>
        <w:tc>
          <w:tcPr>
            <w:tcW w:w="6528" w:type="dxa"/>
          </w:tcPr>
          <w:p w14:paraId="61BB9865" w14:textId="77777777" w:rsidR="008A2EDE" w:rsidRDefault="00A50BD3">
            <w:pPr>
              <w:pStyle w:val="TableParagraph"/>
              <w:spacing w:before="59"/>
            </w:pPr>
            <w:r>
              <w:t>Clark</w:t>
            </w:r>
          </w:p>
        </w:tc>
      </w:tr>
      <w:tr w:rsidR="008A2EDE" w14:paraId="054E09DB" w14:textId="77777777">
        <w:trPr>
          <w:trHeight w:val="470"/>
        </w:trPr>
        <w:tc>
          <w:tcPr>
            <w:tcW w:w="1973" w:type="dxa"/>
          </w:tcPr>
          <w:p w14:paraId="408667F2" w14:textId="77777777" w:rsidR="008A2EDE" w:rsidRDefault="00A50BD3">
            <w:pPr>
              <w:pStyle w:val="TableParagraph"/>
              <w:spacing w:before="59"/>
            </w:pPr>
            <w:r>
              <w:t>Peter</w:t>
            </w:r>
          </w:p>
        </w:tc>
        <w:tc>
          <w:tcPr>
            <w:tcW w:w="6528" w:type="dxa"/>
          </w:tcPr>
          <w:p w14:paraId="7F4E98EF" w14:textId="77777777" w:rsidR="008A2EDE" w:rsidRDefault="00A50BD3">
            <w:pPr>
              <w:pStyle w:val="TableParagraph"/>
              <w:spacing w:before="59"/>
            </w:pPr>
            <w:r>
              <w:t>Atkins</w:t>
            </w:r>
          </w:p>
        </w:tc>
      </w:tr>
      <w:tr w:rsidR="008A2EDE" w14:paraId="2D5A26C0" w14:textId="77777777">
        <w:trPr>
          <w:trHeight w:val="470"/>
        </w:trPr>
        <w:tc>
          <w:tcPr>
            <w:tcW w:w="1973" w:type="dxa"/>
          </w:tcPr>
          <w:p w14:paraId="1DDCC1F2" w14:textId="77777777" w:rsidR="008A2EDE" w:rsidRDefault="00A50BD3">
            <w:pPr>
              <w:pStyle w:val="TableParagraph"/>
              <w:spacing w:before="59"/>
            </w:pPr>
            <w:r>
              <w:t>Quentin</w:t>
            </w:r>
          </w:p>
        </w:tc>
        <w:tc>
          <w:tcPr>
            <w:tcW w:w="6528" w:type="dxa"/>
          </w:tcPr>
          <w:p w14:paraId="39091AE9" w14:textId="77777777" w:rsidR="008A2EDE" w:rsidRDefault="00A50BD3">
            <w:pPr>
              <w:pStyle w:val="TableParagraph"/>
              <w:spacing w:before="59"/>
            </w:pPr>
            <w:r>
              <w:t>Sickerdick</w:t>
            </w:r>
          </w:p>
        </w:tc>
      </w:tr>
      <w:tr w:rsidR="008A2EDE" w14:paraId="371B6184" w14:textId="77777777">
        <w:trPr>
          <w:trHeight w:val="470"/>
        </w:trPr>
        <w:tc>
          <w:tcPr>
            <w:tcW w:w="1973" w:type="dxa"/>
          </w:tcPr>
          <w:p w14:paraId="768D5FE0" w14:textId="77777777" w:rsidR="008A2EDE" w:rsidRDefault="00A50BD3">
            <w:pPr>
              <w:pStyle w:val="TableParagraph"/>
              <w:spacing w:before="59"/>
            </w:pPr>
            <w:r>
              <w:t>Rene</w:t>
            </w:r>
          </w:p>
        </w:tc>
        <w:tc>
          <w:tcPr>
            <w:tcW w:w="6528" w:type="dxa"/>
          </w:tcPr>
          <w:p w14:paraId="28A40332" w14:textId="77777777" w:rsidR="008A2EDE" w:rsidRDefault="00A50BD3">
            <w:pPr>
              <w:pStyle w:val="TableParagraph"/>
              <w:spacing w:before="59"/>
            </w:pPr>
            <w:r>
              <w:t>Nikolic</w:t>
            </w:r>
          </w:p>
        </w:tc>
      </w:tr>
      <w:tr w:rsidR="008A2EDE" w14:paraId="1099CA20" w14:textId="77777777">
        <w:trPr>
          <w:trHeight w:val="470"/>
        </w:trPr>
        <w:tc>
          <w:tcPr>
            <w:tcW w:w="1973" w:type="dxa"/>
          </w:tcPr>
          <w:p w14:paraId="3078E251" w14:textId="77777777" w:rsidR="008A2EDE" w:rsidRDefault="00A50BD3">
            <w:pPr>
              <w:pStyle w:val="TableParagraph"/>
              <w:spacing w:before="59"/>
            </w:pPr>
            <w:r>
              <w:t>Russell</w:t>
            </w:r>
          </w:p>
        </w:tc>
        <w:tc>
          <w:tcPr>
            <w:tcW w:w="6528" w:type="dxa"/>
          </w:tcPr>
          <w:p w14:paraId="288EFD57" w14:textId="77777777" w:rsidR="008A2EDE" w:rsidRDefault="00A50BD3">
            <w:pPr>
              <w:pStyle w:val="TableParagraph"/>
              <w:spacing w:before="59"/>
            </w:pPr>
            <w:r>
              <w:t>Hottham</w:t>
            </w:r>
          </w:p>
        </w:tc>
      </w:tr>
      <w:tr w:rsidR="008A2EDE" w14:paraId="449F93B1" w14:textId="77777777">
        <w:trPr>
          <w:trHeight w:val="470"/>
        </w:trPr>
        <w:tc>
          <w:tcPr>
            <w:tcW w:w="1973" w:type="dxa"/>
          </w:tcPr>
          <w:p w14:paraId="76EBE718" w14:textId="77777777" w:rsidR="008A2EDE" w:rsidRDefault="00A50BD3">
            <w:pPr>
              <w:pStyle w:val="TableParagraph"/>
              <w:spacing w:before="59"/>
            </w:pPr>
            <w:r>
              <w:t>Ryan</w:t>
            </w:r>
          </w:p>
        </w:tc>
        <w:tc>
          <w:tcPr>
            <w:tcW w:w="6528" w:type="dxa"/>
          </w:tcPr>
          <w:p w14:paraId="530D69C5" w14:textId="77777777" w:rsidR="008A2EDE" w:rsidRDefault="00A50BD3">
            <w:pPr>
              <w:pStyle w:val="TableParagraph"/>
              <w:spacing w:before="59"/>
            </w:pPr>
            <w:r>
              <w:t>Grigg</w:t>
            </w:r>
          </w:p>
        </w:tc>
      </w:tr>
      <w:tr w:rsidR="008A2EDE" w14:paraId="6F43FAFE" w14:textId="77777777">
        <w:trPr>
          <w:trHeight w:val="470"/>
        </w:trPr>
        <w:tc>
          <w:tcPr>
            <w:tcW w:w="1973" w:type="dxa"/>
          </w:tcPr>
          <w:p w14:paraId="38F1C112" w14:textId="77777777" w:rsidR="008A2EDE" w:rsidRDefault="00A50BD3">
            <w:pPr>
              <w:pStyle w:val="TableParagraph"/>
              <w:spacing w:before="59"/>
            </w:pPr>
            <w:r>
              <w:t>Thomas</w:t>
            </w:r>
          </w:p>
        </w:tc>
        <w:tc>
          <w:tcPr>
            <w:tcW w:w="6528" w:type="dxa"/>
          </w:tcPr>
          <w:p w14:paraId="2D88AC3A" w14:textId="77777777" w:rsidR="008A2EDE" w:rsidRDefault="00A50BD3">
            <w:pPr>
              <w:pStyle w:val="TableParagraph"/>
              <w:spacing w:before="59"/>
            </w:pPr>
            <w:r>
              <w:t>Fry</w:t>
            </w:r>
          </w:p>
        </w:tc>
      </w:tr>
      <w:tr w:rsidR="008A2EDE" w14:paraId="398F75C8" w14:textId="77777777">
        <w:trPr>
          <w:trHeight w:val="470"/>
        </w:trPr>
        <w:tc>
          <w:tcPr>
            <w:tcW w:w="1973" w:type="dxa"/>
          </w:tcPr>
          <w:p w14:paraId="1E00DEE2" w14:textId="77777777" w:rsidR="008A2EDE" w:rsidRDefault="00A50BD3">
            <w:pPr>
              <w:pStyle w:val="TableParagraph"/>
              <w:spacing w:before="59"/>
            </w:pPr>
            <w:r>
              <w:t>Tony</w:t>
            </w:r>
          </w:p>
        </w:tc>
        <w:tc>
          <w:tcPr>
            <w:tcW w:w="6528" w:type="dxa"/>
          </w:tcPr>
          <w:p w14:paraId="22733A47" w14:textId="77777777" w:rsidR="008A2EDE" w:rsidRDefault="00A50BD3">
            <w:pPr>
              <w:pStyle w:val="TableParagraph"/>
              <w:spacing w:before="59"/>
            </w:pPr>
            <w:r>
              <w:t>Martin</w:t>
            </w:r>
          </w:p>
        </w:tc>
      </w:tr>
    </w:tbl>
    <w:p w14:paraId="4FA65824" w14:textId="77777777" w:rsidR="008A2EDE" w:rsidRDefault="008A2EDE">
      <w:pPr>
        <w:pStyle w:val="BodyText"/>
        <w:rPr>
          <w:sz w:val="20"/>
        </w:rPr>
      </w:pPr>
    </w:p>
    <w:p w14:paraId="3B9038CA" w14:textId="77777777" w:rsidR="008A2EDE" w:rsidRDefault="008A2EDE">
      <w:pPr>
        <w:pStyle w:val="BodyText"/>
        <w:spacing w:before="11"/>
        <w:rPr>
          <w:sz w:val="15"/>
        </w:rPr>
      </w:pPr>
    </w:p>
    <w:p w14:paraId="26DF83D0" w14:textId="77777777" w:rsidR="008A2EDE" w:rsidRDefault="00A50BD3">
      <w:pPr>
        <w:pStyle w:val="BodyText"/>
        <w:spacing w:before="101"/>
        <w:ind w:left="1259" w:right="1684"/>
      </w:pPr>
      <w:r>
        <w:t>Location: Construction Training Centre – 460-492 Beaudesert Road, Salisbury QLD 4107 Date: 18 July 2018 from 4:00 pm to 6:00 pm</w:t>
      </w:r>
    </w:p>
    <w:p w14:paraId="67D081A6" w14:textId="77777777" w:rsidR="008A2EDE" w:rsidRDefault="008A2EDE">
      <w:pPr>
        <w:pStyle w:val="BodyText"/>
        <w:spacing w:before="11"/>
        <w:rPr>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7AE9E939" w14:textId="77777777">
        <w:trPr>
          <w:trHeight w:val="470"/>
        </w:trPr>
        <w:tc>
          <w:tcPr>
            <w:tcW w:w="1973" w:type="dxa"/>
          </w:tcPr>
          <w:p w14:paraId="450ABB42" w14:textId="77777777" w:rsidR="008A2EDE" w:rsidRDefault="00A50BD3">
            <w:pPr>
              <w:pStyle w:val="TableParagraph"/>
              <w:spacing w:before="59"/>
              <w:rPr>
                <w:b/>
              </w:rPr>
            </w:pPr>
            <w:r>
              <w:rPr>
                <w:b/>
              </w:rPr>
              <w:t>First Name</w:t>
            </w:r>
          </w:p>
        </w:tc>
        <w:tc>
          <w:tcPr>
            <w:tcW w:w="6528" w:type="dxa"/>
          </w:tcPr>
          <w:p w14:paraId="47BEB9C7" w14:textId="77777777" w:rsidR="008A2EDE" w:rsidRDefault="00A50BD3">
            <w:pPr>
              <w:pStyle w:val="TableParagraph"/>
              <w:spacing w:before="59"/>
              <w:ind w:left="110"/>
              <w:rPr>
                <w:b/>
              </w:rPr>
            </w:pPr>
            <w:r>
              <w:rPr>
                <w:b/>
              </w:rPr>
              <w:t>Surname</w:t>
            </w:r>
          </w:p>
        </w:tc>
      </w:tr>
      <w:tr w:rsidR="008A2EDE" w14:paraId="7FDEC6FA" w14:textId="77777777">
        <w:trPr>
          <w:trHeight w:val="470"/>
        </w:trPr>
        <w:tc>
          <w:tcPr>
            <w:tcW w:w="1973" w:type="dxa"/>
          </w:tcPr>
          <w:p w14:paraId="7AA5190E" w14:textId="77777777" w:rsidR="008A2EDE" w:rsidRDefault="00A50BD3">
            <w:pPr>
              <w:pStyle w:val="TableParagraph"/>
              <w:spacing w:before="59"/>
            </w:pPr>
            <w:r>
              <w:t>Adam</w:t>
            </w:r>
          </w:p>
        </w:tc>
        <w:tc>
          <w:tcPr>
            <w:tcW w:w="6528" w:type="dxa"/>
          </w:tcPr>
          <w:p w14:paraId="2ABF16EA" w14:textId="77777777" w:rsidR="008A2EDE" w:rsidRDefault="00A50BD3">
            <w:pPr>
              <w:pStyle w:val="TableParagraph"/>
              <w:spacing w:before="59"/>
            </w:pPr>
            <w:r>
              <w:t>Cox</w:t>
            </w:r>
          </w:p>
        </w:tc>
      </w:tr>
      <w:tr w:rsidR="008A2EDE" w14:paraId="3F9473EE" w14:textId="77777777">
        <w:trPr>
          <w:trHeight w:val="469"/>
        </w:trPr>
        <w:tc>
          <w:tcPr>
            <w:tcW w:w="1973" w:type="dxa"/>
          </w:tcPr>
          <w:p w14:paraId="208458F6" w14:textId="77777777" w:rsidR="008A2EDE" w:rsidRDefault="00A50BD3">
            <w:pPr>
              <w:pStyle w:val="TableParagraph"/>
              <w:spacing w:before="59"/>
            </w:pPr>
            <w:r>
              <w:t>Adam</w:t>
            </w:r>
          </w:p>
        </w:tc>
        <w:tc>
          <w:tcPr>
            <w:tcW w:w="6528" w:type="dxa"/>
          </w:tcPr>
          <w:p w14:paraId="10559DD3" w14:textId="77777777" w:rsidR="008A2EDE" w:rsidRDefault="00A50BD3">
            <w:pPr>
              <w:pStyle w:val="TableParagraph"/>
              <w:spacing w:before="59"/>
            </w:pPr>
            <w:r>
              <w:t>Profke</w:t>
            </w:r>
          </w:p>
        </w:tc>
      </w:tr>
      <w:tr w:rsidR="008A2EDE" w14:paraId="67237E5C" w14:textId="77777777">
        <w:trPr>
          <w:trHeight w:val="470"/>
        </w:trPr>
        <w:tc>
          <w:tcPr>
            <w:tcW w:w="1973" w:type="dxa"/>
          </w:tcPr>
          <w:p w14:paraId="3D3047DB" w14:textId="77777777" w:rsidR="008A2EDE" w:rsidRDefault="00A50BD3">
            <w:pPr>
              <w:pStyle w:val="TableParagraph"/>
              <w:spacing w:before="59"/>
            </w:pPr>
            <w:r>
              <w:t>Alan</w:t>
            </w:r>
          </w:p>
        </w:tc>
        <w:tc>
          <w:tcPr>
            <w:tcW w:w="6528" w:type="dxa"/>
          </w:tcPr>
          <w:p w14:paraId="00416099" w14:textId="77777777" w:rsidR="008A2EDE" w:rsidRDefault="00A50BD3">
            <w:pPr>
              <w:pStyle w:val="TableParagraph"/>
              <w:spacing w:before="59"/>
            </w:pPr>
            <w:r>
              <w:t>Waldron</w:t>
            </w:r>
          </w:p>
        </w:tc>
      </w:tr>
      <w:tr w:rsidR="008A2EDE" w14:paraId="357C18C4" w14:textId="77777777">
        <w:trPr>
          <w:trHeight w:val="469"/>
        </w:trPr>
        <w:tc>
          <w:tcPr>
            <w:tcW w:w="1973" w:type="dxa"/>
          </w:tcPr>
          <w:p w14:paraId="57B372C7" w14:textId="77777777" w:rsidR="008A2EDE" w:rsidRDefault="00A50BD3">
            <w:pPr>
              <w:pStyle w:val="TableParagraph"/>
              <w:spacing w:before="59"/>
            </w:pPr>
            <w:r>
              <w:t>Ben</w:t>
            </w:r>
          </w:p>
        </w:tc>
        <w:tc>
          <w:tcPr>
            <w:tcW w:w="6528" w:type="dxa"/>
          </w:tcPr>
          <w:p w14:paraId="1A471EFA" w14:textId="77777777" w:rsidR="008A2EDE" w:rsidRDefault="00A50BD3">
            <w:pPr>
              <w:pStyle w:val="TableParagraph"/>
              <w:spacing w:before="59"/>
            </w:pPr>
            <w:r>
              <w:t>Heaton</w:t>
            </w:r>
          </w:p>
        </w:tc>
      </w:tr>
    </w:tbl>
    <w:p w14:paraId="74CED6AA" w14:textId="77777777" w:rsidR="008A2EDE" w:rsidRDefault="008A2EDE">
      <w:pPr>
        <w:sectPr w:rsidR="008A2EDE">
          <w:pgSz w:w="11900" w:h="16840"/>
          <w:pgMar w:top="1440" w:right="700" w:bottom="820" w:left="440" w:header="0" w:footer="558" w:gutter="0"/>
          <w:cols w:space="720"/>
        </w:sect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71B1012E" w14:textId="77777777">
        <w:trPr>
          <w:trHeight w:val="470"/>
        </w:trPr>
        <w:tc>
          <w:tcPr>
            <w:tcW w:w="1973" w:type="dxa"/>
          </w:tcPr>
          <w:p w14:paraId="3E0E3231" w14:textId="77777777" w:rsidR="008A2EDE" w:rsidRDefault="00A50BD3">
            <w:pPr>
              <w:pStyle w:val="TableParagraph"/>
              <w:spacing w:before="59"/>
              <w:rPr>
                <w:b/>
              </w:rPr>
            </w:pPr>
            <w:r>
              <w:rPr>
                <w:b/>
              </w:rPr>
              <w:lastRenderedPageBreak/>
              <w:t>First Name</w:t>
            </w:r>
          </w:p>
        </w:tc>
        <w:tc>
          <w:tcPr>
            <w:tcW w:w="6528" w:type="dxa"/>
          </w:tcPr>
          <w:p w14:paraId="41A85426" w14:textId="77777777" w:rsidR="008A2EDE" w:rsidRDefault="00A50BD3">
            <w:pPr>
              <w:pStyle w:val="TableParagraph"/>
              <w:spacing w:before="59"/>
              <w:ind w:left="110"/>
              <w:rPr>
                <w:b/>
              </w:rPr>
            </w:pPr>
            <w:r>
              <w:rPr>
                <w:b/>
              </w:rPr>
              <w:t>Surname</w:t>
            </w:r>
          </w:p>
        </w:tc>
      </w:tr>
      <w:tr w:rsidR="008A2EDE" w14:paraId="0754DA90" w14:textId="77777777">
        <w:trPr>
          <w:trHeight w:val="470"/>
        </w:trPr>
        <w:tc>
          <w:tcPr>
            <w:tcW w:w="1973" w:type="dxa"/>
          </w:tcPr>
          <w:p w14:paraId="2E873793" w14:textId="77777777" w:rsidR="008A2EDE" w:rsidRDefault="00A50BD3">
            <w:pPr>
              <w:pStyle w:val="TableParagraph"/>
              <w:spacing w:before="59"/>
            </w:pPr>
            <w:r>
              <w:t>Brad</w:t>
            </w:r>
          </w:p>
        </w:tc>
        <w:tc>
          <w:tcPr>
            <w:tcW w:w="6528" w:type="dxa"/>
          </w:tcPr>
          <w:p w14:paraId="146BD19B" w14:textId="77777777" w:rsidR="008A2EDE" w:rsidRDefault="00A50BD3">
            <w:pPr>
              <w:pStyle w:val="TableParagraph"/>
              <w:spacing w:before="59"/>
            </w:pPr>
            <w:r>
              <w:t>Gray</w:t>
            </w:r>
          </w:p>
        </w:tc>
      </w:tr>
      <w:tr w:rsidR="008A2EDE" w14:paraId="7B8898EA" w14:textId="77777777">
        <w:trPr>
          <w:trHeight w:val="470"/>
        </w:trPr>
        <w:tc>
          <w:tcPr>
            <w:tcW w:w="1973" w:type="dxa"/>
          </w:tcPr>
          <w:p w14:paraId="5D518314" w14:textId="77777777" w:rsidR="008A2EDE" w:rsidRDefault="00A50BD3">
            <w:pPr>
              <w:pStyle w:val="TableParagraph"/>
              <w:spacing w:before="59"/>
            </w:pPr>
            <w:r>
              <w:t>Caroline</w:t>
            </w:r>
          </w:p>
        </w:tc>
        <w:tc>
          <w:tcPr>
            <w:tcW w:w="6528" w:type="dxa"/>
          </w:tcPr>
          <w:p w14:paraId="1B1E7C05" w14:textId="77777777" w:rsidR="008A2EDE" w:rsidRDefault="00A50BD3">
            <w:pPr>
              <w:pStyle w:val="TableParagraph"/>
              <w:spacing w:before="59"/>
            </w:pPr>
            <w:r>
              <w:t>Seymour</w:t>
            </w:r>
          </w:p>
        </w:tc>
      </w:tr>
      <w:tr w:rsidR="008A2EDE" w14:paraId="3A0E7569" w14:textId="77777777">
        <w:trPr>
          <w:trHeight w:val="470"/>
        </w:trPr>
        <w:tc>
          <w:tcPr>
            <w:tcW w:w="1973" w:type="dxa"/>
          </w:tcPr>
          <w:p w14:paraId="425F45B0" w14:textId="77777777" w:rsidR="008A2EDE" w:rsidRDefault="00A50BD3">
            <w:pPr>
              <w:pStyle w:val="TableParagraph"/>
              <w:spacing w:before="59"/>
            </w:pPr>
            <w:r>
              <w:t>Christine</w:t>
            </w:r>
          </w:p>
        </w:tc>
        <w:tc>
          <w:tcPr>
            <w:tcW w:w="6528" w:type="dxa"/>
          </w:tcPr>
          <w:p w14:paraId="5C01545E" w14:textId="77777777" w:rsidR="008A2EDE" w:rsidRDefault="00A50BD3">
            <w:pPr>
              <w:pStyle w:val="TableParagraph"/>
              <w:spacing w:before="59"/>
            </w:pPr>
            <w:r>
              <w:t>Wanohr</w:t>
            </w:r>
          </w:p>
        </w:tc>
      </w:tr>
      <w:tr w:rsidR="008A2EDE" w14:paraId="77441B64" w14:textId="77777777">
        <w:trPr>
          <w:trHeight w:val="470"/>
        </w:trPr>
        <w:tc>
          <w:tcPr>
            <w:tcW w:w="1973" w:type="dxa"/>
          </w:tcPr>
          <w:p w14:paraId="57BB2020" w14:textId="77777777" w:rsidR="008A2EDE" w:rsidRDefault="00A50BD3">
            <w:pPr>
              <w:pStyle w:val="TableParagraph"/>
              <w:spacing w:before="59"/>
            </w:pPr>
            <w:r>
              <w:t>Craig</w:t>
            </w:r>
          </w:p>
        </w:tc>
        <w:tc>
          <w:tcPr>
            <w:tcW w:w="6528" w:type="dxa"/>
          </w:tcPr>
          <w:p w14:paraId="40CC4371" w14:textId="77777777" w:rsidR="008A2EDE" w:rsidRDefault="00A50BD3">
            <w:pPr>
              <w:pStyle w:val="TableParagraph"/>
              <w:spacing w:before="59"/>
            </w:pPr>
            <w:r>
              <w:t>Lewis</w:t>
            </w:r>
          </w:p>
        </w:tc>
      </w:tr>
      <w:tr w:rsidR="008A2EDE" w14:paraId="167AEEA2" w14:textId="77777777">
        <w:trPr>
          <w:trHeight w:val="470"/>
        </w:trPr>
        <w:tc>
          <w:tcPr>
            <w:tcW w:w="1973" w:type="dxa"/>
          </w:tcPr>
          <w:p w14:paraId="0ADBC743" w14:textId="77777777" w:rsidR="008A2EDE" w:rsidRDefault="00A50BD3">
            <w:pPr>
              <w:pStyle w:val="TableParagraph"/>
              <w:spacing w:before="59"/>
            </w:pPr>
            <w:r>
              <w:t>Darren</w:t>
            </w:r>
          </w:p>
        </w:tc>
        <w:tc>
          <w:tcPr>
            <w:tcW w:w="6528" w:type="dxa"/>
          </w:tcPr>
          <w:p w14:paraId="2C78199A" w14:textId="77777777" w:rsidR="008A2EDE" w:rsidRDefault="00A50BD3">
            <w:pPr>
              <w:pStyle w:val="TableParagraph"/>
              <w:spacing w:before="59"/>
            </w:pPr>
            <w:r>
              <w:t>Haigh</w:t>
            </w:r>
          </w:p>
        </w:tc>
      </w:tr>
      <w:tr w:rsidR="008A2EDE" w14:paraId="213C0AFC" w14:textId="77777777">
        <w:trPr>
          <w:trHeight w:val="470"/>
        </w:trPr>
        <w:tc>
          <w:tcPr>
            <w:tcW w:w="1973" w:type="dxa"/>
          </w:tcPr>
          <w:p w14:paraId="05216D7C" w14:textId="77777777" w:rsidR="008A2EDE" w:rsidRDefault="00A50BD3">
            <w:pPr>
              <w:pStyle w:val="TableParagraph"/>
              <w:spacing w:before="59"/>
            </w:pPr>
            <w:r>
              <w:t>David</w:t>
            </w:r>
          </w:p>
        </w:tc>
        <w:tc>
          <w:tcPr>
            <w:tcW w:w="6528" w:type="dxa"/>
          </w:tcPr>
          <w:p w14:paraId="6E71DD19" w14:textId="77777777" w:rsidR="008A2EDE" w:rsidRDefault="00A50BD3">
            <w:pPr>
              <w:pStyle w:val="TableParagraph"/>
              <w:spacing w:before="59"/>
            </w:pPr>
            <w:r>
              <w:t>Porter</w:t>
            </w:r>
          </w:p>
        </w:tc>
      </w:tr>
      <w:tr w:rsidR="008A2EDE" w14:paraId="07FF1E38" w14:textId="77777777">
        <w:trPr>
          <w:trHeight w:val="470"/>
        </w:trPr>
        <w:tc>
          <w:tcPr>
            <w:tcW w:w="1973" w:type="dxa"/>
          </w:tcPr>
          <w:p w14:paraId="177E259D" w14:textId="77777777" w:rsidR="008A2EDE" w:rsidRDefault="00A50BD3">
            <w:pPr>
              <w:pStyle w:val="TableParagraph"/>
              <w:spacing w:before="59"/>
            </w:pPr>
            <w:r>
              <w:t>David</w:t>
            </w:r>
          </w:p>
        </w:tc>
        <w:tc>
          <w:tcPr>
            <w:tcW w:w="6528" w:type="dxa"/>
          </w:tcPr>
          <w:p w14:paraId="5D75B720" w14:textId="77777777" w:rsidR="008A2EDE" w:rsidRDefault="00A50BD3">
            <w:pPr>
              <w:pStyle w:val="TableParagraph"/>
              <w:spacing w:before="59"/>
            </w:pPr>
            <w:r>
              <w:t>Waddell</w:t>
            </w:r>
          </w:p>
        </w:tc>
      </w:tr>
      <w:tr w:rsidR="008A2EDE" w14:paraId="42A96FD7" w14:textId="77777777">
        <w:trPr>
          <w:trHeight w:val="470"/>
        </w:trPr>
        <w:tc>
          <w:tcPr>
            <w:tcW w:w="1973" w:type="dxa"/>
          </w:tcPr>
          <w:p w14:paraId="61370AC8" w14:textId="77777777" w:rsidR="008A2EDE" w:rsidRDefault="00A50BD3">
            <w:pPr>
              <w:pStyle w:val="TableParagraph"/>
              <w:spacing w:before="59"/>
            </w:pPr>
            <w:r>
              <w:t>Garry</w:t>
            </w:r>
          </w:p>
        </w:tc>
        <w:tc>
          <w:tcPr>
            <w:tcW w:w="6528" w:type="dxa"/>
          </w:tcPr>
          <w:p w14:paraId="17A57C97" w14:textId="77777777" w:rsidR="008A2EDE" w:rsidRDefault="00A50BD3">
            <w:pPr>
              <w:pStyle w:val="TableParagraph"/>
              <w:spacing w:before="59"/>
            </w:pPr>
            <w:r>
              <w:t>McDonald</w:t>
            </w:r>
          </w:p>
        </w:tc>
      </w:tr>
      <w:tr w:rsidR="008A2EDE" w14:paraId="03825F3D" w14:textId="77777777">
        <w:trPr>
          <w:trHeight w:val="470"/>
        </w:trPr>
        <w:tc>
          <w:tcPr>
            <w:tcW w:w="1973" w:type="dxa"/>
          </w:tcPr>
          <w:p w14:paraId="793473C7" w14:textId="77777777" w:rsidR="008A2EDE" w:rsidRDefault="00A50BD3">
            <w:pPr>
              <w:pStyle w:val="TableParagraph"/>
              <w:spacing w:before="59"/>
            </w:pPr>
            <w:r>
              <w:t>Guy</w:t>
            </w:r>
          </w:p>
        </w:tc>
        <w:tc>
          <w:tcPr>
            <w:tcW w:w="6528" w:type="dxa"/>
          </w:tcPr>
          <w:p w14:paraId="6C4A8FFA" w14:textId="77777777" w:rsidR="008A2EDE" w:rsidRDefault="00A50BD3">
            <w:pPr>
              <w:pStyle w:val="TableParagraph"/>
              <w:spacing w:before="59"/>
            </w:pPr>
            <w:r>
              <w:t>Valentine</w:t>
            </w:r>
          </w:p>
        </w:tc>
      </w:tr>
      <w:tr w:rsidR="008A2EDE" w14:paraId="08D94A6A" w14:textId="77777777">
        <w:trPr>
          <w:trHeight w:val="470"/>
        </w:trPr>
        <w:tc>
          <w:tcPr>
            <w:tcW w:w="1973" w:type="dxa"/>
          </w:tcPr>
          <w:p w14:paraId="3B8C4C8D" w14:textId="77777777" w:rsidR="008A2EDE" w:rsidRDefault="00A50BD3">
            <w:pPr>
              <w:pStyle w:val="TableParagraph"/>
              <w:spacing w:before="59"/>
            </w:pPr>
            <w:r>
              <w:t>Hamish</w:t>
            </w:r>
          </w:p>
        </w:tc>
        <w:tc>
          <w:tcPr>
            <w:tcW w:w="6528" w:type="dxa"/>
          </w:tcPr>
          <w:p w14:paraId="10618934" w14:textId="77777777" w:rsidR="008A2EDE" w:rsidRDefault="00A50BD3">
            <w:pPr>
              <w:pStyle w:val="TableParagraph"/>
              <w:spacing w:before="59"/>
            </w:pPr>
            <w:r>
              <w:t>McColl</w:t>
            </w:r>
          </w:p>
        </w:tc>
      </w:tr>
      <w:tr w:rsidR="008A2EDE" w14:paraId="638C6F7F" w14:textId="77777777">
        <w:trPr>
          <w:trHeight w:val="470"/>
        </w:trPr>
        <w:tc>
          <w:tcPr>
            <w:tcW w:w="1973" w:type="dxa"/>
          </w:tcPr>
          <w:p w14:paraId="130872AB" w14:textId="77777777" w:rsidR="008A2EDE" w:rsidRDefault="00A50BD3">
            <w:pPr>
              <w:pStyle w:val="TableParagraph"/>
              <w:spacing w:before="59"/>
            </w:pPr>
            <w:r>
              <w:t>John</w:t>
            </w:r>
          </w:p>
        </w:tc>
        <w:tc>
          <w:tcPr>
            <w:tcW w:w="6528" w:type="dxa"/>
          </w:tcPr>
          <w:p w14:paraId="4623B967" w14:textId="77777777" w:rsidR="008A2EDE" w:rsidRDefault="00A50BD3">
            <w:pPr>
              <w:pStyle w:val="TableParagraph"/>
              <w:spacing w:before="59"/>
            </w:pPr>
            <w:r>
              <w:t>Irvin</w:t>
            </w:r>
          </w:p>
        </w:tc>
      </w:tr>
      <w:tr w:rsidR="008A2EDE" w14:paraId="293B8AF2" w14:textId="77777777">
        <w:trPr>
          <w:trHeight w:val="470"/>
        </w:trPr>
        <w:tc>
          <w:tcPr>
            <w:tcW w:w="1973" w:type="dxa"/>
          </w:tcPr>
          <w:p w14:paraId="1D9E3521" w14:textId="77777777" w:rsidR="008A2EDE" w:rsidRDefault="00A50BD3">
            <w:pPr>
              <w:pStyle w:val="TableParagraph"/>
              <w:spacing w:before="59"/>
            </w:pPr>
            <w:r>
              <w:t>Mark</w:t>
            </w:r>
          </w:p>
        </w:tc>
        <w:tc>
          <w:tcPr>
            <w:tcW w:w="6528" w:type="dxa"/>
          </w:tcPr>
          <w:p w14:paraId="5968EC3B" w14:textId="77777777" w:rsidR="008A2EDE" w:rsidRDefault="00A50BD3">
            <w:pPr>
              <w:pStyle w:val="TableParagraph"/>
              <w:spacing w:before="59"/>
            </w:pPr>
            <w:r>
              <w:t>Lewis</w:t>
            </w:r>
          </w:p>
        </w:tc>
      </w:tr>
      <w:tr w:rsidR="008A2EDE" w14:paraId="04731E57" w14:textId="77777777">
        <w:trPr>
          <w:trHeight w:val="470"/>
        </w:trPr>
        <w:tc>
          <w:tcPr>
            <w:tcW w:w="1973" w:type="dxa"/>
          </w:tcPr>
          <w:p w14:paraId="6C4E34E3" w14:textId="77777777" w:rsidR="008A2EDE" w:rsidRDefault="00A50BD3">
            <w:pPr>
              <w:pStyle w:val="TableParagraph"/>
              <w:spacing w:before="59"/>
            </w:pPr>
            <w:r>
              <w:t>Martin</w:t>
            </w:r>
          </w:p>
        </w:tc>
        <w:tc>
          <w:tcPr>
            <w:tcW w:w="6528" w:type="dxa"/>
          </w:tcPr>
          <w:p w14:paraId="0F4FD38A" w14:textId="77777777" w:rsidR="008A2EDE" w:rsidRDefault="00A50BD3">
            <w:pPr>
              <w:pStyle w:val="TableParagraph"/>
              <w:spacing w:before="59"/>
            </w:pPr>
            <w:r>
              <w:t>O`Rourke</w:t>
            </w:r>
          </w:p>
        </w:tc>
      </w:tr>
      <w:tr w:rsidR="008A2EDE" w14:paraId="702D2172" w14:textId="77777777">
        <w:trPr>
          <w:trHeight w:val="470"/>
        </w:trPr>
        <w:tc>
          <w:tcPr>
            <w:tcW w:w="1973" w:type="dxa"/>
          </w:tcPr>
          <w:p w14:paraId="4F5FB4D7" w14:textId="77777777" w:rsidR="008A2EDE" w:rsidRDefault="00A50BD3">
            <w:pPr>
              <w:pStyle w:val="TableParagraph"/>
              <w:spacing w:before="59"/>
            </w:pPr>
            <w:r>
              <w:t>Matthew</w:t>
            </w:r>
          </w:p>
        </w:tc>
        <w:tc>
          <w:tcPr>
            <w:tcW w:w="6528" w:type="dxa"/>
          </w:tcPr>
          <w:p w14:paraId="25A96FA7" w14:textId="77777777" w:rsidR="008A2EDE" w:rsidRDefault="00A50BD3">
            <w:pPr>
              <w:pStyle w:val="TableParagraph"/>
              <w:spacing w:before="59"/>
            </w:pPr>
            <w:r>
              <w:t>Hobbs</w:t>
            </w:r>
          </w:p>
        </w:tc>
      </w:tr>
      <w:tr w:rsidR="008A2EDE" w14:paraId="489E2C25" w14:textId="77777777">
        <w:trPr>
          <w:trHeight w:val="470"/>
        </w:trPr>
        <w:tc>
          <w:tcPr>
            <w:tcW w:w="1973" w:type="dxa"/>
          </w:tcPr>
          <w:p w14:paraId="0E691312" w14:textId="77777777" w:rsidR="008A2EDE" w:rsidRDefault="00A50BD3">
            <w:pPr>
              <w:pStyle w:val="TableParagraph"/>
              <w:spacing w:before="59"/>
            </w:pPr>
            <w:r>
              <w:t>Michael</w:t>
            </w:r>
          </w:p>
        </w:tc>
        <w:tc>
          <w:tcPr>
            <w:tcW w:w="6528" w:type="dxa"/>
          </w:tcPr>
          <w:p w14:paraId="700D485E" w14:textId="77777777" w:rsidR="008A2EDE" w:rsidRDefault="00A50BD3">
            <w:pPr>
              <w:pStyle w:val="TableParagraph"/>
              <w:spacing w:before="59"/>
            </w:pPr>
            <w:r>
              <w:t>Lynch</w:t>
            </w:r>
          </w:p>
        </w:tc>
      </w:tr>
      <w:tr w:rsidR="008A2EDE" w14:paraId="5CB8A23C" w14:textId="77777777">
        <w:trPr>
          <w:trHeight w:val="470"/>
        </w:trPr>
        <w:tc>
          <w:tcPr>
            <w:tcW w:w="1973" w:type="dxa"/>
          </w:tcPr>
          <w:p w14:paraId="771053CA" w14:textId="77777777" w:rsidR="008A2EDE" w:rsidRDefault="00A50BD3">
            <w:pPr>
              <w:pStyle w:val="TableParagraph"/>
              <w:spacing w:before="59"/>
            </w:pPr>
            <w:r>
              <w:t>Mike</w:t>
            </w:r>
          </w:p>
        </w:tc>
        <w:tc>
          <w:tcPr>
            <w:tcW w:w="6528" w:type="dxa"/>
          </w:tcPr>
          <w:p w14:paraId="486B701B" w14:textId="77777777" w:rsidR="008A2EDE" w:rsidRDefault="00A50BD3">
            <w:pPr>
              <w:pStyle w:val="TableParagraph"/>
              <w:spacing w:before="59"/>
            </w:pPr>
            <w:r>
              <w:t>Sheppard</w:t>
            </w:r>
          </w:p>
        </w:tc>
      </w:tr>
      <w:tr w:rsidR="008A2EDE" w14:paraId="249879E9" w14:textId="77777777">
        <w:trPr>
          <w:trHeight w:val="470"/>
        </w:trPr>
        <w:tc>
          <w:tcPr>
            <w:tcW w:w="1973" w:type="dxa"/>
          </w:tcPr>
          <w:p w14:paraId="3234BD40" w14:textId="77777777" w:rsidR="008A2EDE" w:rsidRDefault="00A50BD3">
            <w:pPr>
              <w:pStyle w:val="TableParagraph"/>
              <w:spacing w:before="59"/>
            </w:pPr>
            <w:r>
              <w:t>Nicole</w:t>
            </w:r>
          </w:p>
        </w:tc>
        <w:tc>
          <w:tcPr>
            <w:tcW w:w="6528" w:type="dxa"/>
          </w:tcPr>
          <w:p w14:paraId="2C4D17D8" w14:textId="77777777" w:rsidR="008A2EDE" w:rsidRDefault="00A50BD3">
            <w:pPr>
              <w:pStyle w:val="TableParagraph"/>
              <w:spacing w:before="59"/>
            </w:pPr>
            <w:r>
              <w:t>Aleckson</w:t>
            </w:r>
          </w:p>
        </w:tc>
      </w:tr>
      <w:tr w:rsidR="008A2EDE" w14:paraId="004C9F69" w14:textId="77777777">
        <w:trPr>
          <w:trHeight w:val="470"/>
        </w:trPr>
        <w:tc>
          <w:tcPr>
            <w:tcW w:w="1973" w:type="dxa"/>
          </w:tcPr>
          <w:p w14:paraId="08899B37" w14:textId="77777777" w:rsidR="008A2EDE" w:rsidRDefault="00A50BD3">
            <w:pPr>
              <w:pStyle w:val="TableParagraph"/>
              <w:spacing w:before="59"/>
            </w:pPr>
            <w:r>
              <w:t>Paul</w:t>
            </w:r>
          </w:p>
        </w:tc>
        <w:tc>
          <w:tcPr>
            <w:tcW w:w="6528" w:type="dxa"/>
          </w:tcPr>
          <w:p w14:paraId="22144FF8" w14:textId="77777777" w:rsidR="008A2EDE" w:rsidRDefault="00A50BD3">
            <w:pPr>
              <w:pStyle w:val="TableParagraph"/>
              <w:spacing w:before="59"/>
            </w:pPr>
            <w:r>
              <w:t>Holdway</w:t>
            </w:r>
          </w:p>
        </w:tc>
      </w:tr>
      <w:tr w:rsidR="008A2EDE" w14:paraId="35FA34F8" w14:textId="77777777">
        <w:trPr>
          <w:trHeight w:val="470"/>
        </w:trPr>
        <w:tc>
          <w:tcPr>
            <w:tcW w:w="1973" w:type="dxa"/>
          </w:tcPr>
          <w:p w14:paraId="168C291B" w14:textId="77777777" w:rsidR="008A2EDE" w:rsidRDefault="00A50BD3">
            <w:pPr>
              <w:pStyle w:val="TableParagraph"/>
              <w:spacing w:before="59"/>
            </w:pPr>
            <w:r>
              <w:t>Peter</w:t>
            </w:r>
          </w:p>
        </w:tc>
        <w:tc>
          <w:tcPr>
            <w:tcW w:w="6528" w:type="dxa"/>
          </w:tcPr>
          <w:p w14:paraId="1A11BFDD" w14:textId="77777777" w:rsidR="008A2EDE" w:rsidRDefault="00A50BD3">
            <w:pPr>
              <w:pStyle w:val="TableParagraph"/>
              <w:spacing w:before="59"/>
            </w:pPr>
            <w:r>
              <w:t>Forsingdal</w:t>
            </w:r>
          </w:p>
        </w:tc>
      </w:tr>
      <w:tr w:rsidR="008A2EDE" w14:paraId="67142FEF" w14:textId="77777777">
        <w:trPr>
          <w:trHeight w:val="470"/>
        </w:trPr>
        <w:tc>
          <w:tcPr>
            <w:tcW w:w="1973" w:type="dxa"/>
          </w:tcPr>
          <w:p w14:paraId="5ACED628" w14:textId="77777777" w:rsidR="008A2EDE" w:rsidRDefault="00A50BD3">
            <w:pPr>
              <w:pStyle w:val="TableParagraph"/>
              <w:spacing w:before="59"/>
            </w:pPr>
            <w:r>
              <w:t>Peter</w:t>
            </w:r>
          </w:p>
        </w:tc>
        <w:tc>
          <w:tcPr>
            <w:tcW w:w="6528" w:type="dxa"/>
          </w:tcPr>
          <w:p w14:paraId="4BFA9432" w14:textId="77777777" w:rsidR="008A2EDE" w:rsidRDefault="00A50BD3">
            <w:pPr>
              <w:pStyle w:val="TableParagraph"/>
              <w:spacing w:before="59"/>
            </w:pPr>
            <w:r>
              <w:t>Hayter</w:t>
            </w:r>
          </w:p>
        </w:tc>
      </w:tr>
      <w:tr w:rsidR="008A2EDE" w14:paraId="1D90E58F" w14:textId="77777777">
        <w:trPr>
          <w:trHeight w:val="470"/>
        </w:trPr>
        <w:tc>
          <w:tcPr>
            <w:tcW w:w="1973" w:type="dxa"/>
          </w:tcPr>
          <w:p w14:paraId="0C7FC1A3" w14:textId="77777777" w:rsidR="008A2EDE" w:rsidRDefault="00A50BD3">
            <w:pPr>
              <w:pStyle w:val="TableParagraph"/>
              <w:spacing w:before="59"/>
            </w:pPr>
            <w:r>
              <w:t>Robert</w:t>
            </w:r>
          </w:p>
        </w:tc>
        <w:tc>
          <w:tcPr>
            <w:tcW w:w="6528" w:type="dxa"/>
          </w:tcPr>
          <w:p w14:paraId="1C344D94" w14:textId="77777777" w:rsidR="008A2EDE" w:rsidRDefault="00A50BD3">
            <w:pPr>
              <w:pStyle w:val="TableParagraph"/>
              <w:spacing w:before="59"/>
            </w:pPr>
            <w:r>
              <w:t>Ropati</w:t>
            </w:r>
          </w:p>
        </w:tc>
      </w:tr>
      <w:tr w:rsidR="008A2EDE" w14:paraId="4F9F3D6E" w14:textId="77777777">
        <w:trPr>
          <w:trHeight w:val="470"/>
        </w:trPr>
        <w:tc>
          <w:tcPr>
            <w:tcW w:w="1973" w:type="dxa"/>
          </w:tcPr>
          <w:p w14:paraId="5AC35AAA" w14:textId="77777777" w:rsidR="008A2EDE" w:rsidRDefault="00A50BD3">
            <w:pPr>
              <w:pStyle w:val="TableParagraph"/>
              <w:spacing w:before="59"/>
            </w:pPr>
            <w:r>
              <w:t>Russel</w:t>
            </w:r>
          </w:p>
        </w:tc>
        <w:tc>
          <w:tcPr>
            <w:tcW w:w="6528" w:type="dxa"/>
          </w:tcPr>
          <w:p w14:paraId="137A230C" w14:textId="77777777" w:rsidR="008A2EDE" w:rsidRDefault="00A50BD3">
            <w:pPr>
              <w:pStyle w:val="TableParagraph"/>
              <w:spacing w:before="59"/>
            </w:pPr>
            <w:r>
              <w:t>Warde</w:t>
            </w:r>
          </w:p>
        </w:tc>
      </w:tr>
      <w:tr w:rsidR="008A2EDE" w14:paraId="23BE0FA0" w14:textId="77777777">
        <w:trPr>
          <w:trHeight w:val="470"/>
        </w:trPr>
        <w:tc>
          <w:tcPr>
            <w:tcW w:w="1973" w:type="dxa"/>
          </w:tcPr>
          <w:p w14:paraId="2B047609" w14:textId="77777777" w:rsidR="008A2EDE" w:rsidRDefault="00A50BD3">
            <w:pPr>
              <w:pStyle w:val="TableParagraph"/>
              <w:spacing w:before="59"/>
            </w:pPr>
            <w:r>
              <w:t>Tim</w:t>
            </w:r>
          </w:p>
        </w:tc>
        <w:tc>
          <w:tcPr>
            <w:tcW w:w="6528" w:type="dxa"/>
          </w:tcPr>
          <w:p w14:paraId="6530FF46" w14:textId="77777777" w:rsidR="008A2EDE" w:rsidRDefault="00A50BD3">
            <w:pPr>
              <w:pStyle w:val="TableParagraph"/>
              <w:spacing w:before="59"/>
            </w:pPr>
            <w:r>
              <w:t>Harris</w:t>
            </w:r>
          </w:p>
        </w:tc>
      </w:tr>
      <w:tr w:rsidR="008A2EDE" w14:paraId="233D50BD" w14:textId="77777777">
        <w:trPr>
          <w:trHeight w:val="470"/>
        </w:trPr>
        <w:tc>
          <w:tcPr>
            <w:tcW w:w="1973" w:type="dxa"/>
          </w:tcPr>
          <w:p w14:paraId="4D6A35E1" w14:textId="77777777" w:rsidR="008A2EDE" w:rsidRDefault="00A50BD3">
            <w:pPr>
              <w:pStyle w:val="TableParagraph"/>
              <w:spacing w:before="59"/>
            </w:pPr>
            <w:r>
              <w:t>Tony</w:t>
            </w:r>
          </w:p>
        </w:tc>
        <w:tc>
          <w:tcPr>
            <w:tcW w:w="6528" w:type="dxa"/>
          </w:tcPr>
          <w:p w14:paraId="7EA1E0E3" w14:textId="77777777" w:rsidR="008A2EDE" w:rsidRDefault="00A50BD3">
            <w:pPr>
              <w:pStyle w:val="TableParagraph"/>
              <w:spacing w:before="59"/>
            </w:pPr>
            <w:r>
              <w:t>Saad</w:t>
            </w:r>
          </w:p>
        </w:tc>
      </w:tr>
      <w:tr w:rsidR="008A2EDE" w14:paraId="7AF1DEE5" w14:textId="77777777">
        <w:trPr>
          <w:trHeight w:val="470"/>
        </w:trPr>
        <w:tc>
          <w:tcPr>
            <w:tcW w:w="1973" w:type="dxa"/>
          </w:tcPr>
          <w:p w14:paraId="024F2846" w14:textId="77777777" w:rsidR="008A2EDE" w:rsidRDefault="00A50BD3">
            <w:pPr>
              <w:pStyle w:val="TableParagraph"/>
              <w:spacing w:before="59"/>
            </w:pPr>
            <w:r>
              <w:t>Trevor</w:t>
            </w:r>
          </w:p>
        </w:tc>
        <w:tc>
          <w:tcPr>
            <w:tcW w:w="6528" w:type="dxa"/>
          </w:tcPr>
          <w:p w14:paraId="31C8AF17" w14:textId="77777777" w:rsidR="008A2EDE" w:rsidRDefault="00A50BD3">
            <w:pPr>
              <w:pStyle w:val="TableParagraph"/>
              <w:spacing w:before="59"/>
            </w:pPr>
            <w:r>
              <w:t>Howard</w:t>
            </w:r>
          </w:p>
        </w:tc>
      </w:tr>
    </w:tbl>
    <w:p w14:paraId="2C00EA5C" w14:textId="77777777" w:rsidR="008A2EDE" w:rsidRDefault="008A2EDE">
      <w:pPr>
        <w:sectPr w:rsidR="008A2EDE">
          <w:pgSz w:w="11900" w:h="16840"/>
          <w:pgMar w:top="1440" w:right="700" w:bottom="740" w:left="440" w:header="0" w:footer="558" w:gutter="0"/>
          <w:cols w:space="720"/>
        </w:sectPr>
      </w:pPr>
    </w:p>
    <w:p w14:paraId="3A2B85F1" w14:textId="77777777" w:rsidR="008A2EDE" w:rsidRDefault="008A2EDE">
      <w:pPr>
        <w:pStyle w:val="BodyText"/>
        <w:spacing w:before="10"/>
      </w:pPr>
    </w:p>
    <w:p w14:paraId="32BE4312" w14:textId="77777777" w:rsidR="008A2EDE" w:rsidRDefault="00A50BD3">
      <w:pPr>
        <w:pStyle w:val="BodyText"/>
        <w:spacing w:before="100"/>
        <w:ind w:left="1259" w:right="6817"/>
      </w:pPr>
      <w:r>
        <w:t>Location: Melbourne, Victoria Date: 16 November 2018</w:t>
      </w:r>
    </w:p>
    <w:p w14:paraId="481FDF2F" w14:textId="77777777" w:rsidR="008A2EDE" w:rsidRDefault="008A2EDE">
      <w:pPr>
        <w:pStyle w:val="BodyText"/>
        <w:spacing w:before="11" w:after="1"/>
        <w:rPr>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64B1E923" w14:textId="77777777">
        <w:trPr>
          <w:trHeight w:val="470"/>
        </w:trPr>
        <w:tc>
          <w:tcPr>
            <w:tcW w:w="1973" w:type="dxa"/>
          </w:tcPr>
          <w:p w14:paraId="09C1D928" w14:textId="77777777" w:rsidR="008A2EDE" w:rsidRDefault="00A50BD3">
            <w:pPr>
              <w:pStyle w:val="TableParagraph"/>
              <w:spacing w:before="59"/>
              <w:rPr>
                <w:b/>
              </w:rPr>
            </w:pPr>
            <w:r>
              <w:rPr>
                <w:b/>
              </w:rPr>
              <w:t>First Name</w:t>
            </w:r>
          </w:p>
        </w:tc>
        <w:tc>
          <w:tcPr>
            <w:tcW w:w="6528" w:type="dxa"/>
          </w:tcPr>
          <w:p w14:paraId="6CB48728" w14:textId="77777777" w:rsidR="008A2EDE" w:rsidRDefault="00A50BD3">
            <w:pPr>
              <w:pStyle w:val="TableParagraph"/>
              <w:spacing w:before="59"/>
              <w:ind w:left="110"/>
              <w:rPr>
                <w:b/>
              </w:rPr>
            </w:pPr>
            <w:r>
              <w:rPr>
                <w:b/>
              </w:rPr>
              <w:t>Surname</w:t>
            </w:r>
          </w:p>
        </w:tc>
      </w:tr>
      <w:tr w:rsidR="008A2EDE" w14:paraId="208A0412" w14:textId="77777777">
        <w:trPr>
          <w:trHeight w:val="470"/>
        </w:trPr>
        <w:tc>
          <w:tcPr>
            <w:tcW w:w="1973" w:type="dxa"/>
          </w:tcPr>
          <w:p w14:paraId="1849DB3A" w14:textId="77777777" w:rsidR="008A2EDE" w:rsidRDefault="00A50BD3">
            <w:pPr>
              <w:pStyle w:val="TableParagraph"/>
              <w:spacing w:before="59"/>
            </w:pPr>
            <w:r>
              <w:t>Adam</w:t>
            </w:r>
          </w:p>
        </w:tc>
        <w:tc>
          <w:tcPr>
            <w:tcW w:w="6528" w:type="dxa"/>
          </w:tcPr>
          <w:p w14:paraId="646C0F0B" w14:textId="77777777" w:rsidR="008A2EDE" w:rsidRDefault="00A50BD3">
            <w:pPr>
              <w:pStyle w:val="TableParagraph"/>
              <w:spacing w:before="59"/>
            </w:pPr>
            <w:r>
              <w:t>Laxton</w:t>
            </w:r>
          </w:p>
        </w:tc>
      </w:tr>
      <w:tr w:rsidR="008A2EDE" w14:paraId="6388386A" w14:textId="77777777">
        <w:trPr>
          <w:trHeight w:val="470"/>
        </w:trPr>
        <w:tc>
          <w:tcPr>
            <w:tcW w:w="1973" w:type="dxa"/>
          </w:tcPr>
          <w:p w14:paraId="69CAEFAB" w14:textId="77777777" w:rsidR="008A2EDE" w:rsidRDefault="00A50BD3">
            <w:pPr>
              <w:pStyle w:val="TableParagraph"/>
              <w:spacing w:before="59"/>
            </w:pPr>
            <w:r>
              <w:t>Andrew</w:t>
            </w:r>
          </w:p>
        </w:tc>
        <w:tc>
          <w:tcPr>
            <w:tcW w:w="6528" w:type="dxa"/>
          </w:tcPr>
          <w:p w14:paraId="295957C0" w14:textId="77777777" w:rsidR="008A2EDE" w:rsidRDefault="00A50BD3">
            <w:pPr>
              <w:pStyle w:val="TableParagraph"/>
              <w:spacing w:before="59"/>
            </w:pPr>
            <w:r>
              <w:t>Gilchrist</w:t>
            </w:r>
          </w:p>
        </w:tc>
      </w:tr>
      <w:tr w:rsidR="008A2EDE" w14:paraId="346C42AC" w14:textId="77777777">
        <w:trPr>
          <w:trHeight w:val="470"/>
        </w:trPr>
        <w:tc>
          <w:tcPr>
            <w:tcW w:w="1973" w:type="dxa"/>
          </w:tcPr>
          <w:p w14:paraId="7BE92846" w14:textId="77777777" w:rsidR="008A2EDE" w:rsidRDefault="00A50BD3">
            <w:pPr>
              <w:pStyle w:val="TableParagraph"/>
              <w:spacing w:before="59"/>
            </w:pPr>
            <w:r>
              <w:t>Ben</w:t>
            </w:r>
          </w:p>
        </w:tc>
        <w:tc>
          <w:tcPr>
            <w:tcW w:w="6528" w:type="dxa"/>
          </w:tcPr>
          <w:p w14:paraId="3ABB099B" w14:textId="77777777" w:rsidR="008A2EDE" w:rsidRDefault="00A50BD3">
            <w:pPr>
              <w:pStyle w:val="TableParagraph"/>
              <w:spacing w:before="59"/>
            </w:pPr>
            <w:r>
              <w:t>King</w:t>
            </w:r>
          </w:p>
        </w:tc>
      </w:tr>
      <w:tr w:rsidR="008A2EDE" w14:paraId="66D4AC83" w14:textId="77777777">
        <w:trPr>
          <w:trHeight w:val="470"/>
        </w:trPr>
        <w:tc>
          <w:tcPr>
            <w:tcW w:w="1973" w:type="dxa"/>
          </w:tcPr>
          <w:p w14:paraId="38467F46" w14:textId="77777777" w:rsidR="008A2EDE" w:rsidRDefault="00A50BD3">
            <w:pPr>
              <w:pStyle w:val="TableParagraph"/>
              <w:spacing w:before="59"/>
            </w:pPr>
            <w:r>
              <w:t>Brad</w:t>
            </w:r>
          </w:p>
        </w:tc>
        <w:tc>
          <w:tcPr>
            <w:tcW w:w="6528" w:type="dxa"/>
          </w:tcPr>
          <w:p w14:paraId="038D8284" w14:textId="77777777" w:rsidR="008A2EDE" w:rsidRDefault="00A50BD3">
            <w:pPr>
              <w:pStyle w:val="TableParagraph"/>
              <w:spacing w:before="59"/>
            </w:pPr>
            <w:r>
              <w:t>Ryan</w:t>
            </w:r>
          </w:p>
        </w:tc>
      </w:tr>
      <w:tr w:rsidR="008A2EDE" w14:paraId="2F436E9F" w14:textId="77777777">
        <w:trPr>
          <w:trHeight w:val="470"/>
        </w:trPr>
        <w:tc>
          <w:tcPr>
            <w:tcW w:w="1973" w:type="dxa"/>
          </w:tcPr>
          <w:p w14:paraId="07EAFE07" w14:textId="77777777" w:rsidR="008A2EDE" w:rsidRDefault="00A50BD3">
            <w:pPr>
              <w:pStyle w:val="TableParagraph"/>
              <w:spacing w:before="59"/>
            </w:pPr>
            <w:r>
              <w:t>Chee</w:t>
            </w:r>
          </w:p>
        </w:tc>
        <w:tc>
          <w:tcPr>
            <w:tcW w:w="6528" w:type="dxa"/>
          </w:tcPr>
          <w:p w14:paraId="5D1FFD40" w14:textId="77777777" w:rsidR="008A2EDE" w:rsidRDefault="00A50BD3">
            <w:pPr>
              <w:pStyle w:val="TableParagraph"/>
              <w:spacing w:before="59"/>
            </w:pPr>
            <w:r>
              <w:t>Ng</w:t>
            </w:r>
          </w:p>
        </w:tc>
      </w:tr>
      <w:tr w:rsidR="008A2EDE" w14:paraId="3D82CD9C" w14:textId="77777777">
        <w:trPr>
          <w:trHeight w:val="470"/>
        </w:trPr>
        <w:tc>
          <w:tcPr>
            <w:tcW w:w="1973" w:type="dxa"/>
          </w:tcPr>
          <w:p w14:paraId="48F79298" w14:textId="77777777" w:rsidR="008A2EDE" w:rsidRDefault="00A50BD3">
            <w:pPr>
              <w:pStyle w:val="TableParagraph"/>
              <w:spacing w:before="59"/>
            </w:pPr>
            <w:r>
              <w:t>Chris</w:t>
            </w:r>
          </w:p>
        </w:tc>
        <w:tc>
          <w:tcPr>
            <w:tcW w:w="6528" w:type="dxa"/>
          </w:tcPr>
          <w:p w14:paraId="5CBF99F9" w14:textId="77777777" w:rsidR="008A2EDE" w:rsidRDefault="00A50BD3">
            <w:pPr>
              <w:pStyle w:val="TableParagraph"/>
              <w:spacing w:before="59"/>
            </w:pPr>
            <w:r>
              <w:t>Holloway</w:t>
            </w:r>
          </w:p>
        </w:tc>
      </w:tr>
      <w:tr w:rsidR="008A2EDE" w14:paraId="60C22ED0" w14:textId="77777777">
        <w:trPr>
          <w:trHeight w:val="469"/>
        </w:trPr>
        <w:tc>
          <w:tcPr>
            <w:tcW w:w="1973" w:type="dxa"/>
          </w:tcPr>
          <w:p w14:paraId="5E169F94" w14:textId="77777777" w:rsidR="008A2EDE" w:rsidRDefault="00A50BD3">
            <w:pPr>
              <w:pStyle w:val="TableParagraph"/>
              <w:spacing w:before="59"/>
            </w:pPr>
            <w:r>
              <w:t>Corey</w:t>
            </w:r>
          </w:p>
        </w:tc>
        <w:tc>
          <w:tcPr>
            <w:tcW w:w="6528" w:type="dxa"/>
          </w:tcPr>
          <w:p w14:paraId="24F4DCAA" w14:textId="77777777" w:rsidR="008A2EDE" w:rsidRDefault="00A50BD3">
            <w:pPr>
              <w:pStyle w:val="TableParagraph"/>
              <w:spacing w:before="59"/>
            </w:pPr>
            <w:r>
              <w:t>Ward</w:t>
            </w:r>
          </w:p>
        </w:tc>
      </w:tr>
      <w:tr w:rsidR="008A2EDE" w14:paraId="2FFCD42C" w14:textId="77777777">
        <w:trPr>
          <w:trHeight w:val="470"/>
        </w:trPr>
        <w:tc>
          <w:tcPr>
            <w:tcW w:w="1973" w:type="dxa"/>
          </w:tcPr>
          <w:p w14:paraId="148ABF3A" w14:textId="77777777" w:rsidR="008A2EDE" w:rsidRDefault="00A50BD3">
            <w:pPr>
              <w:pStyle w:val="TableParagraph"/>
              <w:spacing w:before="59"/>
            </w:pPr>
            <w:r>
              <w:t>Craig</w:t>
            </w:r>
          </w:p>
        </w:tc>
        <w:tc>
          <w:tcPr>
            <w:tcW w:w="6528" w:type="dxa"/>
          </w:tcPr>
          <w:p w14:paraId="29D6C97F" w14:textId="77777777" w:rsidR="008A2EDE" w:rsidRDefault="00A50BD3">
            <w:pPr>
              <w:pStyle w:val="TableParagraph"/>
              <w:spacing w:before="59"/>
            </w:pPr>
            <w:r>
              <w:t>Keating</w:t>
            </w:r>
          </w:p>
        </w:tc>
      </w:tr>
      <w:tr w:rsidR="008A2EDE" w14:paraId="36CC6B97" w14:textId="77777777">
        <w:trPr>
          <w:trHeight w:val="470"/>
        </w:trPr>
        <w:tc>
          <w:tcPr>
            <w:tcW w:w="1973" w:type="dxa"/>
          </w:tcPr>
          <w:p w14:paraId="116456F5" w14:textId="77777777" w:rsidR="008A2EDE" w:rsidRDefault="00A50BD3">
            <w:pPr>
              <w:pStyle w:val="TableParagraph"/>
              <w:spacing w:before="59"/>
            </w:pPr>
            <w:r>
              <w:t>Daniel</w:t>
            </w:r>
          </w:p>
        </w:tc>
        <w:tc>
          <w:tcPr>
            <w:tcW w:w="6528" w:type="dxa"/>
          </w:tcPr>
          <w:p w14:paraId="5168A69B" w14:textId="77777777" w:rsidR="008A2EDE" w:rsidRDefault="00A50BD3">
            <w:pPr>
              <w:pStyle w:val="TableParagraph"/>
              <w:spacing w:before="59"/>
            </w:pPr>
            <w:r>
              <w:t>Bonnici</w:t>
            </w:r>
          </w:p>
        </w:tc>
      </w:tr>
      <w:tr w:rsidR="008A2EDE" w14:paraId="61BA4FE4" w14:textId="77777777">
        <w:trPr>
          <w:trHeight w:val="470"/>
        </w:trPr>
        <w:tc>
          <w:tcPr>
            <w:tcW w:w="1973" w:type="dxa"/>
          </w:tcPr>
          <w:p w14:paraId="5B484D2E" w14:textId="77777777" w:rsidR="008A2EDE" w:rsidRDefault="00A50BD3">
            <w:pPr>
              <w:pStyle w:val="TableParagraph"/>
              <w:spacing w:before="59"/>
            </w:pPr>
            <w:r>
              <w:t>David</w:t>
            </w:r>
          </w:p>
        </w:tc>
        <w:tc>
          <w:tcPr>
            <w:tcW w:w="6528" w:type="dxa"/>
          </w:tcPr>
          <w:p w14:paraId="7FC5C8EE" w14:textId="77777777" w:rsidR="008A2EDE" w:rsidRDefault="00A50BD3">
            <w:pPr>
              <w:pStyle w:val="TableParagraph"/>
              <w:spacing w:before="59"/>
            </w:pPr>
            <w:r>
              <w:t>Uebergang</w:t>
            </w:r>
          </w:p>
        </w:tc>
      </w:tr>
      <w:tr w:rsidR="008A2EDE" w14:paraId="4C08E533" w14:textId="77777777">
        <w:trPr>
          <w:trHeight w:val="470"/>
        </w:trPr>
        <w:tc>
          <w:tcPr>
            <w:tcW w:w="1973" w:type="dxa"/>
          </w:tcPr>
          <w:p w14:paraId="4397BA5D" w14:textId="77777777" w:rsidR="008A2EDE" w:rsidRDefault="00A50BD3">
            <w:pPr>
              <w:pStyle w:val="TableParagraph"/>
              <w:spacing w:before="59"/>
            </w:pPr>
            <w:r>
              <w:t>Dorothy</w:t>
            </w:r>
          </w:p>
        </w:tc>
        <w:tc>
          <w:tcPr>
            <w:tcW w:w="6528" w:type="dxa"/>
          </w:tcPr>
          <w:p w14:paraId="2ED56823" w14:textId="77777777" w:rsidR="008A2EDE" w:rsidRDefault="00A50BD3">
            <w:pPr>
              <w:pStyle w:val="TableParagraph"/>
              <w:spacing w:before="59"/>
            </w:pPr>
            <w:r>
              <w:t>Bakers</w:t>
            </w:r>
          </w:p>
        </w:tc>
      </w:tr>
      <w:tr w:rsidR="008A2EDE" w14:paraId="4B4DFAF2" w14:textId="77777777">
        <w:trPr>
          <w:trHeight w:val="470"/>
        </w:trPr>
        <w:tc>
          <w:tcPr>
            <w:tcW w:w="1973" w:type="dxa"/>
          </w:tcPr>
          <w:p w14:paraId="0C4DB13E" w14:textId="77777777" w:rsidR="008A2EDE" w:rsidRDefault="00A50BD3">
            <w:pPr>
              <w:pStyle w:val="TableParagraph"/>
              <w:spacing w:before="59"/>
            </w:pPr>
            <w:r>
              <w:t>Emilia</w:t>
            </w:r>
          </w:p>
        </w:tc>
        <w:tc>
          <w:tcPr>
            <w:tcW w:w="6528" w:type="dxa"/>
          </w:tcPr>
          <w:p w14:paraId="1B955797" w14:textId="77777777" w:rsidR="008A2EDE" w:rsidRDefault="00A50BD3">
            <w:pPr>
              <w:pStyle w:val="TableParagraph"/>
              <w:spacing w:before="59"/>
            </w:pPr>
            <w:r>
              <w:t>Bolek</w:t>
            </w:r>
          </w:p>
        </w:tc>
      </w:tr>
      <w:tr w:rsidR="008A2EDE" w14:paraId="6FF0DFB0" w14:textId="77777777">
        <w:trPr>
          <w:trHeight w:val="470"/>
        </w:trPr>
        <w:tc>
          <w:tcPr>
            <w:tcW w:w="1973" w:type="dxa"/>
          </w:tcPr>
          <w:p w14:paraId="09A0ED82" w14:textId="77777777" w:rsidR="008A2EDE" w:rsidRDefault="00A50BD3">
            <w:pPr>
              <w:pStyle w:val="TableParagraph"/>
              <w:spacing w:before="59"/>
            </w:pPr>
            <w:r>
              <w:t>Geoff</w:t>
            </w:r>
          </w:p>
        </w:tc>
        <w:tc>
          <w:tcPr>
            <w:tcW w:w="6528" w:type="dxa"/>
          </w:tcPr>
          <w:p w14:paraId="7DC454A9" w14:textId="77777777" w:rsidR="008A2EDE" w:rsidRDefault="00A50BD3">
            <w:pPr>
              <w:pStyle w:val="TableParagraph"/>
              <w:spacing w:before="59"/>
            </w:pPr>
            <w:r>
              <w:t>Leng</w:t>
            </w:r>
          </w:p>
        </w:tc>
      </w:tr>
      <w:tr w:rsidR="008A2EDE" w14:paraId="5FE7193F" w14:textId="77777777">
        <w:trPr>
          <w:trHeight w:val="470"/>
        </w:trPr>
        <w:tc>
          <w:tcPr>
            <w:tcW w:w="1973" w:type="dxa"/>
          </w:tcPr>
          <w:p w14:paraId="06C24C5E" w14:textId="77777777" w:rsidR="008A2EDE" w:rsidRDefault="00A50BD3">
            <w:pPr>
              <w:pStyle w:val="TableParagraph"/>
              <w:spacing w:before="59"/>
            </w:pPr>
            <w:r>
              <w:t>Geoff</w:t>
            </w:r>
          </w:p>
        </w:tc>
        <w:tc>
          <w:tcPr>
            <w:tcW w:w="6528" w:type="dxa"/>
          </w:tcPr>
          <w:p w14:paraId="66F85523" w14:textId="77777777" w:rsidR="008A2EDE" w:rsidRDefault="00A50BD3">
            <w:pPr>
              <w:pStyle w:val="TableParagraph"/>
              <w:spacing w:before="59"/>
            </w:pPr>
            <w:r>
              <w:t>Parkinson</w:t>
            </w:r>
          </w:p>
        </w:tc>
      </w:tr>
      <w:tr w:rsidR="008A2EDE" w14:paraId="73C99124" w14:textId="77777777">
        <w:trPr>
          <w:trHeight w:val="470"/>
        </w:trPr>
        <w:tc>
          <w:tcPr>
            <w:tcW w:w="1973" w:type="dxa"/>
          </w:tcPr>
          <w:p w14:paraId="3FC0778E" w14:textId="77777777" w:rsidR="008A2EDE" w:rsidRDefault="00A50BD3">
            <w:pPr>
              <w:pStyle w:val="TableParagraph"/>
              <w:spacing w:before="59"/>
            </w:pPr>
            <w:r>
              <w:t>Janice</w:t>
            </w:r>
          </w:p>
        </w:tc>
        <w:tc>
          <w:tcPr>
            <w:tcW w:w="6528" w:type="dxa"/>
          </w:tcPr>
          <w:p w14:paraId="55B74B1E" w14:textId="77777777" w:rsidR="008A2EDE" w:rsidRDefault="00A50BD3">
            <w:pPr>
              <w:pStyle w:val="TableParagraph"/>
              <w:spacing w:before="59"/>
            </w:pPr>
            <w:r>
              <w:t>Gaulke</w:t>
            </w:r>
          </w:p>
        </w:tc>
      </w:tr>
      <w:tr w:rsidR="008A2EDE" w14:paraId="623A0830" w14:textId="77777777">
        <w:trPr>
          <w:trHeight w:val="470"/>
        </w:trPr>
        <w:tc>
          <w:tcPr>
            <w:tcW w:w="1973" w:type="dxa"/>
          </w:tcPr>
          <w:p w14:paraId="16D20AB7" w14:textId="77777777" w:rsidR="008A2EDE" w:rsidRDefault="00A50BD3">
            <w:pPr>
              <w:pStyle w:val="TableParagraph"/>
              <w:spacing w:before="59"/>
            </w:pPr>
            <w:r>
              <w:t>Maree</w:t>
            </w:r>
          </w:p>
        </w:tc>
        <w:tc>
          <w:tcPr>
            <w:tcW w:w="6528" w:type="dxa"/>
          </w:tcPr>
          <w:p w14:paraId="12F1D30B" w14:textId="77777777" w:rsidR="008A2EDE" w:rsidRDefault="00A50BD3">
            <w:pPr>
              <w:pStyle w:val="TableParagraph"/>
              <w:spacing w:before="59"/>
            </w:pPr>
            <w:r>
              <w:t>Edgley</w:t>
            </w:r>
          </w:p>
        </w:tc>
      </w:tr>
      <w:tr w:rsidR="008A2EDE" w14:paraId="751D0AD8" w14:textId="77777777">
        <w:trPr>
          <w:trHeight w:val="470"/>
        </w:trPr>
        <w:tc>
          <w:tcPr>
            <w:tcW w:w="1973" w:type="dxa"/>
          </w:tcPr>
          <w:p w14:paraId="6759064E" w14:textId="77777777" w:rsidR="008A2EDE" w:rsidRDefault="00A50BD3">
            <w:pPr>
              <w:pStyle w:val="TableParagraph"/>
              <w:spacing w:before="59"/>
            </w:pPr>
            <w:r>
              <w:t>Martin</w:t>
            </w:r>
          </w:p>
        </w:tc>
        <w:tc>
          <w:tcPr>
            <w:tcW w:w="6528" w:type="dxa"/>
          </w:tcPr>
          <w:p w14:paraId="5D53DB9D" w14:textId="77777777" w:rsidR="008A2EDE" w:rsidRDefault="00A50BD3">
            <w:pPr>
              <w:pStyle w:val="TableParagraph"/>
              <w:spacing w:before="59"/>
            </w:pPr>
            <w:r>
              <w:t>Los</w:t>
            </w:r>
          </w:p>
        </w:tc>
      </w:tr>
      <w:tr w:rsidR="008A2EDE" w14:paraId="141B73CA" w14:textId="77777777">
        <w:trPr>
          <w:trHeight w:val="470"/>
        </w:trPr>
        <w:tc>
          <w:tcPr>
            <w:tcW w:w="1973" w:type="dxa"/>
          </w:tcPr>
          <w:p w14:paraId="7636077D" w14:textId="77777777" w:rsidR="008A2EDE" w:rsidRDefault="00A50BD3">
            <w:pPr>
              <w:pStyle w:val="TableParagraph"/>
              <w:spacing w:before="59"/>
            </w:pPr>
            <w:r>
              <w:t>Mathew</w:t>
            </w:r>
          </w:p>
        </w:tc>
        <w:tc>
          <w:tcPr>
            <w:tcW w:w="6528" w:type="dxa"/>
          </w:tcPr>
          <w:p w14:paraId="11CA2C8A" w14:textId="77777777" w:rsidR="008A2EDE" w:rsidRDefault="00A50BD3">
            <w:pPr>
              <w:pStyle w:val="TableParagraph"/>
              <w:spacing w:before="59"/>
            </w:pPr>
            <w:r>
              <w:t>Angwin</w:t>
            </w:r>
          </w:p>
        </w:tc>
      </w:tr>
      <w:tr w:rsidR="008A2EDE" w14:paraId="63A8ABBD" w14:textId="77777777">
        <w:trPr>
          <w:trHeight w:val="470"/>
        </w:trPr>
        <w:tc>
          <w:tcPr>
            <w:tcW w:w="1973" w:type="dxa"/>
          </w:tcPr>
          <w:p w14:paraId="7C35D50F" w14:textId="77777777" w:rsidR="008A2EDE" w:rsidRDefault="00A50BD3">
            <w:pPr>
              <w:pStyle w:val="TableParagraph"/>
              <w:spacing w:before="59"/>
            </w:pPr>
            <w:r>
              <w:t>Michael</w:t>
            </w:r>
          </w:p>
        </w:tc>
        <w:tc>
          <w:tcPr>
            <w:tcW w:w="6528" w:type="dxa"/>
          </w:tcPr>
          <w:p w14:paraId="383BA7FF" w14:textId="77777777" w:rsidR="008A2EDE" w:rsidRDefault="00A50BD3">
            <w:pPr>
              <w:pStyle w:val="TableParagraph"/>
              <w:spacing w:before="59"/>
            </w:pPr>
            <w:r>
              <w:t>Kent</w:t>
            </w:r>
          </w:p>
        </w:tc>
      </w:tr>
      <w:tr w:rsidR="008A2EDE" w14:paraId="23E46A67" w14:textId="77777777">
        <w:trPr>
          <w:trHeight w:val="470"/>
        </w:trPr>
        <w:tc>
          <w:tcPr>
            <w:tcW w:w="1973" w:type="dxa"/>
          </w:tcPr>
          <w:p w14:paraId="58D16426" w14:textId="77777777" w:rsidR="008A2EDE" w:rsidRDefault="00A50BD3">
            <w:pPr>
              <w:pStyle w:val="TableParagraph"/>
              <w:spacing w:before="59"/>
            </w:pPr>
            <w:r>
              <w:t>Neil</w:t>
            </w:r>
          </w:p>
        </w:tc>
        <w:tc>
          <w:tcPr>
            <w:tcW w:w="6528" w:type="dxa"/>
          </w:tcPr>
          <w:p w14:paraId="73FBF49F" w14:textId="77777777" w:rsidR="008A2EDE" w:rsidRDefault="00A50BD3">
            <w:pPr>
              <w:pStyle w:val="TableParagraph"/>
              <w:spacing w:before="59"/>
            </w:pPr>
            <w:r>
              <w:t>Roney</w:t>
            </w:r>
          </w:p>
        </w:tc>
      </w:tr>
      <w:tr w:rsidR="008A2EDE" w14:paraId="0389AA82" w14:textId="77777777">
        <w:trPr>
          <w:trHeight w:val="470"/>
        </w:trPr>
        <w:tc>
          <w:tcPr>
            <w:tcW w:w="1973" w:type="dxa"/>
          </w:tcPr>
          <w:p w14:paraId="0CD2C7F7" w14:textId="77777777" w:rsidR="008A2EDE" w:rsidRDefault="00A50BD3">
            <w:pPr>
              <w:pStyle w:val="TableParagraph"/>
              <w:spacing w:before="59"/>
            </w:pPr>
            <w:r>
              <w:t>Neville</w:t>
            </w:r>
          </w:p>
        </w:tc>
        <w:tc>
          <w:tcPr>
            <w:tcW w:w="6528" w:type="dxa"/>
          </w:tcPr>
          <w:p w14:paraId="0D4DFA58" w14:textId="77777777" w:rsidR="008A2EDE" w:rsidRDefault="00A50BD3">
            <w:pPr>
              <w:pStyle w:val="TableParagraph"/>
              <w:spacing w:before="59"/>
            </w:pPr>
            <w:r>
              <w:t>Saunders</w:t>
            </w:r>
          </w:p>
        </w:tc>
      </w:tr>
      <w:tr w:rsidR="008A2EDE" w14:paraId="010F193A" w14:textId="77777777">
        <w:trPr>
          <w:trHeight w:val="470"/>
        </w:trPr>
        <w:tc>
          <w:tcPr>
            <w:tcW w:w="1973" w:type="dxa"/>
          </w:tcPr>
          <w:p w14:paraId="535EFAF7" w14:textId="77777777" w:rsidR="008A2EDE" w:rsidRDefault="00A50BD3">
            <w:pPr>
              <w:pStyle w:val="TableParagraph"/>
              <w:spacing w:before="59"/>
            </w:pPr>
            <w:r>
              <w:t>Rob</w:t>
            </w:r>
          </w:p>
        </w:tc>
        <w:tc>
          <w:tcPr>
            <w:tcW w:w="6528" w:type="dxa"/>
          </w:tcPr>
          <w:p w14:paraId="7DCEC957" w14:textId="77777777" w:rsidR="008A2EDE" w:rsidRDefault="00A50BD3">
            <w:pPr>
              <w:pStyle w:val="TableParagraph"/>
              <w:spacing w:before="59"/>
            </w:pPr>
            <w:r>
              <w:t>Brodie</w:t>
            </w:r>
          </w:p>
        </w:tc>
      </w:tr>
      <w:tr w:rsidR="008A2EDE" w14:paraId="2EA3A913" w14:textId="77777777">
        <w:trPr>
          <w:trHeight w:val="470"/>
        </w:trPr>
        <w:tc>
          <w:tcPr>
            <w:tcW w:w="1973" w:type="dxa"/>
          </w:tcPr>
          <w:p w14:paraId="3B477B0C" w14:textId="77777777" w:rsidR="008A2EDE" w:rsidRDefault="00A50BD3">
            <w:pPr>
              <w:pStyle w:val="TableParagraph"/>
              <w:spacing w:before="59"/>
            </w:pPr>
            <w:r>
              <w:t>Paul</w:t>
            </w:r>
          </w:p>
        </w:tc>
        <w:tc>
          <w:tcPr>
            <w:tcW w:w="6528" w:type="dxa"/>
          </w:tcPr>
          <w:p w14:paraId="40483EF2" w14:textId="77777777" w:rsidR="008A2EDE" w:rsidRDefault="00A50BD3">
            <w:pPr>
              <w:pStyle w:val="TableParagraph"/>
              <w:spacing w:before="59"/>
            </w:pPr>
            <w:r>
              <w:t>Grieves</w:t>
            </w:r>
          </w:p>
        </w:tc>
      </w:tr>
      <w:tr w:rsidR="008A2EDE" w14:paraId="058B74C5" w14:textId="77777777">
        <w:trPr>
          <w:trHeight w:val="470"/>
        </w:trPr>
        <w:tc>
          <w:tcPr>
            <w:tcW w:w="1973" w:type="dxa"/>
          </w:tcPr>
          <w:p w14:paraId="579A0B9A" w14:textId="77777777" w:rsidR="008A2EDE" w:rsidRDefault="00A50BD3">
            <w:pPr>
              <w:pStyle w:val="TableParagraph"/>
              <w:spacing w:before="59"/>
            </w:pPr>
            <w:r>
              <w:t>Ross</w:t>
            </w:r>
          </w:p>
        </w:tc>
        <w:tc>
          <w:tcPr>
            <w:tcW w:w="6528" w:type="dxa"/>
          </w:tcPr>
          <w:p w14:paraId="4BBBFAA5" w14:textId="77777777" w:rsidR="008A2EDE" w:rsidRDefault="00A50BD3">
            <w:pPr>
              <w:pStyle w:val="TableParagraph"/>
              <w:spacing w:before="59"/>
            </w:pPr>
            <w:r>
              <w:t>Frith</w:t>
            </w:r>
          </w:p>
        </w:tc>
      </w:tr>
      <w:tr w:rsidR="008A2EDE" w14:paraId="30E12110" w14:textId="77777777">
        <w:trPr>
          <w:trHeight w:val="469"/>
        </w:trPr>
        <w:tc>
          <w:tcPr>
            <w:tcW w:w="1973" w:type="dxa"/>
          </w:tcPr>
          <w:p w14:paraId="520B6176" w14:textId="77777777" w:rsidR="008A2EDE" w:rsidRDefault="00A50BD3">
            <w:pPr>
              <w:pStyle w:val="TableParagraph"/>
              <w:spacing w:before="59"/>
            </w:pPr>
            <w:r>
              <w:t>Russell</w:t>
            </w:r>
          </w:p>
        </w:tc>
        <w:tc>
          <w:tcPr>
            <w:tcW w:w="6528" w:type="dxa"/>
          </w:tcPr>
          <w:p w14:paraId="19A6D90A" w14:textId="77777777" w:rsidR="008A2EDE" w:rsidRDefault="00A50BD3">
            <w:pPr>
              <w:pStyle w:val="TableParagraph"/>
              <w:spacing w:before="59"/>
            </w:pPr>
            <w:r>
              <w:t>Thorn</w:t>
            </w:r>
          </w:p>
        </w:tc>
      </w:tr>
    </w:tbl>
    <w:p w14:paraId="47BE20C7" w14:textId="77777777" w:rsidR="008A2EDE" w:rsidRDefault="008A2EDE">
      <w:pPr>
        <w:sectPr w:rsidR="008A2EDE">
          <w:pgSz w:w="11900" w:h="16840"/>
          <w:pgMar w:top="1600" w:right="700" w:bottom="740" w:left="440" w:header="0" w:footer="558" w:gutter="0"/>
          <w:cols w:space="720"/>
        </w:sect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6307576E" w14:textId="77777777">
        <w:trPr>
          <w:trHeight w:val="470"/>
        </w:trPr>
        <w:tc>
          <w:tcPr>
            <w:tcW w:w="1973" w:type="dxa"/>
          </w:tcPr>
          <w:p w14:paraId="63FC5472" w14:textId="77777777" w:rsidR="008A2EDE" w:rsidRDefault="00A50BD3">
            <w:pPr>
              <w:pStyle w:val="TableParagraph"/>
              <w:spacing w:before="59"/>
              <w:rPr>
                <w:b/>
              </w:rPr>
            </w:pPr>
            <w:r>
              <w:rPr>
                <w:b/>
              </w:rPr>
              <w:lastRenderedPageBreak/>
              <w:t>First Name</w:t>
            </w:r>
          </w:p>
        </w:tc>
        <w:tc>
          <w:tcPr>
            <w:tcW w:w="6528" w:type="dxa"/>
          </w:tcPr>
          <w:p w14:paraId="624097AB" w14:textId="77777777" w:rsidR="008A2EDE" w:rsidRDefault="00A50BD3">
            <w:pPr>
              <w:pStyle w:val="TableParagraph"/>
              <w:spacing w:before="59"/>
              <w:ind w:left="110"/>
              <w:rPr>
                <w:b/>
              </w:rPr>
            </w:pPr>
            <w:r>
              <w:rPr>
                <w:b/>
              </w:rPr>
              <w:t>Surname</w:t>
            </w:r>
          </w:p>
        </w:tc>
      </w:tr>
      <w:tr w:rsidR="008A2EDE" w14:paraId="7B4A6B18" w14:textId="77777777">
        <w:trPr>
          <w:trHeight w:val="470"/>
        </w:trPr>
        <w:tc>
          <w:tcPr>
            <w:tcW w:w="1973" w:type="dxa"/>
          </w:tcPr>
          <w:p w14:paraId="2BB20EC6" w14:textId="77777777" w:rsidR="008A2EDE" w:rsidRDefault="00A50BD3">
            <w:pPr>
              <w:pStyle w:val="TableParagraph"/>
              <w:spacing w:before="59"/>
            </w:pPr>
            <w:r>
              <w:t>Stuart</w:t>
            </w:r>
          </w:p>
        </w:tc>
        <w:tc>
          <w:tcPr>
            <w:tcW w:w="6528" w:type="dxa"/>
          </w:tcPr>
          <w:p w14:paraId="68ED8669" w14:textId="77777777" w:rsidR="008A2EDE" w:rsidRDefault="00A50BD3">
            <w:pPr>
              <w:pStyle w:val="TableParagraph"/>
              <w:spacing w:before="59"/>
            </w:pPr>
            <w:r>
              <w:t>Thorogood</w:t>
            </w:r>
          </w:p>
        </w:tc>
      </w:tr>
      <w:tr w:rsidR="008A2EDE" w14:paraId="560CF971" w14:textId="77777777">
        <w:trPr>
          <w:trHeight w:val="470"/>
        </w:trPr>
        <w:tc>
          <w:tcPr>
            <w:tcW w:w="1973" w:type="dxa"/>
          </w:tcPr>
          <w:p w14:paraId="70FB68B5" w14:textId="77777777" w:rsidR="008A2EDE" w:rsidRDefault="00A50BD3">
            <w:pPr>
              <w:pStyle w:val="TableParagraph"/>
              <w:spacing w:before="59"/>
            </w:pPr>
            <w:r>
              <w:t>Sue</w:t>
            </w:r>
          </w:p>
        </w:tc>
        <w:tc>
          <w:tcPr>
            <w:tcW w:w="6528" w:type="dxa"/>
          </w:tcPr>
          <w:p w14:paraId="77ECE4A8" w14:textId="77777777" w:rsidR="008A2EDE" w:rsidRDefault="00A50BD3">
            <w:pPr>
              <w:pStyle w:val="TableParagraph"/>
              <w:spacing w:before="59"/>
            </w:pPr>
            <w:r>
              <w:t>Fechner</w:t>
            </w:r>
          </w:p>
        </w:tc>
      </w:tr>
    </w:tbl>
    <w:p w14:paraId="4ACA39FE" w14:textId="77777777" w:rsidR="008A2EDE" w:rsidRDefault="008A2EDE">
      <w:pPr>
        <w:pStyle w:val="BodyText"/>
        <w:rPr>
          <w:sz w:val="20"/>
        </w:rPr>
      </w:pPr>
    </w:p>
    <w:p w14:paraId="4B1FAC39" w14:textId="77777777" w:rsidR="008A2EDE" w:rsidRDefault="008A2EDE">
      <w:pPr>
        <w:pStyle w:val="BodyText"/>
        <w:spacing w:before="11"/>
        <w:rPr>
          <w:sz w:val="15"/>
        </w:rPr>
      </w:pPr>
    </w:p>
    <w:p w14:paraId="191EF694" w14:textId="77777777" w:rsidR="008A2EDE" w:rsidRDefault="00A50BD3">
      <w:pPr>
        <w:pStyle w:val="BodyText"/>
        <w:spacing w:before="101"/>
        <w:ind w:left="1259" w:right="2444"/>
      </w:pPr>
      <w:r>
        <w:t>Location: Victorian Building Authority – 733 Bourke Street, Docklands VIC 3008 Date: 1 March 2019</w:t>
      </w:r>
    </w:p>
    <w:p w14:paraId="53E64682" w14:textId="77777777" w:rsidR="008A2EDE" w:rsidRDefault="008A2EDE">
      <w:pPr>
        <w:pStyle w:val="BodyText"/>
        <w:spacing w:before="11"/>
        <w:rPr>
          <w:sz w:val="21"/>
        </w:r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23194B7B" w14:textId="77777777">
        <w:trPr>
          <w:trHeight w:val="470"/>
        </w:trPr>
        <w:tc>
          <w:tcPr>
            <w:tcW w:w="1973" w:type="dxa"/>
          </w:tcPr>
          <w:p w14:paraId="442BD2A7" w14:textId="77777777" w:rsidR="008A2EDE" w:rsidRDefault="00A50BD3">
            <w:pPr>
              <w:pStyle w:val="TableParagraph"/>
              <w:spacing w:before="59"/>
              <w:rPr>
                <w:b/>
              </w:rPr>
            </w:pPr>
            <w:r>
              <w:rPr>
                <w:b/>
              </w:rPr>
              <w:t>First Name</w:t>
            </w:r>
          </w:p>
        </w:tc>
        <w:tc>
          <w:tcPr>
            <w:tcW w:w="6528" w:type="dxa"/>
          </w:tcPr>
          <w:p w14:paraId="603D19F2" w14:textId="77777777" w:rsidR="008A2EDE" w:rsidRDefault="00A50BD3">
            <w:pPr>
              <w:pStyle w:val="TableParagraph"/>
              <w:spacing w:before="59"/>
              <w:ind w:left="110"/>
              <w:rPr>
                <w:b/>
              </w:rPr>
            </w:pPr>
            <w:r>
              <w:rPr>
                <w:b/>
              </w:rPr>
              <w:t>Surname</w:t>
            </w:r>
          </w:p>
        </w:tc>
      </w:tr>
      <w:tr w:rsidR="008A2EDE" w14:paraId="56C46448" w14:textId="77777777">
        <w:trPr>
          <w:trHeight w:val="470"/>
        </w:trPr>
        <w:tc>
          <w:tcPr>
            <w:tcW w:w="1973" w:type="dxa"/>
          </w:tcPr>
          <w:p w14:paraId="1C717D1C" w14:textId="77777777" w:rsidR="008A2EDE" w:rsidRDefault="00A50BD3">
            <w:pPr>
              <w:pStyle w:val="TableParagraph"/>
              <w:spacing w:before="59"/>
            </w:pPr>
            <w:r>
              <w:t>Alister</w:t>
            </w:r>
          </w:p>
        </w:tc>
        <w:tc>
          <w:tcPr>
            <w:tcW w:w="6528" w:type="dxa"/>
          </w:tcPr>
          <w:p w14:paraId="48D96354" w14:textId="77777777" w:rsidR="008A2EDE" w:rsidRDefault="00A50BD3">
            <w:pPr>
              <w:pStyle w:val="TableParagraph"/>
              <w:spacing w:before="59"/>
            </w:pPr>
            <w:r>
              <w:t>Ford</w:t>
            </w:r>
          </w:p>
        </w:tc>
      </w:tr>
      <w:tr w:rsidR="008A2EDE" w14:paraId="658A8010" w14:textId="77777777">
        <w:trPr>
          <w:trHeight w:val="470"/>
        </w:trPr>
        <w:tc>
          <w:tcPr>
            <w:tcW w:w="1973" w:type="dxa"/>
          </w:tcPr>
          <w:p w14:paraId="47480508" w14:textId="77777777" w:rsidR="008A2EDE" w:rsidRDefault="00A50BD3">
            <w:pPr>
              <w:pStyle w:val="TableParagraph"/>
              <w:spacing w:before="59"/>
            </w:pPr>
            <w:r>
              <w:t>Andrew</w:t>
            </w:r>
          </w:p>
        </w:tc>
        <w:tc>
          <w:tcPr>
            <w:tcW w:w="6528" w:type="dxa"/>
          </w:tcPr>
          <w:p w14:paraId="30F5ECCF" w14:textId="77777777" w:rsidR="008A2EDE" w:rsidRDefault="00A50BD3">
            <w:pPr>
              <w:pStyle w:val="TableParagraph"/>
              <w:spacing w:before="59"/>
            </w:pPr>
            <w:r>
              <w:t>Gilchrist</w:t>
            </w:r>
          </w:p>
        </w:tc>
      </w:tr>
      <w:tr w:rsidR="008A2EDE" w14:paraId="38EF49CD" w14:textId="77777777">
        <w:trPr>
          <w:trHeight w:val="470"/>
        </w:trPr>
        <w:tc>
          <w:tcPr>
            <w:tcW w:w="1973" w:type="dxa"/>
          </w:tcPr>
          <w:p w14:paraId="0D5FCEDE" w14:textId="77777777" w:rsidR="008A2EDE" w:rsidRDefault="00A50BD3">
            <w:pPr>
              <w:pStyle w:val="TableParagraph"/>
              <w:spacing w:before="59"/>
            </w:pPr>
            <w:r>
              <w:t>Ben</w:t>
            </w:r>
          </w:p>
        </w:tc>
        <w:tc>
          <w:tcPr>
            <w:tcW w:w="6528" w:type="dxa"/>
          </w:tcPr>
          <w:p w14:paraId="2F8FC117" w14:textId="77777777" w:rsidR="008A2EDE" w:rsidRDefault="00A50BD3">
            <w:pPr>
              <w:pStyle w:val="TableParagraph"/>
              <w:spacing w:before="59"/>
            </w:pPr>
            <w:r>
              <w:t>Kind</w:t>
            </w:r>
          </w:p>
        </w:tc>
      </w:tr>
      <w:tr w:rsidR="008A2EDE" w14:paraId="2358149F" w14:textId="77777777">
        <w:trPr>
          <w:trHeight w:val="470"/>
        </w:trPr>
        <w:tc>
          <w:tcPr>
            <w:tcW w:w="1973" w:type="dxa"/>
          </w:tcPr>
          <w:p w14:paraId="4EEF0B06" w14:textId="77777777" w:rsidR="008A2EDE" w:rsidRDefault="00A50BD3">
            <w:pPr>
              <w:pStyle w:val="TableParagraph"/>
              <w:spacing w:before="59"/>
            </w:pPr>
            <w:r>
              <w:t>Boris</w:t>
            </w:r>
          </w:p>
        </w:tc>
        <w:tc>
          <w:tcPr>
            <w:tcW w:w="6528" w:type="dxa"/>
          </w:tcPr>
          <w:p w14:paraId="4386BEF2" w14:textId="77777777" w:rsidR="008A2EDE" w:rsidRDefault="00A50BD3">
            <w:pPr>
              <w:pStyle w:val="TableParagraph"/>
              <w:spacing w:before="59"/>
            </w:pPr>
            <w:r>
              <w:t>Iskra</w:t>
            </w:r>
          </w:p>
        </w:tc>
      </w:tr>
      <w:tr w:rsidR="008A2EDE" w14:paraId="4CB06D69" w14:textId="77777777">
        <w:trPr>
          <w:trHeight w:val="470"/>
        </w:trPr>
        <w:tc>
          <w:tcPr>
            <w:tcW w:w="1973" w:type="dxa"/>
          </w:tcPr>
          <w:p w14:paraId="051BCEEA" w14:textId="77777777" w:rsidR="008A2EDE" w:rsidRDefault="00A50BD3">
            <w:pPr>
              <w:pStyle w:val="TableParagraph"/>
              <w:spacing w:before="59"/>
            </w:pPr>
            <w:r>
              <w:t>Brad</w:t>
            </w:r>
          </w:p>
        </w:tc>
        <w:tc>
          <w:tcPr>
            <w:tcW w:w="6528" w:type="dxa"/>
          </w:tcPr>
          <w:p w14:paraId="16DD8E7F" w14:textId="77777777" w:rsidR="008A2EDE" w:rsidRDefault="00A50BD3">
            <w:pPr>
              <w:pStyle w:val="TableParagraph"/>
              <w:spacing w:before="59"/>
            </w:pPr>
            <w:r>
              <w:t>Ryan</w:t>
            </w:r>
          </w:p>
        </w:tc>
      </w:tr>
      <w:tr w:rsidR="008A2EDE" w14:paraId="7D60B6E4" w14:textId="77777777">
        <w:trPr>
          <w:trHeight w:val="470"/>
        </w:trPr>
        <w:tc>
          <w:tcPr>
            <w:tcW w:w="1973" w:type="dxa"/>
          </w:tcPr>
          <w:p w14:paraId="276235BB" w14:textId="77777777" w:rsidR="008A2EDE" w:rsidRDefault="00A50BD3">
            <w:pPr>
              <w:pStyle w:val="TableParagraph"/>
              <w:spacing w:before="59"/>
            </w:pPr>
            <w:r>
              <w:t>Brendan</w:t>
            </w:r>
          </w:p>
        </w:tc>
        <w:tc>
          <w:tcPr>
            <w:tcW w:w="6528" w:type="dxa"/>
          </w:tcPr>
          <w:p w14:paraId="7DB3FF93" w14:textId="77777777" w:rsidR="008A2EDE" w:rsidRDefault="00A50BD3">
            <w:pPr>
              <w:pStyle w:val="TableParagraph"/>
              <w:spacing w:before="59"/>
            </w:pPr>
            <w:r>
              <w:t>Rogash</w:t>
            </w:r>
          </w:p>
        </w:tc>
      </w:tr>
      <w:tr w:rsidR="008A2EDE" w14:paraId="3B4753A5" w14:textId="77777777">
        <w:trPr>
          <w:trHeight w:val="470"/>
        </w:trPr>
        <w:tc>
          <w:tcPr>
            <w:tcW w:w="1973" w:type="dxa"/>
          </w:tcPr>
          <w:p w14:paraId="025538DA" w14:textId="77777777" w:rsidR="008A2EDE" w:rsidRDefault="00A50BD3">
            <w:pPr>
              <w:pStyle w:val="TableParagraph"/>
              <w:spacing w:before="59"/>
            </w:pPr>
            <w:r>
              <w:t>Corrie</w:t>
            </w:r>
          </w:p>
        </w:tc>
        <w:tc>
          <w:tcPr>
            <w:tcW w:w="6528" w:type="dxa"/>
          </w:tcPr>
          <w:p w14:paraId="1A72A597" w14:textId="77777777" w:rsidR="008A2EDE" w:rsidRDefault="00A50BD3">
            <w:pPr>
              <w:pStyle w:val="TableParagraph"/>
              <w:spacing w:before="59"/>
            </w:pPr>
            <w:r>
              <w:t>Williams</w:t>
            </w:r>
          </w:p>
        </w:tc>
      </w:tr>
      <w:tr w:rsidR="008A2EDE" w14:paraId="022BD16D" w14:textId="77777777">
        <w:trPr>
          <w:trHeight w:val="470"/>
        </w:trPr>
        <w:tc>
          <w:tcPr>
            <w:tcW w:w="1973" w:type="dxa"/>
          </w:tcPr>
          <w:p w14:paraId="3A60BDDA" w14:textId="77777777" w:rsidR="008A2EDE" w:rsidRDefault="00A50BD3">
            <w:pPr>
              <w:pStyle w:val="TableParagraph"/>
              <w:spacing w:before="59"/>
            </w:pPr>
            <w:r>
              <w:t>Daniel</w:t>
            </w:r>
          </w:p>
        </w:tc>
        <w:tc>
          <w:tcPr>
            <w:tcW w:w="6528" w:type="dxa"/>
          </w:tcPr>
          <w:p w14:paraId="2C603707" w14:textId="77777777" w:rsidR="008A2EDE" w:rsidRDefault="00A50BD3">
            <w:pPr>
              <w:pStyle w:val="TableParagraph"/>
              <w:spacing w:before="59"/>
            </w:pPr>
            <w:r>
              <w:t>Bonnici</w:t>
            </w:r>
          </w:p>
        </w:tc>
      </w:tr>
      <w:tr w:rsidR="008A2EDE" w14:paraId="46648E54" w14:textId="77777777">
        <w:trPr>
          <w:trHeight w:val="470"/>
        </w:trPr>
        <w:tc>
          <w:tcPr>
            <w:tcW w:w="1973" w:type="dxa"/>
          </w:tcPr>
          <w:p w14:paraId="660DF9D1" w14:textId="77777777" w:rsidR="008A2EDE" w:rsidRDefault="00A50BD3">
            <w:pPr>
              <w:pStyle w:val="TableParagraph"/>
              <w:spacing w:before="59"/>
            </w:pPr>
            <w:r>
              <w:t>Geoff</w:t>
            </w:r>
          </w:p>
        </w:tc>
        <w:tc>
          <w:tcPr>
            <w:tcW w:w="6528" w:type="dxa"/>
          </w:tcPr>
          <w:p w14:paraId="4135C21C" w14:textId="77777777" w:rsidR="008A2EDE" w:rsidRDefault="00A50BD3">
            <w:pPr>
              <w:pStyle w:val="TableParagraph"/>
              <w:spacing w:before="59"/>
            </w:pPr>
            <w:r>
              <w:t>Leng</w:t>
            </w:r>
          </w:p>
        </w:tc>
      </w:tr>
      <w:tr w:rsidR="008A2EDE" w14:paraId="4565F82A" w14:textId="77777777">
        <w:trPr>
          <w:trHeight w:val="470"/>
        </w:trPr>
        <w:tc>
          <w:tcPr>
            <w:tcW w:w="1973" w:type="dxa"/>
          </w:tcPr>
          <w:p w14:paraId="1AB50469" w14:textId="77777777" w:rsidR="008A2EDE" w:rsidRDefault="00A50BD3">
            <w:pPr>
              <w:pStyle w:val="TableParagraph"/>
              <w:spacing w:before="59"/>
            </w:pPr>
            <w:r>
              <w:t>Martin</w:t>
            </w:r>
          </w:p>
        </w:tc>
        <w:tc>
          <w:tcPr>
            <w:tcW w:w="6528" w:type="dxa"/>
          </w:tcPr>
          <w:p w14:paraId="2D76E618" w14:textId="77777777" w:rsidR="008A2EDE" w:rsidRDefault="00A50BD3">
            <w:pPr>
              <w:pStyle w:val="TableParagraph"/>
              <w:spacing w:before="59"/>
            </w:pPr>
            <w:r>
              <w:t>Los</w:t>
            </w:r>
          </w:p>
        </w:tc>
      </w:tr>
      <w:tr w:rsidR="008A2EDE" w14:paraId="1A14DFC3" w14:textId="77777777">
        <w:trPr>
          <w:trHeight w:val="470"/>
        </w:trPr>
        <w:tc>
          <w:tcPr>
            <w:tcW w:w="1973" w:type="dxa"/>
          </w:tcPr>
          <w:p w14:paraId="73EE4E1A" w14:textId="77777777" w:rsidR="008A2EDE" w:rsidRDefault="00A50BD3">
            <w:pPr>
              <w:pStyle w:val="TableParagraph"/>
              <w:spacing w:before="59"/>
            </w:pPr>
            <w:r>
              <w:t>Matt</w:t>
            </w:r>
          </w:p>
        </w:tc>
        <w:tc>
          <w:tcPr>
            <w:tcW w:w="6528" w:type="dxa"/>
          </w:tcPr>
          <w:p w14:paraId="18373C66" w14:textId="77777777" w:rsidR="008A2EDE" w:rsidRDefault="00A50BD3">
            <w:pPr>
              <w:pStyle w:val="TableParagraph"/>
              <w:spacing w:before="59"/>
            </w:pPr>
            <w:r>
              <w:t>Zaranski</w:t>
            </w:r>
          </w:p>
        </w:tc>
      </w:tr>
      <w:tr w:rsidR="008A2EDE" w14:paraId="3BC0851D" w14:textId="77777777">
        <w:trPr>
          <w:trHeight w:val="470"/>
        </w:trPr>
        <w:tc>
          <w:tcPr>
            <w:tcW w:w="1973" w:type="dxa"/>
          </w:tcPr>
          <w:p w14:paraId="2DD8F2FD" w14:textId="77777777" w:rsidR="008A2EDE" w:rsidRDefault="00A50BD3">
            <w:pPr>
              <w:pStyle w:val="TableParagraph"/>
              <w:spacing w:before="59"/>
            </w:pPr>
            <w:r>
              <w:t>Nick</w:t>
            </w:r>
          </w:p>
        </w:tc>
        <w:tc>
          <w:tcPr>
            <w:tcW w:w="6528" w:type="dxa"/>
          </w:tcPr>
          <w:p w14:paraId="76EEA1C2" w14:textId="77777777" w:rsidR="008A2EDE" w:rsidRDefault="00A50BD3">
            <w:pPr>
              <w:pStyle w:val="TableParagraph"/>
              <w:spacing w:before="59"/>
            </w:pPr>
            <w:r>
              <w:t>Del Grosso</w:t>
            </w:r>
          </w:p>
        </w:tc>
      </w:tr>
      <w:tr w:rsidR="008A2EDE" w14:paraId="111EA131" w14:textId="77777777">
        <w:trPr>
          <w:trHeight w:val="470"/>
        </w:trPr>
        <w:tc>
          <w:tcPr>
            <w:tcW w:w="1973" w:type="dxa"/>
          </w:tcPr>
          <w:p w14:paraId="63BF8A44" w14:textId="77777777" w:rsidR="008A2EDE" w:rsidRDefault="00A50BD3">
            <w:pPr>
              <w:pStyle w:val="TableParagraph"/>
              <w:spacing w:before="59"/>
            </w:pPr>
            <w:r>
              <w:t>Paul</w:t>
            </w:r>
          </w:p>
        </w:tc>
        <w:tc>
          <w:tcPr>
            <w:tcW w:w="6528" w:type="dxa"/>
          </w:tcPr>
          <w:p w14:paraId="46283FA6" w14:textId="77777777" w:rsidR="008A2EDE" w:rsidRDefault="00A50BD3">
            <w:pPr>
              <w:pStyle w:val="TableParagraph"/>
              <w:spacing w:before="59"/>
            </w:pPr>
            <w:r>
              <w:t>Baker</w:t>
            </w:r>
          </w:p>
        </w:tc>
      </w:tr>
      <w:tr w:rsidR="008A2EDE" w14:paraId="0A232047" w14:textId="77777777">
        <w:trPr>
          <w:trHeight w:val="470"/>
        </w:trPr>
        <w:tc>
          <w:tcPr>
            <w:tcW w:w="1973" w:type="dxa"/>
          </w:tcPr>
          <w:p w14:paraId="5F1A9F21" w14:textId="77777777" w:rsidR="008A2EDE" w:rsidRDefault="00A50BD3">
            <w:pPr>
              <w:pStyle w:val="TableParagraph"/>
              <w:spacing w:before="59"/>
            </w:pPr>
            <w:r>
              <w:t>Paul</w:t>
            </w:r>
          </w:p>
        </w:tc>
        <w:tc>
          <w:tcPr>
            <w:tcW w:w="6528" w:type="dxa"/>
          </w:tcPr>
          <w:p w14:paraId="1B579606" w14:textId="77777777" w:rsidR="008A2EDE" w:rsidRDefault="00A50BD3">
            <w:pPr>
              <w:pStyle w:val="TableParagraph"/>
              <w:spacing w:before="59"/>
            </w:pPr>
            <w:r>
              <w:t>Greaves</w:t>
            </w:r>
          </w:p>
        </w:tc>
      </w:tr>
      <w:tr w:rsidR="008A2EDE" w14:paraId="4E17F933" w14:textId="77777777">
        <w:trPr>
          <w:trHeight w:val="470"/>
        </w:trPr>
        <w:tc>
          <w:tcPr>
            <w:tcW w:w="1973" w:type="dxa"/>
          </w:tcPr>
          <w:p w14:paraId="0099EAD6" w14:textId="77777777" w:rsidR="008A2EDE" w:rsidRDefault="00A50BD3">
            <w:pPr>
              <w:pStyle w:val="TableParagraph"/>
              <w:spacing w:before="59"/>
            </w:pPr>
            <w:r>
              <w:t>Peter</w:t>
            </w:r>
          </w:p>
        </w:tc>
        <w:tc>
          <w:tcPr>
            <w:tcW w:w="6528" w:type="dxa"/>
          </w:tcPr>
          <w:p w14:paraId="2BD2B935" w14:textId="77777777" w:rsidR="008A2EDE" w:rsidRDefault="00A50BD3">
            <w:pPr>
              <w:pStyle w:val="TableParagraph"/>
              <w:spacing w:before="59"/>
            </w:pPr>
            <w:r>
              <w:t>Forsingdal</w:t>
            </w:r>
          </w:p>
        </w:tc>
      </w:tr>
      <w:tr w:rsidR="008A2EDE" w14:paraId="404A37B2" w14:textId="77777777">
        <w:trPr>
          <w:trHeight w:val="470"/>
        </w:trPr>
        <w:tc>
          <w:tcPr>
            <w:tcW w:w="1973" w:type="dxa"/>
          </w:tcPr>
          <w:p w14:paraId="08C001CB" w14:textId="77777777" w:rsidR="008A2EDE" w:rsidRDefault="00A50BD3">
            <w:pPr>
              <w:pStyle w:val="TableParagraph"/>
              <w:spacing w:before="59"/>
            </w:pPr>
            <w:r>
              <w:t>Peter</w:t>
            </w:r>
          </w:p>
        </w:tc>
        <w:tc>
          <w:tcPr>
            <w:tcW w:w="6528" w:type="dxa"/>
          </w:tcPr>
          <w:p w14:paraId="491185E3" w14:textId="77777777" w:rsidR="008A2EDE" w:rsidRDefault="00A50BD3">
            <w:pPr>
              <w:pStyle w:val="TableParagraph"/>
              <w:spacing w:before="59"/>
            </w:pPr>
            <w:r>
              <w:t>Scully</w:t>
            </w:r>
          </w:p>
        </w:tc>
      </w:tr>
      <w:tr w:rsidR="008A2EDE" w14:paraId="23422EE9" w14:textId="77777777">
        <w:trPr>
          <w:trHeight w:val="470"/>
        </w:trPr>
        <w:tc>
          <w:tcPr>
            <w:tcW w:w="1973" w:type="dxa"/>
          </w:tcPr>
          <w:p w14:paraId="7A478685" w14:textId="77777777" w:rsidR="008A2EDE" w:rsidRDefault="00A50BD3">
            <w:pPr>
              <w:pStyle w:val="TableParagraph"/>
              <w:spacing w:before="59"/>
            </w:pPr>
            <w:r>
              <w:t>Peter</w:t>
            </w:r>
          </w:p>
        </w:tc>
        <w:tc>
          <w:tcPr>
            <w:tcW w:w="6528" w:type="dxa"/>
          </w:tcPr>
          <w:p w14:paraId="25009ADF" w14:textId="77777777" w:rsidR="008A2EDE" w:rsidRDefault="00A50BD3">
            <w:pPr>
              <w:pStyle w:val="TableParagraph"/>
              <w:spacing w:before="59"/>
            </w:pPr>
            <w:r>
              <w:t>Zagorski</w:t>
            </w:r>
          </w:p>
        </w:tc>
      </w:tr>
      <w:tr w:rsidR="008A2EDE" w14:paraId="5167685D" w14:textId="77777777">
        <w:trPr>
          <w:trHeight w:val="470"/>
        </w:trPr>
        <w:tc>
          <w:tcPr>
            <w:tcW w:w="1973" w:type="dxa"/>
          </w:tcPr>
          <w:p w14:paraId="3D0E6894" w14:textId="77777777" w:rsidR="008A2EDE" w:rsidRDefault="00A50BD3">
            <w:pPr>
              <w:pStyle w:val="TableParagraph"/>
              <w:spacing w:before="59"/>
            </w:pPr>
            <w:r>
              <w:t>Richard</w:t>
            </w:r>
          </w:p>
        </w:tc>
        <w:tc>
          <w:tcPr>
            <w:tcW w:w="6528" w:type="dxa"/>
          </w:tcPr>
          <w:p w14:paraId="6CCEB7A0" w14:textId="77777777" w:rsidR="008A2EDE" w:rsidRDefault="00A50BD3">
            <w:pPr>
              <w:pStyle w:val="TableParagraph"/>
              <w:spacing w:before="59"/>
            </w:pPr>
            <w:r>
              <w:t>Bell</w:t>
            </w:r>
          </w:p>
        </w:tc>
      </w:tr>
      <w:tr w:rsidR="008A2EDE" w14:paraId="0712C6F3" w14:textId="77777777">
        <w:trPr>
          <w:trHeight w:val="470"/>
        </w:trPr>
        <w:tc>
          <w:tcPr>
            <w:tcW w:w="1973" w:type="dxa"/>
          </w:tcPr>
          <w:p w14:paraId="071B9FB7" w14:textId="77777777" w:rsidR="008A2EDE" w:rsidRDefault="00A50BD3">
            <w:pPr>
              <w:pStyle w:val="TableParagraph"/>
              <w:spacing w:before="59"/>
            </w:pPr>
            <w:r>
              <w:t>Robert</w:t>
            </w:r>
          </w:p>
        </w:tc>
        <w:tc>
          <w:tcPr>
            <w:tcW w:w="6528" w:type="dxa"/>
          </w:tcPr>
          <w:p w14:paraId="49CAE07C" w14:textId="77777777" w:rsidR="008A2EDE" w:rsidRDefault="00A50BD3">
            <w:pPr>
              <w:pStyle w:val="TableParagraph"/>
              <w:spacing w:before="59"/>
            </w:pPr>
            <w:r>
              <w:t>Brodie</w:t>
            </w:r>
          </w:p>
        </w:tc>
      </w:tr>
      <w:tr w:rsidR="008A2EDE" w14:paraId="76AC689D" w14:textId="77777777">
        <w:trPr>
          <w:trHeight w:val="469"/>
        </w:trPr>
        <w:tc>
          <w:tcPr>
            <w:tcW w:w="1973" w:type="dxa"/>
          </w:tcPr>
          <w:p w14:paraId="7666F9D8" w14:textId="77777777" w:rsidR="008A2EDE" w:rsidRDefault="00A50BD3">
            <w:pPr>
              <w:pStyle w:val="TableParagraph"/>
              <w:spacing w:before="59"/>
            </w:pPr>
            <w:r>
              <w:t>Robert</w:t>
            </w:r>
          </w:p>
        </w:tc>
        <w:tc>
          <w:tcPr>
            <w:tcW w:w="6528" w:type="dxa"/>
          </w:tcPr>
          <w:p w14:paraId="678BBBB1" w14:textId="77777777" w:rsidR="008A2EDE" w:rsidRDefault="00A50BD3">
            <w:pPr>
              <w:pStyle w:val="TableParagraph"/>
              <w:spacing w:before="59"/>
            </w:pPr>
            <w:r>
              <w:t>Staley</w:t>
            </w:r>
          </w:p>
        </w:tc>
      </w:tr>
      <w:tr w:rsidR="008A2EDE" w14:paraId="116B2BFD" w14:textId="77777777">
        <w:trPr>
          <w:trHeight w:val="470"/>
        </w:trPr>
        <w:tc>
          <w:tcPr>
            <w:tcW w:w="1973" w:type="dxa"/>
          </w:tcPr>
          <w:p w14:paraId="4F363DC7" w14:textId="77777777" w:rsidR="008A2EDE" w:rsidRDefault="00A50BD3">
            <w:pPr>
              <w:pStyle w:val="TableParagraph"/>
              <w:spacing w:before="59"/>
            </w:pPr>
            <w:r>
              <w:t>Russell</w:t>
            </w:r>
          </w:p>
        </w:tc>
        <w:tc>
          <w:tcPr>
            <w:tcW w:w="6528" w:type="dxa"/>
          </w:tcPr>
          <w:p w14:paraId="6EECE71D" w14:textId="77777777" w:rsidR="008A2EDE" w:rsidRDefault="00A50BD3">
            <w:pPr>
              <w:pStyle w:val="TableParagraph"/>
              <w:spacing w:before="59"/>
            </w:pPr>
            <w:r>
              <w:t>Thorn</w:t>
            </w:r>
          </w:p>
        </w:tc>
      </w:tr>
      <w:tr w:rsidR="008A2EDE" w14:paraId="7205B9CB" w14:textId="77777777">
        <w:trPr>
          <w:trHeight w:val="469"/>
        </w:trPr>
        <w:tc>
          <w:tcPr>
            <w:tcW w:w="1973" w:type="dxa"/>
          </w:tcPr>
          <w:p w14:paraId="5783447A" w14:textId="77777777" w:rsidR="008A2EDE" w:rsidRDefault="00A50BD3">
            <w:pPr>
              <w:pStyle w:val="TableParagraph"/>
              <w:spacing w:before="59"/>
            </w:pPr>
            <w:r>
              <w:t>Susan</w:t>
            </w:r>
          </w:p>
        </w:tc>
        <w:tc>
          <w:tcPr>
            <w:tcW w:w="6528" w:type="dxa"/>
          </w:tcPr>
          <w:p w14:paraId="61E6E5AB" w14:textId="77777777" w:rsidR="008A2EDE" w:rsidRDefault="00A50BD3">
            <w:pPr>
              <w:pStyle w:val="TableParagraph"/>
              <w:spacing w:before="59"/>
            </w:pPr>
            <w:r>
              <w:t>Fechner</w:t>
            </w:r>
          </w:p>
        </w:tc>
      </w:tr>
    </w:tbl>
    <w:p w14:paraId="60B5976E" w14:textId="77777777" w:rsidR="008A2EDE" w:rsidRDefault="008A2EDE">
      <w:pPr>
        <w:sectPr w:rsidR="008A2EDE">
          <w:pgSz w:w="11900" w:h="16840"/>
          <w:pgMar w:top="1440" w:right="700" w:bottom="820" w:left="440" w:header="0" w:footer="558" w:gutter="0"/>
          <w:cols w:space="720"/>
        </w:sectPr>
      </w:pPr>
    </w:p>
    <w:tbl>
      <w:tblPr>
        <w:tblW w:w="0" w:type="auto"/>
        <w:tblInd w:w="12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973"/>
        <w:gridCol w:w="6528"/>
      </w:tblGrid>
      <w:tr w:rsidR="008A2EDE" w14:paraId="08E46E99" w14:textId="77777777">
        <w:trPr>
          <w:trHeight w:val="470"/>
        </w:trPr>
        <w:tc>
          <w:tcPr>
            <w:tcW w:w="1973" w:type="dxa"/>
          </w:tcPr>
          <w:p w14:paraId="317F4C60" w14:textId="77777777" w:rsidR="008A2EDE" w:rsidRDefault="00A50BD3">
            <w:pPr>
              <w:pStyle w:val="TableParagraph"/>
              <w:spacing w:before="59"/>
              <w:rPr>
                <w:b/>
              </w:rPr>
            </w:pPr>
            <w:r>
              <w:rPr>
                <w:b/>
              </w:rPr>
              <w:lastRenderedPageBreak/>
              <w:t>First Name</w:t>
            </w:r>
          </w:p>
        </w:tc>
        <w:tc>
          <w:tcPr>
            <w:tcW w:w="6528" w:type="dxa"/>
          </w:tcPr>
          <w:p w14:paraId="7BA1CA8D" w14:textId="77777777" w:rsidR="008A2EDE" w:rsidRDefault="00A50BD3">
            <w:pPr>
              <w:pStyle w:val="TableParagraph"/>
              <w:spacing w:before="59"/>
              <w:ind w:left="110"/>
              <w:rPr>
                <w:b/>
              </w:rPr>
            </w:pPr>
            <w:r>
              <w:rPr>
                <w:b/>
              </w:rPr>
              <w:t>Surname</w:t>
            </w:r>
          </w:p>
        </w:tc>
      </w:tr>
      <w:tr w:rsidR="008A2EDE" w14:paraId="518F4640" w14:textId="77777777">
        <w:trPr>
          <w:trHeight w:val="470"/>
        </w:trPr>
        <w:tc>
          <w:tcPr>
            <w:tcW w:w="1973" w:type="dxa"/>
          </w:tcPr>
          <w:p w14:paraId="3E73A24C" w14:textId="77777777" w:rsidR="008A2EDE" w:rsidRDefault="00A50BD3">
            <w:pPr>
              <w:pStyle w:val="TableParagraph"/>
              <w:spacing w:before="59"/>
            </w:pPr>
            <w:r>
              <w:t>Teresa</w:t>
            </w:r>
          </w:p>
        </w:tc>
        <w:tc>
          <w:tcPr>
            <w:tcW w:w="6528" w:type="dxa"/>
          </w:tcPr>
          <w:p w14:paraId="752618B8" w14:textId="77777777" w:rsidR="008A2EDE" w:rsidRDefault="00A50BD3">
            <w:pPr>
              <w:pStyle w:val="TableParagraph"/>
              <w:spacing w:before="59"/>
            </w:pPr>
            <w:r>
              <w:t>Signorello</w:t>
            </w:r>
          </w:p>
        </w:tc>
      </w:tr>
      <w:tr w:rsidR="008A2EDE" w14:paraId="66B16FBF" w14:textId="77777777">
        <w:trPr>
          <w:trHeight w:val="470"/>
        </w:trPr>
        <w:tc>
          <w:tcPr>
            <w:tcW w:w="1973" w:type="dxa"/>
          </w:tcPr>
          <w:p w14:paraId="0086E563" w14:textId="77777777" w:rsidR="008A2EDE" w:rsidRDefault="00A50BD3">
            <w:pPr>
              <w:pStyle w:val="TableParagraph"/>
              <w:spacing w:before="59"/>
            </w:pPr>
            <w:r>
              <w:t>Trent</w:t>
            </w:r>
          </w:p>
        </w:tc>
        <w:tc>
          <w:tcPr>
            <w:tcW w:w="6528" w:type="dxa"/>
          </w:tcPr>
          <w:p w14:paraId="521ABC2A" w14:textId="77777777" w:rsidR="008A2EDE" w:rsidRDefault="00A50BD3">
            <w:pPr>
              <w:pStyle w:val="TableParagraph"/>
              <w:spacing w:before="59"/>
            </w:pPr>
            <w:r>
              <w:t>Cowie</w:t>
            </w:r>
          </w:p>
        </w:tc>
      </w:tr>
      <w:tr w:rsidR="008A2EDE" w14:paraId="08529EB7" w14:textId="77777777">
        <w:trPr>
          <w:trHeight w:val="470"/>
        </w:trPr>
        <w:tc>
          <w:tcPr>
            <w:tcW w:w="1973" w:type="dxa"/>
          </w:tcPr>
          <w:p w14:paraId="4018EB8C" w14:textId="77777777" w:rsidR="008A2EDE" w:rsidRDefault="00A50BD3">
            <w:pPr>
              <w:pStyle w:val="TableParagraph"/>
              <w:spacing w:before="59"/>
            </w:pPr>
            <w:r>
              <w:t>Tristan</w:t>
            </w:r>
          </w:p>
        </w:tc>
        <w:tc>
          <w:tcPr>
            <w:tcW w:w="6528" w:type="dxa"/>
          </w:tcPr>
          <w:p w14:paraId="171128B0" w14:textId="77777777" w:rsidR="008A2EDE" w:rsidRDefault="00A50BD3">
            <w:pPr>
              <w:pStyle w:val="TableParagraph"/>
              <w:spacing w:before="59"/>
            </w:pPr>
            <w:r>
              <w:t>Howison</w:t>
            </w:r>
          </w:p>
        </w:tc>
      </w:tr>
      <w:tr w:rsidR="008A2EDE" w14:paraId="2AB0DD98" w14:textId="77777777">
        <w:trPr>
          <w:trHeight w:val="470"/>
        </w:trPr>
        <w:tc>
          <w:tcPr>
            <w:tcW w:w="1973" w:type="dxa"/>
          </w:tcPr>
          <w:p w14:paraId="649F7D7D" w14:textId="77777777" w:rsidR="008A2EDE" w:rsidRDefault="00A50BD3">
            <w:pPr>
              <w:pStyle w:val="TableParagraph"/>
              <w:spacing w:before="59"/>
            </w:pPr>
            <w:r>
              <w:t>Wayne</w:t>
            </w:r>
          </w:p>
        </w:tc>
        <w:tc>
          <w:tcPr>
            <w:tcW w:w="6528" w:type="dxa"/>
          </w:tcPr>
          <w:p w14:paraId="559E084A" w14:textId="77777777" w:rsidR="008A2EDE" w:rsidRDefault="00A50BD3">
            <w:pPr>
              <w:pStyle w:val="TableParagraph"/>
              <w:spacing w:before="59"/>
            </w:pPr>
            <w:r>
              <w:t>Saunders</w:t>
            </w:r>
          </w:p>
        </w:tc>
      </w:tr>
    </w:tbl>
    <w:p w14:paraId="5E31DA79" w14:textId="77777777" w:rsidR="008A2EDE" w:rsidRDefault="008A2EDE">
      <w:pPr>
        <w:sectPr w:rsidR="008A2EDE">
          <w:pgSz w:w="11900" w:h="16840"/>
          <w:pgMar w:top="1440" w:right="700" w:bottom="740" w:left="440" w:header="0" w:footer="558" w:gutter="0"/>
          <w:cols w:space="720"/>
        </w:sectPr>
      </w:pPr>
    </w:p>
    <w:p w14:paraId="0A34BDD8" w14:textId="77777777" w:rsidR="008A2EDE" w:rsidRDefault="008A2EDE">
      <w:pPr>
        <w:pStyle w:val="BodyText"/>
        <w:rPr>
          <w:sz w:val="26"/>
        </w:rPr>
      </w:pPr>
    </w:p>
    <w:p w14:paraId="7C8352A2" w14:textId="7F19F221" w:rsidR="008A2EDE" w:rsidRDefault="00A50BD3">
      <w:pPr>
        <w:pStyle w:val="Heading1"/>
        <w:spacing w:before="78"/>
        <w:ind w:left="1000" w:firstLine="0"/>
      </w:pPr>
      <w:bookmarkStart w:id="11" w:name="_Toc23938255"/>
      <w:r>
        <w:rPr>
          <w:color w:val="A2A9AF"/>
        </w:rPr>
        <w:t xml:space="preserve">Appendix </w:t>
      </w:r>
      <w:r w:rsidR="00346F96">
        <w:rPr>
          <w:color w:val="A2A9AF"/>
        </w:rPr>
        <w:t>B</w:t>
      </w:r>
      <w:r>
        <w:rPr>
          <w:color w:val="A2A9AF"/>
        </w:rPr>
        <w:t>: STA concerns on the Carpentry and Joinery Project</w:t>
      </w:r>
      <w:bookmarkEnd w:id="11"/>
    </w:p>
    <w:p w14:paraId="55060909" w14:textId="77777777" w:rsidR="008A2EDE" w:rsidRDefault="00A50BD3">
      <w:pPr>
        <w:pStyle w:val="Heading5"/>
        <w:spacing w:before="300"/>
        <w:ind w:left="2519"/>
      </w:pPr>
      <w:r>
        <w:t>Victorian STA concerns on the Carpentry and Joinery Project</w:t>
      </w:r>
    </w:p>
    <w:p w14:paraId="63958598" w14:textId="77777777" w:rsidR="008A2EDE" w:rsidRDefault="008A2EDE">
      <w:pPr>
        <w:pStyle w:val="BodyText"/>
        <w:rPr>
          <w:b/>
        </w:rPr>
      </w:pPr>
    </w:p>
    <w:p w14:paraId="7A330490" w14:textId="77777777" w:rsidR="008A2EDE" w:rsidRDefault="00A50BD3">
      <w:pPr>
        <w:pStyle w:val="BodyText"/>
        <w:tabs>
          <w:tab w:val="left" w:pos="2439"/>
        </w:tabs>
        <w:spacing w:line="480" w:lineRule="auto"/>
        <w:ind w:left="1000" w:right="3828"/>
      </w:pPr>
      <w:r>
        <w:rPr>
          <w:b/>
        </w:rPr>
        <w:t>9</w:t>
      </w:r>
      <w:r>
        <w:rPr>
          <w:b/>
          <w:spacing w:val="-2"/>
        </w:rPr>
        <w:t xml:space="preserve"> </w:t>
      </w:r>
      <w:r>
        <w:rPr>
          <w:b/>
        </w:rPr>
        <w:t>July</w:t>
      </w:r>
      <w:r>
        <w:rPr>
          <w:b/>
          <w:spacing w:val="-2"/>
        </w:rPr>
        <w:t xml:space="preserve"> </w:t>
      </w:r>
      <w:r>
        <w:rPr>
          <w:b/>
        </w:rPr>
        <w:t>2019</w:t>
      </w:r>
      <w:r>
        <w:rPr>
          <w:b/>
        </w:rPr>
        <w:tab/>
      </w:r>
      <w:r>
        <w:t xml:space="preserve">Feedback provided by the Victorian STA to Artibus </w:t>
      </w:r>
      <w:r>
        <w:rPr>
          <w:b/>
        </w:rPr>
        <w:t>10</w:t>
      </w:r>
      <w:r>
        <w:rPr>
          <w:b/>
          <w:spacing w:val="-2"/>
        </w:rPr>
        <w:t xml:space="preserve"> </w:t>
      </w:r>
      <w:r>
        <w:rPr>
          <w:b/>
        </w:rPr>
        <w:t>July</w:t>
      </w:r>
      <w:r>
        <w:rPr>
          <w:b/>
          <w:spacing w:val="-2"/>
        </w:rPr>
        <w:t xml:space="preserve"> </w:t>
      </w:r>
      <w:r>
        <w:rPr>
          <w:b/>
        </w:rPr>
        <w:t>2019</w:t>
      </w:r>
      <w:r>
        <w:rPr>
          <w:b/>
        </w:rPr>
        <w:tab/>
      </w:r>
      <w:r>
        <w:t xml:space="preserve">Artibus provided a response to the Victorian STA </w:t>
      </w:r>
      <w:r>
        <w:rPr>
          <w:u w:val="single"/>
        </w:rPr>
        <w:t>STA Feedback</w:t>
      </w:r>
      <w:r>
        <w:rPr>
          <w:spacing w:val="-3"/>
          <w:u w:val="single"/>
        </w:rPr>
        <w:t xml:space="preserve"> </w:t>
      </w:r>
      <w:r>
        <w:rPr>
          <w:u w:val="single"/>
        </w:rPr>
        <w:t>1:</w:t>
      </w:r>
    </w:p>
    <w:p w14:paraId="1242FB2E" w14:textId="77777777" w:rsidR="008A2EDE" w:rsidRDefault="00A50BD3">
      <w:pPr>
        <w:spacing w:before="2"/>
        <w:ind w:left="1000" w:right="847"/>
        <w:rPr>
          <w:b/>
        </w:rPr>
      </w:pPr>
      <w:r>
        <w:t xml:space="preserve">The unit </w:t>
      </w:r>
      <w:r>
        <w:rPr>
          <w:i/>
        </w:rPr>
        <w:t>CPCPCCWHS1001 Prepare to work safely in the construction industry</w:t>
      </w:r>
      <w:r>
        <w:t xml:space="preserve">, a newly introduced entry requirement, is not a foundational skill on which to build the vocational outcome, it is an employment requirement. The Entry Requirement does not comply with Standard 2. </w:t>
      </w:r>
      <w:r>
        <w:rPr>
          <w:b/>
        </w:rPr>
        <w:t>If the industry considers the unit to be an essential requirement for all job role outcomes of the qualification it should be included as a core unit, where it can be contextualised to the industry outcome.</w:t>
      </w:r>
    </w:p>
    <w:p w14:paraId="2EAAD8B9" w14:textId="77777777" w:rsidR="008A2EDE" w:rsidRDefault="008A2EDE">
      <w:pPr>
        <w:pStyle w:val="BodyText"/>
        <w:spacing w:before="1"/>
        <w:rPr>
          <w:b/>
        </w:rPr>
      </w:pPr>
    </w:p>
    <w:p w14:paraId="6B48EFD8" w14:textId="77777777" w:rsidR="008A2EDE" w:rsidRDefault="00A50BD3">
      <w:pPr>
        <w:pStyle w:val="BodyText"/>
        <w:ind w:left="1000"/>
      </w:pPr>
      <w:r>
        <w:rPr>
          <w:u w:val="single"/>
        </w:rPr>
        <w:t>Artibus Response 1:</w:t>
      </w:r>
    </w:p>
    <w:p w14:paraId="68262BF9" w14:textId="77777777" w:rsidR="008A2EDE" w:rsidRDefault="008A2EDE">
      <w:pPr>
        <w:pStyle w:val="BodyText"/>
        <w:spacing w:before="6"/>
        <w:rPr>
          <w:sz w:val="20"/>
        </w:rPr>
      </w:pPr>
    </w:p>
    <w:p w14:paraId="1B71EF10" w14:textId="77777777" w:rsidR="008A2EDE" w:rsidRDefault="00A50BD3">
      <w:pPr>
        <w:ind w:left="1000" w:right="870"/>
        <w:rPr>
          <w:i/>
        </w:rPr>
      </w:pPr>
      <w:r>
        <w:rPr>
          <w:i/>
        </w:rPr>
        <w:t>The Construction IRC has deliberated on the inclusion of CPCCWHS1001 at length and has recommended that it be included in every trade level qualification. The rationale for this decision is that completion of the general construction induction training program specified by the model Code of Practice for Construction Work is required for any person who is to carry out construction</w:t>
      </w:r>
    </w:p>
    <w:p w14:paraId="7CECF919" w14:textId="77777777" w:rsidR="008A2EDE" w:rsidRDefault="00A50BD3">
      <w:pPr>
        <w:spacing w:before="1"/>
        <w:ind w:left="1000" w:right="847"/>
        <w:rPr>
          <w:i/>
        </w:rPr>
      </w:pPr>
      <w:r>
        <w:rPr>
          <w:i/>
        </w:rPr>
        <w:t>work. Achievement of unit CPCCWHS1001 Prepare to work safely in the construction industry meets this requirement.</w:t>
      </w:r>
    </w:p>
    <w:p w14:paraId="2A1D2E71" w14:textId="77777777" w:rsidR="008A2EDE" w:rsidRDefault="008A2EDE">
      <w:pPr>
        <w:pStyle w:val="BodyText"/>
        <w:rPr>
          <w:i/>
        </w:rPr>
      </w:pPr>
    </w:p>
    <w:p w14:paraId="3C8B705B" w14:textId="77777777" w:rsidR="008A2EDE" w:rsidRDefault="00A50BD3">
      <w:pPr>
        <w:ind w:left="1000" w:right="847"/>
        <w:rPr>
          <w:i/>
        </w:rPr>
      </w:pPr>
      <w:r>
        <w:rPr>
          <w:i/>
        </w:rPr>
        <w:t>The unit is included as either a core or as an entry requirement to CPC qualifications in accordance with industry advice on which is preferable. The approach taken in qualification design notes that that the unit is a stand-alone unit of competency compliant to the model code of practice and is therefore not customised to meet different contexts. A further consideration is the learner pathway noting that the majority of Certificate III apprentices already hold the unit of competency attained through lower level qualifications.</w:t>
      </w:r>
    </w:p>
    <w:p w14:paraId="4C621B97" w14:textId="77777777" w:rsidR="008A2EDE" w:rsidRDefault="008A2EDE">
      <w:pPr>
        <w:pStyle w:val="BodyText"/>
        <w:spacing w:before="9"/>
        <w:rPr>
          <w:i/>
          <w:sz w:val="21"/>
        </w:rPr>
      </w:pPr>
    </w:p>
    <w:p w14:paraId="6AC94319" w14:textId="77777777" w:rsidR="008A2EDE" w:rsidRDefault="00A50BD3">
      <w:pPr>
        <w:pStyle w:val="BodyText"/>
        <w:spacing w:before="1"/>
        <w:ind w:left="1000"/>
      </w:pPr>
      <w:r>
        <w:rPr>
          <w:u w:val="single"/>
        </w:rPr>
        <w:t>STA Feedback 2:</w:t>
      </w:r>
    </w:p>
    <w:p w14:paraId="46200EB7" w14:textId="77777777" w:rsidR="008A2EDE" w:rsidRDefault="008A2EDE">
      <w:pPr>
        <w:pStyle w:val="BodyText"/>
      </w:pPr>
    </w:p>
    <w:p w14:paraId="56E16D67" w14:textId="77777777" w:rsidR="008A2EDE" w:rsidRDefault="00A50BD3">
      <w:pPr>
        <w:ind w:left="1000" w:right="847"/>
        <w:rPr>
          <w:b/>
        </w:rPr>
      </w:pPr>
      <w:r>
        <w:t xml:space="preserve">The Certificate III in Joinery includes the current </w:t>
      </w:r>
      <w:r>
        <w:rPr>
          <w:i/>
        </w:rPr>
        <w:t xml:space="preserve">CPCCWHS2001 Apply WHS requirements, policies and procedures in the construction industry </w:t>
      </w:r>
      <w:r>
        <w:t xml:space="preserve">and its equivalent superseded unit, </w:t>
      </w:r>
      <w:r>
        <w:rPr>
          <w:i/>
        </w:rPr>
        <w:t xml:space="preserve">CPCCOHS2001A Apply OHS requirements, policies and procedures in the construction industry </w:t>
      </w:r>
      <w:r>
        <w:t xml:space="preserve">as elective units. We note that the superseded unit has been included due to it being a prerequisite to 1 unit imported from the CPC08 Construction, Plumbing and Services Training Package (CPCCSH2003A Apply and install sealant and sealant devices). Requiring learners to undertake 2 equivalent iterations of the same unit does not support industry relevant training and assessment practices, as stated in the Case for Endorsement (page 12-Implementation issues of note and management strategy). </w:t>
      </w:r>
      <w:r>
        <w:rPr>
          <w:b/>
        </w:rPr>
        <w:t>Please advise how this issue is proposed to be managed.</w:t>
      </w:r>
    </w:p>
    <w:p w14:paraId="212EE9FA" w14:textId="77777777" w:rsidR="008A2EDE" w:rsidRDefault="008A2EDE">
      <w:pPr>
        <w:pStyle w:val="BodyText"/>
        <w:spacing w:before="2"/>
        <w:rPr>
          <w:b/>
        </w:rPr>
      </w:pPr>
    </w:p>
    <w:p w14:paraId="1FD2E255" w14:textId="77777777" w:rsidR="008A2EDE" w:rsidRDefault="00A50BD3">
      <w:pPr>
        <w:pStyle w:val="BodyText"/>
        <w:spacing w:before="1"/>
        <w:ind w:left="1000"/>
      </w:pPr>
      <w:r>
        <w:rPr>
          <w:u w:val="single"/>
        </w:rPr>
        <w:t>Artibus Response 2:</w:t>
      </w:r>
    </w:p>
    <w:p w14:paraId="7841876E" w14:textId="77777777" w:rsidR="008A2EDE" w:rsidRDefault="008A2EDE">
      <w:pPr>
        <w:pStyle w:val="BodyText"/>
      </w:pPr>
    </w:p>
    <w:p w14:paraId="04F57BC7" w14:textId="77777777" w:rsidR="008A2EDE" w:rsidRDefault="00A50BD3">
      <w:pPr>
        <w:ind w:left="1000" w:right="1066"/>
        <w:rPr>
          <w:i/>
        </w:rPr>
      </w:pPr>
      <w:r>
        <w:rPr>
          <w:i/>
        </w:rPr>
        <w:t>CPCCOHS2001A Apply OHS requirements, policies and procedures in the construction industry has been removed from the qualification.</w:t>
      </w:r>
    </w:p>
    <w:p w14:paraId="589A3BA9" w14:textId="77777777" w:rsidR="008A2EDE" w:rsidRDefault="008A2EDE">
      <w:pPr>
        <w:sectPr w:rsidR="008A2EDE">
          <w:headerReference w:type="even" r:id="rId31"/>
          <w:headerReference w:type="default" r:id="rId32"/>
          <w:footerReference w:type="default" r:id="rId33"/>
          <w:headerReference w:type="first" r:id="rId34"/>
          <w:pgSz w:w="11900" w:h="16840"/>
          <w:pgMar w:top="1340" w:right="700" w:bottom="1240" w:left="440" w:header="0" w:footer="1044" w:gutter="0"/>
          <w:cols w:space="720"/>
        </w:sectPr>
      </w:pPr>
    </w:p>
    <w:p w14:paraId="2FEFAF57" w14:textId="77777777" w:rsidR="008A2EDE" w:rsidRDefault="00A50BD3">
      <w:pPr>
        <w:spacing w:before="77"/>
        <w:ind w:left="1000" w:right="823"/>
        <w:rPr>
          <w:i/>
        </w:rPr>
      </w:pPr>
      <w:r>
        <w:rPr>
          <w:i/>
        </w:rPr>
        <w:lastRenderedPageBreak/>
        <w:t>Artibus will seek IRC approval to update all units of competency to remove CPCCOHS2001A Apply OHS requirements, policies and procedures in the construction industry as a prerequisite and replace it with the updated CPCCWHS2001 Apply WHS requirements, policies and procedures in the construction industry.</w:t>
      </w:r>
    </w:p>
    <w:p w14:paraId="19267A7E" w14:textId="77777777" w:rsidR="008A2EDE" w:rsidRDefault="008A2EDE">
      <w:pPr>
        <w:pStyle w:val="BodyText"/>
        <w:spacing w:before="1"/>
        <w:rPr>
          <w:i/>
        </w:rPr>
      </w:pPr>
    </w:p>
    <w:p w14:paraId="7435FE19" w14:textId="77777777" w:rsidR="008A2EDE" w:rsidRDefault="00A50BD3">
      <w:pPr>
        <w:pStyle w:val="BodyText"/>
        <w:spacing w:before="1"/>
        <w:ind w:left="1000"/>
      </w:pPr>
      <w:r>
        <w:rPr>
          <w:u w:val="single"/>
        </w:rPr>
        <w:t>STA Feedback 3:</w:t>
      </w:r>
    </w:p>
    <w:p w14:paraId="56620C7A" w14:textId="77777777" w:rsidR="008A2EDE" w:rsidRDefault="008A2EDE">
      <w:pPr>
        <w:pStyle w:val="BodyText"/>
        <w:spacing w:before="6"/>
        <w:rPr>
          <w:sz w:val="14"/>
        </w:rPr>
      </w:pPr>
    </w:p>
    <w:p w14:paraId="0A8586DB" w14:textId="77777777" w:rsidR="008A2EDE" w:rsidRDefault="00A50BD3">
      <w:pPr>
        <w:spacing w:before="101"/>
        <w:ind w:left="1000" w:right="912"/>
      </w:pPr>
      <w:r>
        <w:t xml:space="preserve">Similarly, the Certificate III in Carpentry includes both the current </w:t>
      </w:r>
      <w:r>
        <w:rPr>
          <w:i/>
        </w:rPr>
        <w:t xml:space="preserve">CPCCWHS2001 Apply WHS requirements, policies and procedures in the construction industry </w:t>
      </w:r>
      <w:r>
        <w:t xml:space="preserve">(core) and its equivalent superseded unit, </w:t>
      </w:r>
      <w:r>
        <w:rPr>
          <w:i/>
        </w:rPr>
        <w:t xml:space="preserve">CPCCOHS2001A Apply OHS requirements, policies and procedures in the construction industry </w:t>
      </w:r>
      <w:r>
        <w:t>(specialist elective). We note that the superseded unit has been included due to it being a prerequisite to 1 unit imported from the CPC08 Construction, Plumbing and Services Training Package (</w:t>
      </w:r>
      <w:r>
        <w:rPr>
          <w:i/>
        </w:rPr>
        <w:t>CPCCWC3003A Install dry wall passive related systems</w:t>
      </w:r>
      <w:r>
        <w:t>).</w:t>
      </w:r>
    </w:p>
    <w:p w14:paraId="3F932D91" w14:textId="77777777" w:rsidR="008A2EDE" w:rsidRDefault="008A2EDE">
      <w:pPr>
        <w:pStyle w:val="BodyText"/>
        <w:spacing w:before="12"/>
      </w:pPr>
    </w:p>
    <w:p w14:paraId="0C47DB63" w14:textId="77777777" w:rsidR="008A2EDE" w:rsidRDefault="00A50BD3">
      <w:pPr>
        <w:pStyle w:val="BodyText"/>
        <w:ind w:left="1000" w:right="766"/>
        <w:rPr>
          <w:b/>
        </w:rPr>
      </w:pPr>
      <w:r>
        <w:t xml:space="preserve">Requiring learners to undertake 2 equivalent iterations of the same unit does not support industry relevant training and assessment practices, as stated in the Case for Endorsement (page 13- Implementation issues of note and management strategy). </w:t>
      </w:r>
      <w:r>
        <w:rPr>
          <w:b/>
        </w:rPr>
        <w:t>Please advise how this issue is proposed to be managed.</w:t>
      </w:r>
    </w:p>
    <w:p w14:paraId="3BB811EC" w14:textId="77777777" w:rsidR="008A2EDE" w:rsidRDefault="008A2EDE">
      <w:pPr>
        <w:pStyle w:val="BodyText"/>
        <w:spacing w:before="3"/>
        <w:rPr>
          <w:b/>
          <w:sz w:val="23"/>
        </w:rPr>
      </w:pPr>
    </w:p>
    <w:p w14:paraId="1F9463FA" w14:textId="77777777" w:rsidR="008A2EDE" w:rsidRDefault="00A50BD3">
      <w:pPr>
        <w:pStyle w:val="BodyText"/>
        <w:ind w:left="1000"/>
      </w:pPr>
      <w:r>
        <w:rPr>
          <w:u w:val="single"/>
        </w:rPr>
        <w:t>Artibus Response 3:</w:t>
      </w:r>
    </w:p>
    <w:p w14:paraId="1ACC2E1D" w14:textId="77777777" w:rsidR="008A2EDE" w:rsidRDefault="008A2EDE">
      <w:pPr>
        <w:pStyle w:val="BodyText"/>
        <w:spacing w:before="8"/>
        <w:rPr>
          <w:sz w:val="21"/>
        </w:rPr>
      </w:pPr>
    </w:p>
    <w:p w14:paraId="2611BC2B" w14:textId="77777777" w:rsidR="008A2EDE" w:rsidRDefault="00A50BD3">
      <w:pPr>
        <w:ind w:left="1000" w:right="1071"/>
      </w:pPr>
      <w:r>
        <w:rPr>
          <w:i/>
        </w:rPr>
        <w:t xml:space="preserve">CPCCOHS2001A Apply OHS requirements, policies and procedures in the construction industry </w:t>
      </w:r>
      <w:r>
        <w:t>has been removed from the qualification.</w:t>
      </w:r>
    </w:p>
    <w:p w14:paraId="116C88DA" w14:textId="77777777" w:rsidR="008A2EDE" w:rsidRDefault="008A2EDE">
      <w:pPr>
        <w:pStyle w:val="BodyText"/>
        <w:spacing w:before="1"/>
      </w:pPr>
    </w:p>
    <w:p w14:paraId="0BCAD4C3" w14:textId="77777777" w:rsidR="008A2EDE" w:rsidRDefault="00A50BD3">
      <w:pPr>
        <w:ind w:left="1000" w:right="811"/>
        <w:rPr>
          <w:i/>
        </w:rPr>
      </w:pPr>
      <w:r>
        <w:t xml:space="preserve">Artibus will seek IRC approval to update all units of competency to remove </w:t>
      </w:r>
      <w:r>
        <w:rPr>
          <w:i/>
        </w:rPr>
        <w:t xml:space="preserve">CPCCOHS2001A Apply OHS requirements, policies and procedures in the construction industry </w:t>
      </w:r>
      <w:r>
        <w:t xml:space="preserve">as a prerequisite and replace it with the updated </w:t>
      </w:r>
      <w:r>
        <w:rPr>
          <w:i/>
        </w:rPr>
        <w:t>CPCCWHS2001 Apply WHS requirements, policies and procedures in the construction industry.</w:t>
      </w:r>
    </w:p>
    <w:p w14:paraId="7F50EDD7" w14:textId="77777777" w:rsidR="008A2EDE" w:rsidRDefault="008A2EDE">
      <w:pPr>
        <w:pStyle w:val="BodyText"/>
        <w:spacing w:before="1"/>
        <w:rPr>
          <w:i/>
        </w:rPr>
      </w:pPr>
    </w:p>
    <w:p w14:paraId="5EC1495D" w14:textId="77777777" w:rsidR="008A2EDE" w:rsidRDefault="00A50BD3">
      <w:pPr>
        <w:pStyle w:val="BodyText"/>
        <w:ind w:left="1000"/>
      </w:pPr>
      <w:r>
        <w:rPr>
          <w:u w:val="single"/>
        </w:rPr>
        <w:t>STA Feedback 4:</w:t>
      </w:r>
    </w:p>
    <w:p w14:paraId="38286328" w14:textId="77777777" w:rsidR="008A2EDE" w:rsidRDefault="008A2EDE">
      <w:pPr>
        <w:pStyle w:val="BodyText"/>
        <w:spacing w:before="7"/>
        <w:rPr>
          <w:sz w:val="14"/>
        </w:rPr>
      </w:pPr>
    </w:p>
    <w:p w14:paraId="0070BE5E" w14:textId="77777777" w:rsidR="008A2EDE" w:rsidRDefault="00A50BD3">
      <w:pPr>
        <w:spacing w:before="101"/>
        <w:ind w:left="1000" w:right="1147"/>
      </w:pPr>
      <w:r>
        <w:t xml:space="preserve">We also note that the unit </w:t>
      </w:r>
      <w:r>
        <w:rPr>
          <w:i/>
        </w:rPr>
        <w:t xml:space="preserve">Work safely at heights </w:t>
      </w:r>
      <w:r>
        <w:t>is included in the core of the Certificate III in Carpentry with the code CPCCCM2012. This unit is currently listed on the national register as</w:t>
      </w:r>
      <w:r>
        <w:rPr>
          <w:i/>
        </w:rPr>
        <w:t>CPCCCM2010B Work safely at heights</w:t>
      </w:r>
      <w:r>
        <w:t xml:space="preserve">. There is no indication that this unit is also proposed for endorsement and the current unit also has the superseded unit </w:t>
      </w:r>
      <w:r>
        <w:rPr>
          <w:i/>
        </w:rPr>
        <w:t xml:space="preserve">CPCCOHS2001A Apply OHS requirements, policies and procedures in the construction industry </w:t>
      </w:r>
      <w:r>
        <w:t>as a prerequisite.</w:t>
      </w:r>
    </w:p>
    <w:p w14:paraId="0043BE8B" w14:textId="77777777" w:rsidR="008A2EDE" w:rsidRDefault="00A50BD3">
      <w:pPr>
        <w:pStyle w:val="Heading7"/>
        <w:spacing w:before="1"/>
        <w:ind w:left="1000" w:right="766"/>
      </w:pPr>
      <w:r>
        <w:t>Please advise if the unit CPCCCM2010B Work safely at heights is proposed for endorsement in another concurrent project, with the code CPCCCM2012, and how any concurrent endorsement will be managed where the unit is included in multiple qualifications? If this is not the case please amend the qualification with the correct code.</w:t>
      </w:r>
    </w:p>
    <w:p w14:paraId="41F19C49" w14:textId="77777777" w:rsidR="008A2EDE" w:rsidRDefault="008A2EDE">
      <w:pPr>
        <w:pStyle w:val="BodyText"/>
        <w:spacing w:before="11"/>
        <w:rPr>
          <w:b/>
        </w:rPr>
      </w:pPr>
    </w:p>
    <w:p w14:paraId="6D056DED" w14:textId="77777777" w:rsidR="008A2EDE" w:rsidRDefault="00A50BD3">
      <w:pPr>
        <w:pStyle w:val="BodyText"/>
        <w:ind w:left="1000"/>
      </w:pPr>
      <w:r>
        <w:rPr>
          <w:u w:val="single"/>
        </w:rPr>
        <w:t>Artibus Response 4:</w:t>
      </w:r>
    </w:p>
    <w:p w14:paraId="04570387" w14:textId="77777777" w:rsidR="008A2EDE" w:rsidRDefault="008A2EDE">
      <w:pPr>
        <w:pStyle w:val="BodyText"/>
        <w:spacing w:before="11"/>
        <w:rPr>
          <w:sz w:val="14"/>
        </w:rPr>
      </w:pPr>
    </w:p>
    <w:p w14:paraId="192F1136" w14:textId="77777777" w:rsidR="008A2EDE" w:rsidRDefault="00A50BD3">
      <w:pPr>
        <w:spacing w:before="101"/>
        <w:ind w:left="1000"/>
        <w:rPr>
          <w:i/>
        </w:rPr>
      </w:pPr>
      <w:r>
        <w:rPr>
          <w:i/>
        </w:rPr>
        <w:t>The qualification will be amended to reflect CPCCCM2010B Work safely at heights.</w:t>
      </w:r>
    </w:p>
    <w:p w14:paraId="3DB3FCD0" w14:textId="77777777" w:rsidR="008A2EDE" w:rsidRDefault="008A2EDE">
      <w:pPr>
        <w:pStyle w:val="BodyText"/>
        <w:spacing w:before="10"/>
        <w:rPr>
          <w:i/>
        </w:rPr>
      </w:pPr>
    </w:p>
    <w:p w14:paraId="3CF69A3E" w14:textId="77777777" w:rsidR="008A2EDE" w:rsidRDefault="00A50BD3">
      <w:pPr>
        <w:pStyle w:val="BodyText"/>
        <w:ind w:left="1000"/>
      </w:pPr>
      <w:r>
        <w:rPr>
          <w:u w:val="single"/>
        </w:rPr>
        <w:t>STA Feedback 5:</w:t>
      </w:r>
    </w:p>
    <w:p w14:paraId="5B881ED4" w14:textId="77777777" w:rsidR="008A2EDE" w:rsidRDefault="008A2EDE">
      <w:pPr>
        <w:pStyle w:val="BodyText"/>
        <w:spacing w:before="7"/>
        <w:rPr>
          <w:sz w:val="14"/>
        </w:rPr>
      </w:pPr>
    </w:p>
    <w:p w14:paraId="101390D9" w14:textId="77777777" w:rsidR="008A2EDE" w:rsidRDefault="00A50BD3">
      <w:pPr>
        <w:spacing w:before="101"/>
        <w:ind w:left="1000" w:right="981"/>
        <w:rPr>
          <w:b/>
        </w:rPr>
      </w:pPr>
      <w:r>
        <w:t xml:space="preserve">The following feedback provided by Victorian stakeholders has not been addressed </w:t>
      </w:r>
      <w:r>
        <w:rPr>
          <w:b/>
        </w:rPr>
        <w:t>(why has this occurred or why have the reasons for not addressing the feedback been provided and consulted on?):</w:t>
      </w:r>
    </w:p>
    <w:p w14:paraId="59A88289" w14:textId="77777777" w:rsidR="008A2EDE" w:rsidRDefault="008A2EDE">
      <w:pPr>
        <w:sectPr w:rsidR="008A2EDE">
          <w:pgSz w:w="11900" w:h="16840"/>
          <w:pgMar w:top="1340" w:right="700" w:bottom="1240" w:left="440" w:header="0" w:footer="1044" w:gutter="0"/>
          <w:cols w:space="720"/>
        </w:sectPr>
      </w:pPr>
    </w:p>
    <w:p w14:paraId="30A4BA55" w14:textId="77777777" w:rsidR="008A2EDE" w:rsidRDefault="008A2EDE">
      <w:pPr>
        <w:pStyle w:val="BodyText"/>
        <w:rPr>
          <w:b/>
        </w:rPr>
      </w:pPr>
    </w:p>
    <w:p w14:paraId="3A8D0C52" w14:textId="77777777" w:rsidR="008A2EDE" w:rsidRDefault="00A50BD3" w:rsidP="005056E0">
      <w:pPr>
        <w:pStyle w:val="ListParagraph"/>
        <w:numPr>
          <w:ilvl w:val="0"/>
          <w:numId w:val="2"/>
        </w:numPr>
        <w:tabs>
          <w:tab w:val="left" w:pos="2141"/>
        </w:tabs>
        <w:spacing w:before="101"/>
        <w:ind w:right="1099" w:firstLine="0"/>
        <w:jc w:val="both"/>
      </w:pPr>
      <w:r>
        <w:t>The core units should reflect the essential minimum skill set required by all qualified joiners. The following core units are appropriate as elective options as not all Joiners are required to perform these</w:t>
      </w:r>
      <w:r>
        <w:rPr>
          <w:spacing w:val="-5"/>
        </w:rPr>
        <w:t xml:space="preserve"> </w:t>
      </w:r>
      <w:r>
        <w:t>tasks:</w:t>
      </w:r>
    </w:p>
    <w:p w14:paraId="501E7D88" w14:textId="77777777" w:rsidR="008A2EDE" w:rsidRDefault="008A2EDE">
      <w:pPr>
        <w:pStyle w:val="BodyText"/>
        <w:spacing w:before="10"/>
      </w:pPr>
    </w:p>
    <w:p w14:paraId="3CC298C8" w14:textId="77777777" w:rsidR="008A2EDE" w:rsidRDefault="00A50BD3">
      <w:pPr>
        <w:pStyle w:val="BodyText"/>
        <w:spacing w:line="489" w:lineRule="auto"/>
        <w:ind w:left="2185" w:right="4631"/>
      </w:pPr>
      <w:r>
        <w:t>CPCCCA3010 Install windows and doors CPCCPD3021A Prepare surfaces for painting</w:t>
      </w:r>
    </w:p>
    <w:p w14:paraId="106C0A59" w14:textId="77777777" w:rsidR="008A2EDE" w:rsidRDefault="00A50BD3">
      <w:pPr>
        <w:pStyle w:val="BodyText"/>
        <w:spacing w:line="267" w:lineRule="exact"/>
        <w:ind w:left="2185"/>
      </w:pPr>
      <w:r>
        <w:t>MSFFM3011 Measure and drawer a site layout for manufactured furniture products</w:t>
      </w:r>
    </w:p>
    <w:p w14:paraId="1BD5BC12" w14:textId="77777777" w:rsidR="008A2EDE" w:rsidRDefault="008A2EDE">
      <w:pPr>
        <w:pStyle w:val="BodyText"/>
        <w:spacing w:before="3"/>
        <w:rPr>
          <w:sz w:val="23"/>
        </w:rPr>
      </w:pPr>
    </w:p>
    <w:p w14:paraId="719CB9CE" w14:textId="77777777" w:rsidR="008A2EDE" w:rsidRDefault="00A50BD3" w:rsidP="005056E0">
      <w:pPr>
        <w:pStyle w:val="ListParagraph"/>
        <w:numPr>
          <w:ilvl w:val="0"/>
          <w:numId w:val="2"/>
        </w:numPr>
        <w:tabs>
          <w:tab w:val="left" w:pos="2115"/>
          <w:tab w:val="left" w:pos="2116"/>
        </w:tabs>
        <w:spacing w:line="489" w:lineRule="auto"/>
        <w:ind w:left="2185" w:right="3447" w:hanging="462"/>
      </w:pPr>
      <w:r>
        <w:t>The following 2 core units duplicate plan reading: CPCCCM2001 Read and interpret plans and</w:t>
      </w:r>
      <w:r>
        <w:rPr>
          <w:spacing w:val="-29"/>
        </w:rPr>
        <w:t xml:space="preserve"> </w:t>
      </w:r>
      <w:r>
        <w:t>specifications</w:t>
      </w:r>
    </w:p>
    <w:p w14:paraId="249107AD" w14:textId="77777777" w:rsidR="008A2EDE" w:rsidRDefault="00A50BD3">
      <w:pPr>
        <w:pStyle w:val="BodyText"/>
        <w:ind w:left="2080" w:right="847" w:firstLine="105"/>
      </w:pPr>
      <w:r>
        <w:t>CPCCCM3004</w:t>
      </w:r>
      <w:r>
        <w:rPr>
          <w:spacing w:val="-5"/>
        </w:rPr>
        <w:t xml:space="preserve"> </w:t>
      </w:r>
      <w:r>
        <w:t>Identify</w:t>
      </w:r>
      <w:r>
        <w:rPr>
          <w:spacing w:val="-4"/>
        </w:rPr>
        <w:t xml:space="preserve"> </w:t>
      </w:r>
      <w:r>
        <w:t>and</w:t>
      </w:r>
      <w:r>
        <w:rPr>
          <w:spacing w:val="-5"/>
        </w:rPr>
        <w:t xml:space="preserve"> </w:t>
      </w:r>
      <w:r>
        <w:t>apply</w:t>
      </w:r>
      <w:r>
        <w:rPr>
          <w:spacing w:val="-4"/>
        </w:rPr>
        <w:t xml:space="preserve"> </w:t>
      </w:r>
      <w:r>
        <w:t>information</w:t>
      </w:r>
      <w:r>
        <w:rPr>
          <w:spacing w:val="-5"/>
        </w:rPr>
        <w:t xml:space="preserve"> </w:t>
      </w:r>
      <w:r>
        <w:t>in</w:t>
      </w:r>
      <w:r>
        <w:rPr>
          <w:spacing w:val="-3"/>
        </w:rPr>
        <w:t xml:space="preserve"> </w:t>
      </w:r>
      <w:r>
        <w:t>construction</w:t>
      </w:r>
      <w:r>
        <w:rPr>
          <w:spacing w:val="-5"/>
        </w:rPr>
        <w:t xml:space="preserve"> </w:t>
      </w:r>
      <w:r>
        <w:t>plans,</w:t>
      </w:r>
      <w:r>
        <w:rPr>
          <w:spacing w:val="-4"/>
        </w:rPr>
        <w:t xml:space="preserve"> </w:t>
      </w:r>
      <w:r>
        <w:t>drawings</w:t>
      </w:r>
      <w:r>
        <w:rPr>
          <w:spacing w:val="-5"/>
        </w:rPr>
        <w:t xml:space="preserve"> </w:t>
      </w:r>
      <w:r>
        <w:t>and specifications</w:t>
      </w:r>
    </w:p>
    <w:p w14:paraId="6AE04ACA" w14:textId="77777777" w:rsidR="008A2EDE" w:rsidRDefault="008A2EDE">
      <w:pPr>
        <w:pStyle w:val="BodyText"/>
        <w:spacing w:before="9"/>
      </w:pPr>
    </w:p>
    <w:p w14:paraId="39A22A82" w14:textId="77777777" w:rsidR="008A2EDE" w:rsidRDefault="00A50BD3" w:rsidP="005056E0">
      <w:pPr>
        <w:pStyle w:val="ListParagraph"/>
        <w:numPr>
          <w:ilvl w:val="0"/>
          <w:numId w:val="2"/>
        </w:numPr>
        <w:tabs>
          <w:tab w:val="left" w:pos="2127"/>
          <w:tab w:val="left" w:pos="2128"/>
        </w:tabs>
        <w:ind w:right="875" w:firstLine="0"/>
      </w:pPr>
      <w:r>
        <w:rPr>
          <w:i/>
        </w:rPr>
        <w:t xml:space="preserve">CPCCJS3002 Manufacture stair components </w:t>
      </w:r>
      <w:r>
        <w:t xml:space="preserve">for straight flighted stairs is listed as a core unit however, </w:t>
      </w:r>
      <w:r>
        <w:rPr>
          <w:i/>
        </w:rPr>
        <w:t xml:space="preserve">CPCCJS3011 Design and set out stairs </w:t>
      </w:r>
      <w:r>
        <w:t>is listed as a specialist elective. If students are required to manufacture stairs surely they would require an understanding of designing and setting out the product they are constructing. It is suggested the design and set out unit be moved to the core units to complement the existing stair</w:t>
      </w:r>
      <w:r>
        <w:rPr>
          <w:spacing w:val="-24"/>
        </w:rPr>
        <w:t xml:space="preserve"> </w:t>
      </w:r>
      <w:r>
        <w:t>unit.</w:t>
      </w:r>
    </w:p>
    <w:p w14:paraId="1D459246" w14:textId="77777777" w:rsidR="008A2EDE" w:rsidRDefault="008A2EDE">
      <w:pPr>
        <w:pStyle w:val="BodyText"/>
        <w:spacing w:before="6"/>
        <w:rPr>
          <w:sz w:val="23"/>
        </w:rPr>
      </w:pPr>
    </w:p>
    <w:p w14:paraId="11094121" w14:textId="77777777" w:rsidR="008A2EDE" w:rsidRDefault="00A50BD3" w:rsidP="005056E0">
      <w:pPr>
        <w:pStyle w:val="ListParagraph"/>
        <w:numPr>
          <w:ilvl w:val="0"/>
          <w:numId w:val="2"/>
        </w:numPr>
        <w:tabs>
          <w:tab w:val="left" w:pos="2115"/>
          <w:tab w:val="left" w:pos="2116"/>
        </w:tabs>
        <w:spacing w:line="237" w:lineRule="auto"/>
        <w:ind w:right="863" w:firstLine="0"/>
      </w:pPr>
      <w:r>
        <w:rPr>
          <w:i/>
        </w:rPr>
        <w:t xml:space="preserve">CPCCJN3003 Manufacture components for doors, windows and frames </w:t>
      </w:r>
      <w:r>
        <w:t xml:space="preserve">is listed as a specialist unit. This skill along with the ability to assemble the components are an essential skill for a joiner. It is suggested to move this unit to the core units along with </w:t>
      </w:r>
      <w:r>
        <w:rPr>
          <w:i/>
        </w:rPr>
        <w:t>CPCCJN2001A Assemble</w:t>
      </w:r>
      <w:r>
        <w:rPr>
          <w:i/>
          <w:spacing w:val="-2"/>
        </w:rPr>
        <w:t xml:space="preserve"> </w:t>
      </w:r>
      <w:r>
        <w:rPr>
          <w:i/>
        </w:rPr>
        <w:t>components</w:t>
      </w:r>
      <w:r>
        <w:t>.</w:t>
      </w:r>
    </w:p>
    <w:p w14:paraId="2B143D38" w14:textId="77777777" w:rsidR="008A2EDE" w:rsidRDefault="008A2EDE">
      <w:pPr>
        <w:pStyle w:val="BodyText"/>
        <w:spacing w:before="7"/>
        <w:rPr>
          <w:sz w:val="23"/>
        </w:rPr>
      </w:pPr>
    </w:p>
    <w:p w14:paraId="427D69F5" w14:textId="77777777" w:rsidR="008A2EDE" w:rsidRDefault="00A50BD3" w:rsidP="005056E0">
      <w:pPr>
        <w:pStyle w:val="ListParagraph"/>
        <w:numPr>
          <w:ilvl w:val="0"/>
          <w:numId w:val="2"/>
        </w:numPr>
        <w:tabs>
          <w:tab w:val="left" w:pos="2109"/>
          <w:tab w:val="left" w:pos="2110"/>
        </w:tabs>
        <w:ind w:right="1099" w:firstLine="0"/>
      </w:pPr>
      <w:r>
        <w:t xml:space="preserve">The unit </w:t>
      </w:r>
      <w:r>
        <w:rPr>
          <w:i/>
        </w:rPr>
        <w:t xml:space="preserve">CPCCWHS2001 Apply WHS requirements, policies and procedures in the construction </w:t>
      </w:r>
      <w:r>
        <w:t>industry is listed as a pre-requisite unit for multiple units in the qualification however, it is only listed as a Group B</w:t>
      </w:r>
      <w:r>
        <w:rPr>
          <w:spacing w:val="-11"/>
        </w:rPr>
        <w:t xml:space="preserve"> </w:t>
      </w:r>
      <w:r>
        <w:t>elective.</w:t>
      </w:r>
    </w:p>
    <w:p w14:paraId="6056A2F6" w14:textId="77777777" w:rsidR="008A2EDE" w:rsidRDefault="008A2EDE">
      <w:pPr>
        <w:pStyle w:val="BodyText"/>
        <w:spacing w:before="11"/>
      </w:pPr>
    </w:p>
    <w:p w14:paraId="76B691BA" w14:textId="77777777" w:rsidR="008A2EDE" w:rsidRDefault="00A50BD3" w:rsidP="005056E0">
      <w:pPr>
        <w:pStyle w:val="ListParagraph"/>
        <w:numPr>
          <w:ilvl w:val="0"/>
          <w:numId w:val="2"/>
        </w:numPr>
        <w:tabs>
          <w:tab w:val="left" w:pos="2136"/>
          <w:tab w:val="left" w:pos="2137"/>
        </w:tabs>
        <w:ind w:right="735" w:firstLine="0"/>
      </w:pPr>
      <w:r>
        <w:t>The specialist units as listed contain nine units, six of which are stair units. While this would suit stair specialists it does not cater for specialists in other areas. The list of specialist units needs to be expanded to cater for a wider range of industry</w:t>
      </w:r>
      <w:r>
        <w:rPr>
          <w:spacing w:val="-20"/>
        </w:rPr>
        <w:t xml:space="preserve"> </w:t>
      </w:r>
      <w:r>
        <w:t>areas.</w:t>
      </w:r>
    </w:p>
    <w:p w14:paraId="55018F05" w14:textId="77777777" w:rsidR="008A2EDE" w:rsidRDefault="008A2EDE">
      <w:pPr>
        <w:pStyle w:val="BodyText"/>
        <w:spacing w:before="8"/>
        <w:rPr>
          <w:sz w:val="19"/>
        </w:rPr>
      </w:pPr>
    </w:p>
    <w:p w14:paraId="37D895CC" w14:textId="77777777" w:rsidR="008A2EDE" w:rsidRDefault="00A50BD3">
      <w:pPr>
        <w:pStyle w:val="Heading7"/>
        <w:spacing w:before="1"/>
        <w:ind w:left="1362"/>
      </w:pPr>
      <w:r>
        <w:t>Please advise a response to the Victorian stakeholder feedback.</w:t>
      </w:r>
    </w:p>
    <w:p w14:paraId="0AF78AEE" w14:textId="77777777" w:rsidR="008A2EDE" w:rsidRDefault="008A2EDE">
      <w:pPr>
        <w:pStyle w:val="BodyText"/>
        <w:spacing w:before="5"/>
        <w:rPr>
          <w:b/>
          <w:sz w:val="20"/>
        </w:rPr>
      </w:pPr>
    </w:p>
    <w:p w14:paraId="55997B71" w14:textId="77777777" w:rsidR="008A2EDE" w:rsidRDefault="00A50BD3">
      <w:pPr>
        <w:pStyle w:val="BodyText"/>
        <w:ind w:left="1000"/>
      </w:pPr>
      <w:r>
        <w:rPr>
          <w:u w:val="single"/>
        </w:rPr>
        <w:t>Artibus Response 5:</w:t>
      </w:r>
    </w:p>
    <w:p w14:paraId="7C21739E" w14:textId="77777777" w:rsidR="008A2EDE" w:rsidRDefault="008A2EDE">
      <w:pPr>
        <w:pStyle w:val="BodyText"/>
        <w:spacing w:before="11"/>
        <w:rPr>
          <w:sz w:val="20"/>
        </w:rPr>
      </w:pPr>
    </w:p>
    <w:p w14:paraId="2A5D5EE0" w14:textId="77777777" w:rsidR="008A2EDE" w:rsidRDefault="00A50BD3">
      <w:pPr>
        <w:spacing w:line="268" w:lineRule="exact"/>
        <w:ind w:left="1000"/>
        <w:rPr>
          <w:i/>
        </w:rPr>
      </w:pPr>
      <w:r>
        <w:rPr>
          <w:i/>
        </w:rPr>
        <w:t>The TAG reviewed the teachers network comments and note that:</w:t>
      </w:r>
    </w:p>
    <w:p w14:paraId="5B0D6F32" w14:textId="77777777" w:rsidR="008A2EDE" w:rsidRDefault="00A50BD3" w:rsidP="005056E0">
      <w:pPr>
        <w:pStyle w:val="ListParagraph"/>
        <w:numPr>
          <w:ilvl w:val="1"/>
          <w:numId w:val="3"/>
        </w:numPr>
        <w:tabs>
          <w:tab w:val="left" w:pos="1719"/>
          <w:tab w:val="left" w:pos="1720"/>
        </w:tabs>
        <w:ind w:right="1011"/>
        <w:rPr>
          <w:rFonts w:ascii="Symbol" w:hAnsi="Symbol"/>
          <w:i/>
        </w:rPr>
      </w:pPr>
      <w:r>
        <w:rPr>
          <w:i/>
        </w:rPr>
        <w:t>Comments</w:t>
      </w:r>
      <w:r>
        <w:rPr>
          <w:i/>
          <w:spacing w:val="-4"/>
        </w:rPr>
        <w:t xml:space="preserve"> </w:t>
      </w:r>
      <w:r>
        <w:rPr>
          <w:i/>
        </w:rPr>
        <w:t>in</w:t>
      </w:r>
      <w:r>
        <w:rPr>
          <w:i/>
          <w:spacing w:val="-3"/>
        </w:rPr>
        <w:t xml:space="preserve"> </w:t>
      </w:r>
      <w:r>
        <w:rPr>
          <w:i/>
        </w:rPr>
        <w:t>relation</w:t>
      </w:r>
      <w:r>
        <w:rPr>
          <w:i/>
          <w:spacing w:val="-3"/>
        </w:rPr>
        <w:t xml:space="preserve"> </w:t>
      </w:r>
      <w:r>
        <w:rPr>
          <w:i/>
        </w:rPr>
        <w:t>to</w:t>
      </w:r>
      <w:r>
        <w:rPr>
          <w:i/>
          <w:spacing w:val="-3"/>
        </w:rPr>
        <w:t xml:space="preserve"> </w:t>
      </w:r>
      <w:r>
        <w:rPr>
          <w:i/>
        </w:rPr>
        <w:t>incorrect</w:t>
      </w:r>
      <w:r>
        <w:rPr>
          <w:i/>
          <w:spacing w:val="-3"/>
        </w:rPr>
        <w:t xml:space="preserve"> </w:t>
      </w:r>
      <w:r>
        <w:rPr>
          <w:i/>
        </w:rPr>
        <w:t>mapping</w:t>
      </w:r>
      <w:r>
        <w:rPr>
          <w:i/>
          <w:spacing w:val="-3"/>
        </w:rPr>
        <w:t xml:space="preserve"> </w:t>
      </w:r>
      <w:r>
        <w:rPr>
          <w:i/>
        </w:rPr>
        <w:t>and</w:t>
      </w:r>
      <w:r>
        <w:rPr>
          <w:i/>
          <w:spacing w:val="-4"/>
        </w:rPr>
        <w:t xml:space="preserve"> </w:t>
      </w:r>
      <w:r>
        <w:rPr>
          <w:i/>
        </w:rPr>
        <w:t>duplication</w:t>
      </w:r>
      <w:r>
        <w:rPr>
          <w:i/>
          <w:spacing w:val="-3"/>
        </w:rPr>
        <w:t xml:space="preserve"> </w:t>
      </w:r>
      <w:r>
        <w:rPr>
          <w:i/>
        </w:rPr>
        <w:t>have</w:t>
      </w:r>
      <w:r>
        <w:rPr>
          <w:i/>
          <w:spacing w:val="-3"/>
        </w:rPr>
        <w:t xml:space="preserve"> </w:t>
      </w:r>
      <w:r>
        <w:rPr>
          <w:i/>
        </w:rPr>
        <w:t>been</w:t>
      </w:r>
      <w:r>
        <w:rPr>
          <w:i/>
          <w:spacing w:val="-3"/>
        </w:rPr>
        <w:t xml:space="preserve"> </w:t>
      </w:r>
      <w:r>
        <w:rPr>
          <w:i/>
        </w:rPr>
        <w:t>picked</w:t>
      </w:r>
      <w:r>
        <w:rPr>
          <w:i/>
          <w:spacing w:val="-3"/>
        </w:rPr>
        <w:t xml:space="preserve"> </w:t>
      </w:r>
      <w:r>
        <w:rPr>
          <w:i/>
        </w:rPr>
        <w:t>up as</w:t>
      </w:r>
      <w:r>
        <w:rPr>
          <w:i/>
          <w:spacing w:val="-4"/>
        </w:rPr>
        <w:t xml:space="preserve"> </w:t>
      </w:r>
      <w:r>
        <w:rPr>
          <w:i/>
        </w:rPr>
        <w:t>part</w:t>
      </w:r>
      <w:r>
        <w:rPr>
          <w:i/>
          <w:spacing w:val="-3"/>
        </w:rPr>
        <w:t xml:space="preserve"> </w:t>
      </w:r>
      <w:r>
        <w:rPr>
          <w:i/>
        </w:rPr>
        <w:t>of QA</w:t>
      </w:r>
    </w:p>
    <w:p w14:paraId="2D6FB75E" w14:textId="77777777" w:rsidR="008A2EDE" w:rsidRDefault="00A50BD3" w:rsidP="005056E0">
      <w:pPr>
        <w:pStyle w:val="ListParagraph"/>
        <w:numPr>
          <w:ilvl w:val="1"/>
          <w:numId w:val="3"/>
        </w:numPr>
        <w:tabs>
          <w:tab w:val="left" w:pos="1719"/>
          <w:tab w:val="left" w:pos="1720"/>
        </w:tabs>
        <w:spacing w:line="242" w:lineRule="auto"/>
        <w:ind w:right="813"/>
        <w:rPr>
          <w:rFonts w:ascii="Symbol" w:hAnsi="Symbol"/>
          <w:i/>
        </w:rPr>
      </w:pPr>
      <w:r>
        <w:rPr>
          <w:i/>
        </w:rPr>
        <w:t>Suggestions in relation to moving units from core to elective and vice versa are obviously not actionable at this stage, although upon review their requests can all be catered for at a local level through the packaging rules, which as they say, allow for significant flexibility and import from other training packages (purposely to cater for an industry sector that straddles manufacturing, pre assembly and a more traditional</w:t>
      </w:r>
      <w:r>
        <w:rPr>
          <w:i/>
          <w:spacing w:val="-10"/>
        </w:rPr>
        <w:t xml:space="preserve"> </w:t>
      </w:r>
      <w:r>
        <w:rPr>
          <w:i/>
        </w:rPr>
        <w:t>base)</w:t>
      </w:r>
    </w:p>
    <w:p w14:paraId="31DA61B3" w14:textId="77777777" w:rsidR="008A2EDE" w:rsidRDefault="008A2EDE">
      <w:pPr>
        <w:spacing w:line="242" w:lineRule="auto"/>
        <w:rPr>
          <w:rFonts w:ascii="Symbol" w:hAnsi="Symbol"/>
        </w:rPr>
        <w:sectPr w:rsidR="008A2EDE">
          <w:pgSz w:w="11900" w:h="16840"/>
          <w:pgMar w:top="1600" w:right="700" w:bottom="1240" w:left="440" w:header="0" w:footer="1044" w:gutter="0"/>
          <w:cols w:space="720"/>
        </w:sectPr>
      </w:pPr>
    </w:p>
    <w:p w14:paraId="21E2CD9F" w14:textId="77777777" w:rsidR="008A2EDE" w:rsidRDefault="00A50BD3" w:rsidP="005056E0">
      <w:pPr>
        <w:pStyle w:val="ListParagraph"/>
        <w:numPr>
          <w:ilvl w:val="1"/>
          <w:numId w:val="3"/>
        </w:numPr>
        <w:tabs>
          <w:tab w:val="left" w:pos="1719"/>
          <w:tab w:val="left" w:pos="1720"/>
        </w:tabs>
        <w:spacing w:before="75" w:line="244" w:lineRule="auto"/>
        <w:ind w:right="872"/>
        <w:rPr>
          <w:rFonts w:ascii="Symbol" w:hAnsi="Symbol"/>
          <w:i/>
        </w:rPr>
      </w:pPr>
      <w:r>
        <w:rPr>
          <w:i/>
        </w:rPr>
        <w:lastRenderedPageBreak/>
        <w:t>Industry feedback on some items differs from theirs - for example Schiavellos specifically sought</w:t>
      </w:r>
      <w:r>
        <w:rPr>
          <w:i/>
          <w:spacing w:val="-4"/>
        </w:rPr>
        <w:t xml:space="preserve"> </w:t>
      </w:r>
      <w:r>
        <w:rPr>
          <w:i/>
        </w:rPr>
        <w:t>the</w:t>
      </w:r>
      <w:r>
        <w:rPr>
          <w:i/>
          <w:spacing w:val="-3"/>
        </w:rPr>
        <w:t xml:space="preserve"> </w:t>
      </w:r>
      <w:r>
        <w:rPr>
          <w:i/>
        </w:rPr>
        <w:t>inclusion</w:t>
      </w:r>
      <w:r>
        <w:rPr>
          <w:i/>
          <w:spacing w:val="-3"/>
        </w:rPr>
        <w:t xml:space="preserve"> </w:t>
      </w:r>
      <w:r>
        <w:rPr>
          <w:i/>
        </w:rPr>
        <w:t>of</w:t>
      </w:r>
      <w:r>
        <w:rPr>
          <w:i/>
          <w:spacing w:val="-3"/>
        </w:rPr>
        <w:t xml:space="preserve"> </w:t>
      </w:r>
      <w:r>
        <w:rPr>
          <w:i/>
        </w:rPr>
        <w:t>Prepare</w:t>
      </w:r>
      <w:r>
        <w:rPr>
          <w:i/>
          <w:spacing w:val="-4"/>
        </w:rPr>
        <w:t xml:space="preserve"> </w:t>
      </w:r>
      <w:r>
        <w:rPr>
          <w:i/>
        </w:rPr>
        <w:t>surfaces</w:t>
      </w:r>
      <w:r>
        <w:rPr>
          <w:i/>
          <w:spacing w:val="-3"/>
        </w:rPr>
        <w:t xml:space="preserve"> </w:t>
      </w:r>
      <w:r>
        <w:rPr>
          <w:i/>
        </w:rPr>
        <w:t>for</w:t>
      </w:r>
      <w:r>
        <w:rPr>
          <w:i/>
          <w:spacing w:val="-3"/>
        </w:rPr>
        <w:t xml:space="preserve"> </w:t>
      </w:r>
      <w:r>
        <w:rPr>
          <w:i/>
        </w:rPr>
        <w:t>paining</w:t>
      </w:r>
      <w:r>
        <w:rPr>
          <w:i/>
          <w:spacing w:val="-3"/>
        </w:rPr>
        <w:t xml:space="preserve"> </w:t>
      </w:r>
      <w:r>
        <w:rPr>
          <w:i/>
        </w:rPr>
        <w:t>and</w:t>
      </w:r>
      <w:r>
        <w:rPr>
          <w:i/>
          <w:spacing w:val="-4"/>
        </w:rPr>
        <w:t xml:space="preserve"> </w:t>
      </w:r>
      <w:r>
        <w:rPr>
          <w:i/>
        </w:rPr>
        <w:t>the</w:t>
      </w:r>
      <w:r>
        <w:rPr>
          <w:i/>
          <w:spacing w:val="-3"/>
        </w:rPr>
        <w:t xml:space="preserve"> </w:t>
      </w:r>
      <w:r>
        <w:rPr>
          <w:i/>
        </w:rPr>
        <w:t>removal</w:t>
      </w:r>
      <w:r>
        <w:rPr>
          <w:i/>
          <w:spacing w:val="-3"/>
        </w:rPr>
        <w:t xml:space="preserve"> </w:t>
      </w:r>
      <w:r>
        <w:rPr>
          <w:i/>
        </w:rPr>
        <w:t>of</w:t>
      </w:r>
      <w:r>
        <w:rPr>
          <w:i/>
          <w:spacing w:val="-3"/>
        </w:rPr>
        <w:t xml:space="preserve"> </w:t>
      </w:r>
      <w:r>
        <w:rPr>
          <w:i/>
        </w:rPr>
        <w:t>Cut</w:t>
      </w:r>
      <w:r>
        <w:rPr>
          <w:i/>
          <w:spacing w:val="-4"/>
        </w:rPr>
        <w:t xml:space="preserve"> </w:t>
      </w:r>
      <w:r>
        <w:rPr>
          <w:i/>
        </w:rPr>
        <w:t>and</w:t>
      </w:r>
      <w:r>
        <w:rPr>
          <w:i/>
          <w:spacing w:val="-3"/>
        </w:rPr>
        <w:t xml:space="preserve"> </w:t>
      </w:r>
      <w:r>
        <w:rPr>
          <w:i/>
        </w:rPr>
        <w:t>Install</w:t>
      </w:r>
      <w:r>
        <w:rPr>
          <w:i/>
          <w:spacing w:val="-3"/>
        </w:rPr>
        <w:t xml:space="preserve"> </w:t>
      </w:r>
      <w:r>
        <w:rPr>
          <w:i/>
        </w:rPr>
        <w:t>Glass</w:t>
      </w:r>
    </w:p>
    <w:p w14:paraId="14F70C14" w14:textId="77777777" w:rsidR="008A2EDE" w:rsidRDefault="008A2EDE">
      <w:pPr>
        <w:spacing w:line="244" w:lineRule="auto"/>
        <w:rPr>
          <w:rFonts w:ascii="Symbol" w:hAnsi="Symbol"/>
        </w:rPr>
        <w:sectPr w:rsidR="008A2EDE">
          <w:pgSz w:w="11900" w:h="16840"/>
          <w:pgMar w:top="1340" w:right="700" w:bottom="1240" w:left="440" w:header="0" w:footer="1044" w:gutter="0"/>
          <w:cols w:space="720"/>
        </w:sectPr>
      </w:pPr>
    </w:p>
    <w:p w14:paraId="64972166" w14:textId="77777777" w:rsidR="008A2EDE" w:rsidRDefault="00A50BD3">
      <w:pPr>
        <w:pStyle w:val="Heading7"/>
        <w:spacing w:before="77"/>
        <w:ind w:left="1000"/>
      </w:pPr>
      <w:r>
        <w:lastRenderedPageBreak/>
        <w:t>Second Round of Feedback: Victorian STA Report by Exception</w:t>
      </w:r>
    </w:p>
    <w:p w14:paraId="14E9207F" w14:textId="77777777" w:rsidR="008A2EDE" w:rsidRDefault="008A2EDE">
      <w:pPr>
        <w:pStyle w:val="BodyText"/>
        <w:rPr>
          <w:b/>
          <w:sz w:val="26"/>
        </w:rPr>
      </w:pPr>
    </w:p>
    <w:p w14:paraId="4E9064D4" w14:textId="77777777" w:rsidR="008A2EDE" w:rsidRDefault="00A50BD3">
      <w:pPr>
        <w:tabs>
          <w:tab w:val="left" w:pos="2439"/>
        </w:tabs>
        <w:spacing w:before="221"/>
        <w:ind w:left="1000"/>
      </w:pPr>
      <w:r>
        <w:rPr>
          <w:b/>
        </w:rPr>
        <w:t>17</w:t>
      </w:r>
      <w:r>
        <w:rPr>
          <w:b/>
          <w:spacing w:val="-2"/>
        </w:rPr>
        <w:t xml:space="preserve"> </w:t>
      </w:r>
      <w:r>
        <w:rPr>
          <w:b/>
        </w:rPr>
        <w:t>July</w:t>
      </w:r>
      <w:r>
        <w:rPr>
          <w:b/>
          <w:spacing w:val="-2"/>
        </w:rPr>
        <w:t xml:space="preserve"> </w:t>
      </w:r>
      <w:r>
        <w:rPr>
          <w:b/>
        </w:rPr>
        <w:t>2019</w:t>
      </w:r>
      <w:r>
        <w:rPr>
          <w:b/>
        </w:rPr>
        <w:tab/>
      </w:r>
      <w:r>
        <w:t>Victorian STA provides</w:t>
      </w:r>
      <w:r>
        <w:rPr>
          <w:spacing w:val="-3"/>
        </w:rPr>
        <w:t xml:space="preserve"> </w:t>
      </w:r>
      <w:r>
        <w:t>response</w:t>
      </w:r>
    </w:p>
    <w:p w14:paraId="1478F7CE" w14:textId="77777777" w:rsidR="008A2EDE" w:rsidRDefault="00A50BD3">
      <w:pPr>
        <w:tabs>
          <w:tab w:val="left" w:pos="2439"/>
        </w:tabs>
        <w:spacing w:line="480" w:lineRule="auto"/>
        <w:ind w:left="1000" w:right="5988"/>
      </w:pPr>
      <w:r>
        <w:rPr>
          <w:b/>
        </w:rPr>
        <w:t>26</w:t>
      </w:r>
      <w:r>
        <w:rPr>
          <w:b/>
          <w:spacing w:val="-2"/>
        </w:rPr>
        <w:t xml:space="preserve"> </w:t>
      </w:r>
      <w:r>
        <w:rPr>
          <w:b/>
        </w:rPr>
        <w:t>July</w:t>
      </w:r>
      <w:r>
        <w:rPr>
          <w:b/>
          <w:spacing w:val="-2"/>
        </w:rPr>
        <w:t xml:space="preserve"> </w:t>
      </w:r>
      <w:r>
        <w:rPr>
          <w:b/>
        </w:rPr>
        <w:t>2019</w:t>
      </w:r>
      <w:r>
        <w:rPr>
          <w:b/>
        </w:rPr>
        <w:tab/>
      </w:r>
      <w:r>
        <w:t xml:space="preserve">Artibus provides response </w:t>
      </w:r>
      <w:r>
        <w:rPr>
          <w:u w:val="single"/>
        </w:rPr>
        <w:t>STA Feedback</w:t>
      </w:r>
      <w:r>
        <w:rPr>
          <w:spacing w:val="-3"/>
          <w:u w:val="single"/>
        </w:rPr>
        <w:t xml:space="preserve"> </w:t>
      </w:r>
      <w:r>
        <w:rPr>
          <w:u w:val="single"/>
        </w:rPr>
        <w:t>1:</w:t>
      </w:r>
    </w:p>
    <w:p w14:paraId="7FC744B1" w14:textId="77777777" w:rsidR="008A2EDE" w:rsidRDefault="00A50BD3">
      <w:pPr>
        <w:pStyle w:val="BodyText"/>
        <w:spacing w:before="1"/>
        <w:ind w:left="1000" w:right="770"/>
      </w:pPr>
      <w:r>
        <w:t xml:space="preserve">The unit </w:t>
      </w:r>
      <w:r>
        <w:rPr>
          <w:i/>
        </w:rPr>
        <w:t xml:space="preserve">CPCPCCWHS1001 Prepare to work safely in the construction industry </w:t>
      </w:r>
      <w:r>
        <w:t>is a newly introduced entry requirement which is an employment requirement rather than a foundational skill on which to build the vocational outcome. If the industry considers the unit to be an essential requirement for both qualification job role outcomes it should be included as a core unit.</w:t>
      </w:r>
    </w:p>
    <w:p w14:paraId="1AA3369C" w14:textId="77777777" w:rsidR="008A2EDE" w:rsidRDefault="008A2EDE">
      <w:pPr>
        <w:pStyle w:val="BodyText"/>
        <w:spacing w:before="1"/>
      </w:pPr>
    </w:p>
    <w:p w14:paraId="0272BF57" w14:textId="77777777" w:rsidR="008A2EDE" w:rsidRDefault="00A50BD3">
      <w:pPr>
        <w:pStyle w:val="BodyText"/>
        <w:ind w:left="1000" w:right="813"/>
      </w:pPr>
      <w:r>
        <w:t>Victoria notes that if, as Artibus has stated, the Construction, Plumbing and Service IRC has included CPCPCCWHS1001 Prepare to work safely in the construction industry as an entry requirement to ensure that individuals training to work in the construction industry are equipped with the appropriate workplace health and safety skills and knowledge, then the unit should be packaged as part of the core.</w:t>
      </w:r>
    </w:p>
    <w:p w14:paraId="072316B8" w14:textId="77777777" w:rsidR="008A2EDE" w:rsidRDefault="008A2EDE">
      <w:pPr>
        <w:pStyle w:val="BodyText"/>
        <w:spacing w:before="9"/>
        <w:rPr>
          <w:sz w:val="21"/>
        </w:rPr>
      </w:pPr>
    </w:p>
    <w:p w14:paraId="682B4777" w14:textId="77777777" w:rsidR="008A2EDE" w:rsidRDefault="00A50BD3">
      <w:pPr>
        <w:pStyle w:val="BodyText"/>
        <w:ind w:left="1000"/>
      </w:pPr>
      <w:r>
        <w:rPr>
          <w:u w:val="single"/>
        </w:rPr>
        <w:t>Artibus Response 1:</w:t>
      </w:r>
    </w:p>
    <w:p w14:paraId="5F61A105" w14:textId="77777777" w:rsidR="008A2EDE" w:rsidRDefault="008A2EDE">
      <w:pPr>
        <w:pStyle w:val="BodyText"/>
        <w:spacing w:before="1"/>
      </w:pPr>
    </w:p>
    <w:p w14:paraId="3F6B36F3" w14:textId="77777777" w:rsidR="008A2EDE" w:rsidRDefault="00A50BD3">
      <w:pPr>
        <w:pStyle w:val="BodyText"/>
        <w:ind w:left="1000" w:right="909"/>
      </w:pPr>
      <w:r>
        <w:rPr>
          <w:color w:val="222222"/>
        </w:rPr>
        <w:t>At the 19 February 2019 meeting, the Construction, Plumbing and Services IRC discussed the inclusion of the unit CPCCWHS1001 Prepare to work safely in the construction industry as a core or pre-requisite unit for all CPC qualifications. There was consensus at this meeting that the unit be a core unit in all CPC qualifications.</w:t>
      </w:r>
    </w:p>
    <w:p w14:paraId="0F27E4F8" w14:textId="77777777" w:rsidR="008A2EDE" w:rsidRDefault="008A2EDE">
      <w:pPr>
        <w:pStyle w:val="BodyText"/>
        <w:spacing w:before="1"/>
      </w:pPr>
    </w:p>
    <w:p w14:paraId="0887A5A9" w14:textId="77777777" w:rsidR="008A2EDE" w:rsidRDefault="00A50BD3">
      <w:pPr>
        <w:pStyle w:val="BodyText"/>
        <w:ind w:left="1000" w:right="844"/>
      </w:pPr>
      <w:r>
        <w:rPr>
          <w:color w:val="222222"/>
        </w:rPr>
        <w:t>All the TAGs were informed of the IRC’s decision and the CPC qualifications in current projects were updated to include CPCCWHS1001 Prepare to work safely in the construction industry as core unit.</w:t>
      </w:r>
    </w:p>
    <w:p w14:paraId="56EAF446" w14:textId="77777777" w:rsidR="008A2EDE" w:rsidRDefault="008A2EDE">
      <w:pPr>
        <w:pStyle w:val="BodyText"/>
      </w:pPr>
    </w:p>
    <w:p w14:paraId="0EA9FDE5" w14:textId="77777777" w:rsidR="008A2EDE" w:rsidRDefault="00A50BD3">
      <w:pPr>
        <w:pStyle w:val="BodyText"/>
        <w:spacing w:before="1"/>
        <w:ind w:left="1000" w:right="1681"/>
      </w:pPr>
      <w:r>
        <w:rPr>
          <w:color w:val="222222"/>
        </w:rPr>
        <w:t>At the 18 April 2019 IRC meeting, the issue was discussed again, and the IRC agreed that CPCCWHS1001 Prepare to work safely in the construction industry be included as an entry requirement for all CPC AQF I – III qualifications.</w:t>
      </w:r>
    </w:p>
    <w:p w14:paraId="2A7DF337" w14:textId="77777777" w:rsidR="008A2EDE" w:rsidRDefault="008A2EDE">
      <w:pPr>
        <w:pStyle w:val="BodyText"/>
      </w:pPr>
    </w:p>
    <w:p w14:paraId="3CE84139" w14:textId="77777777" w:rsidR="008A2EDE" w:rsidRDefault="00A50BD3">
      <w:pPr>
        <w:pStyle w:val="BodyText"/>
        <w:spacing w:before="1"/>
        <w:ind w:left="1000" w:right="803"/>
      </w:pPr>
      <w:r>
        <w:rPr>
          <w:color w:val="222222"/>
        </w:rPr>
        <w:t>The rationale for this decision is that the unit covers vital safety skills and knowledge required for all workers in the industry and is also a regulatory requirement to work on a construction site.</w:t>
      </w:r>
    </w:p>
    <w:p w14:paraId="351B030C" w14:textId="77777777" w:rsidR="008A2EDE" w:rsidRDefault="00A50BD3">
      <w:pPr>
        <w:pStyle w:val="BodyText"/>
        <w:ind w:left="1000" w:right="847"/>
      </w:pPr>
      <w:r>
        <w:rPr>
          <w:color w:val="222222"/>
        </w:rPr>
        <w:t>Completion of the general construction induction training program specified by the model Code of Practice for Construction Work is required for any person who is to carry out construction</w:t>
      </w:r>
    </w:p>
    <w:p w14:paraId="6850A6F1" w14:textId="77777777" w:rsidR="008A2EDE" w:rsidRDefault="00A50BD3">
      <w:pPr>
        <w:pStyle w:val="BodyText"/>
        <w:ind w:left="1000" w:right="731"/>
      </w:pPr>
      <w:r>
        <w:rPr>
          <w:color w:val="222222"/>
        </w:rPr>
        <w:t>work. Achievement of unit CPCCWHS1001 Prepare to work safely in the construction industry meets this requirement.</w:t>
      </w:r>
    </w:p>
    <w:p w14:paraId="7921659B" w14:textId="77777777" w:rsidR="008A2EDE" w:rsidRDefault="008A2EDE">
      <w:pPr>
        <w:pStyle w:val="BodyText"/>
        <w:spacing w:before="9"/>
        <w:rPr>
          <w:sz w:val="21"/>
        </w:rPr>
      </w:pPr>
    </w:p>
    <w:p w14:paraId="1143E765" w14:textId="77777777" w:rsidR="008A2EDE" w:rsidRDefault="00A50BD3">
      <w:pPr>
        <w:pStyle w:val="BodyText"/>
        <w:ind w:left="1000" w:right="847"/>
      </w:pPr>
      <w:r>
        <w:rPr>
          <w:color w:val="222222"/>
        </w:rPr>
        <w:t>The approach taken in qualification design notes that that the unit is a stand-alone unit of competency compliant to the Model Code of Practice and is therefore not customised to meet different contexts. A further consideration is the learner pathway noting that the majority of apprentices already hold the unit of competency attained through lower level qualifications.</w:t>
      </w:r>
    </w:p>
    <w:p w14:paraId="7510B95F" w14:textId="77777777" w:rsidR="008A2EDE" w:rsidRDefault="008A2EDE">
      <w:pPr>
        <w:pStyle w:val="BodyText"/>
        <w:spacing w:before="1"/>
      </w:pPr>
    </w:p>
    <w:p w14:paraId="1DA46DBF" w14:textId="77777777" w:rsidR="008A2EDE" w:rsidRDefault="00A50BD3">
      <w:pPr>
        <w:pStyle w:val="BodyText"/>
        <w:ind w:left="1000" w:right="731"/>
      </w:pPr>
      <w:r>
        <w:rPr>
          <w:color w:val="222222"/>
        </w:rPr>
        <w:t>Consequently, all the TAGs were informed of the change, and AQF level I – III CPC qualifications were amended to include CPCCWHS1001 Prepare to work safely in the construction industry as an entry requirement.</w:t>
      </w:r>
    </w:p>
    <w:p w14:paraId="4812F228" w14:textId="77777777" w:rsidR="008A2EDE" w:rsidRDefault="008A2EDE">
      <w:pPr>
        <w:pStyle w:val="BodyText"/>
        <w:spacing w:before="1"/>
      </w:pPr>
    </w:p>
    <w:p w14:paraId="19E0C419" w14:textId="77777777" w:rsidR="008A2EDE" w:rsidRDefault="00A50BD3">
      <w:pPr>
        <w:pStyle w:val="BodyText"/>
        <w:ind w:left="1000"/>
      </w:pPr>
      <w:r>
        <w:rPr>
          <w:color w:val="222222"/>
          <w:u w:val="single" w:color="222222"/>
        </w:rPr>
        <w:t>STA Feedback 2:</w:t>
      </w:r>
    </w:p>
    <w:p w14:paraId="5ECFA535" w14:textId="77777777" w:rsidR="008A2EDE" w:rsidRDefault="008A2EDE">
      <w:pPr>
        <w:sectPr w:rsidR="008A2EDE">
          <w:pgSz w:w="11900" w:h="16840"/>
          <w:pgMar w:top="1340" w:right="700" w:bottom="1240" w:left="440" w:header="0" w:footer="1044" w:gutter="0"/>
          <w:cols w:space="720"/>
        </w:sectPr>
      </w:pPr>
    </w:p>
    <w:p w14:paraId="5F01CFF3" w14:textId="77777777" w:rsidR="008A2EDE" w:rsidRDefault="00A50BD3">
      <w:pPr>
        <w:pStyle w:val="BodyText"/>
        <w:spacing w:before="77"/>
        <w:ind w:left="1000" w:right="930"/>
      </w:pPr>
      <w:r>
        <w:lastRenderedPageBreak/>
        <w:t>The qualifications include both the current CPCCWHS2001 Apply WHS requirements, policies and procedures in the construction industry and its equivalent superseded unit, CPCCOHS2001A Apply OHS requirements, policies and procedures in the construction industry, due to prerequisite requirements for units from the CPC and the CPC08 iterations of the Construction, Plumbing and Services Training Package. Requiring learners to undertake 2 equivalent iterations of the same unit does not support industry relevant training and assessment practices, as stated in the Case for Endorsement (page 13-Implementation issues of note and management strategy).</w:t>
      </w:r>
    </w:p>
    <w:p w14:paraId="6393741E" w14:textId="77777777" w:rsidR="008A2EDE" w:rsidRDefault="008A2EDE">
      <w:pPr>
        <w:pStyle w:val="BodyText"/>
        <w:spacing w:before="2"/>
      </w:pPr>
    </w:p>
    <w:p w14:paraId="2ADA90BF" w14:textId="77777777" w:rsidR="008A2EDE" w:rsidRDefault="00A50BD3">
      <w:pPr>
        <w:pStyle w:val="BodyText"/>
        <w:ind w:left="1000" w:right="801"/>
      </w:pPr>
      <w:r>
        <w:t>Victoria does not support the Artibus response to remove CPCCOHS2001A Apply OHS requirements, policies and procedures in the construction industry from the qualification as the unit will still need to be delivered and assessed due to its prerequisite relationship with core units. We note the Training Package Products Policy requires that where an imported unit of competency has a prerequisite requirement, the pre-requisite must remain with the unit when imported into another Training Package.</w:t>
      </w:r>
    </w:p>
    <w:p w14:paraId="1DEFADCE" w14:textId="77777777" w:rsidR="008A2EDE" w:rsidRDefault="008A2EDE">
      <w:pPr>
        <w:pStyle w:val="BodyText"/>
        <w:spacing w:before="2"/>
      </w:pPr>
    </w:p>
    <w:p w14:paraId="0EEB7714" w14:textId="77777777" w:rsidR="008A2EDE" w:rsidRDefault="00A50BD3">
      <w:pPr>
        <w:pStyle w:val="BodyText"/>
        <w:ind w:left="1000" w:right="766"/>
      </w:pPr>
      <w:r>
        <w:t>Victoria does not support the Artibus proposal to seek IRC approval to update all units of competency to remove CPCCOHS2001A Apply OHS requirements, policies and procedures in the construction industry as a prerequisite and replace it with the updated CPCCWHS2001 Apply WHS requirements, policies and procedures in the construction industry as the IRC does not have the authority to change prerequisite units without approval through the endorsement process. We note the Training Package Products Policy which states that where a pre-requisite unit of competency is removed, replaced or added to a unit of competency, the code of the unit of competency must be changed and the unit without the pre-requisite unit (or with a new or different pre-requisite unit) submitted as a NSSC Endorsement Required change</w:t>
      </w:r>
    </w:p>
    <w:p w14:paraId="7A43F96D" w14:textId="77777777" w:rsidR="008A2EDE" w:rsidRDefault="008A2EDE">
      <w:pPr>
        <w:pStyle w:val="BodyText"/>
        <w:spacing w:before="10"/>
        <w:rPr>
          <w:sz w:val="21"/>
        </w:rPr>
      </w:pPr>
    </w:p>
    <w:p w14:paraId="1CC4CF86" w14:textId="77777777" w:rsidR="008A2EDE" w:rsidRDefault="00A50BD3">
      <w:pPr>
        <w:pStyle w:val="BodyText"/>
        <w:ind w:left="1000"/>
      </w:pPr>
      <w:r>
        <w:rPr>
          <w:u w:val="single"/>
        </w:rPr>
        <w:t>Artibus Response 2:</w:t>
      </w:r>
    </w:p>
    <w:p w14:paraId="455A0426" w14:textId="77777777" w:rsidR="008A2EDE" w:rsidRDefault="008A2EDE">
      <w:pPr>
        <w:pStyle w:val="BodyText"/>
      </w:pPr>
    </w:p>
    <w:p w14:paraId="295DEFB0" w14:textId="77777777" w:rsidR="008A2EDE" w:rsidRDefault="00A50BD3">
      <w:pPr>
        <w:pStyle w:val="BodyText"/>
        <w:ind w:left="1000" w:right="1229"/>
      </w:pPr>
      <w:r>
        <w:t>Artibus apologises for not providing sufficient details of our approach in the initial reply and we would like to take the opportunity to correct any wrong impression unintentionally created.</w:t>
      </w:r>
    </w:p>
    <w:p w14:paraId="13C0EA2A" w14:textId="77777777" w:rsidR="008A2EDE" w:rsidRDefault="008A2EDE">
      <w:pPr>
        <w:pStyle w:val="BodyText"/>
        <w:spacing w:before="1"/>
      </w:pPr>
    </w:p>
    <w:p w14:paraId="6AE3FBB6" w14:textId="77777777" w:rsidR="008A2EDE" w:rsidRDefault="00A50BD3">
      <w:pPr>
        <w:pStyle w:val="BodyText"/>
        <w:ind w:left="1000" w:right="1374"/>
      </w:pPr>
      <w:r>
        <w:t>We seek to resolve the issue you’ve identified on the duplicate listing of the following units of competency within CPC qualifications:</w:t>
      </w:r>
    </w:p>
    <w:p w14:paraId="473C66A2" w14:textId="77777777" w:rsidR="008A2EDE" w:rsidRDefault="008A2EDE">
      <w:pPr>
        <w:pStyle w:val="BodyText"/>
        <w:spacing w:before="11"/>
        <w:rPr>
          <w:sz w:val="21"/>
        </w:rPr>
      </w:pPr>
    </w:p>
    <w:p w14:paraId="733A35E2" w14:textId="77777777" w:rsidR="008A2EDE" w:rsidRDefault="00A50BD3" w:rsidP="005056E0">
      <w:pPr>
        <w:pStyle w:val="ListParagraph"/>
        <w:numPr>
          <w:ilvl w:val="1"/>
          <w:numId w:val="3"/>
        </w:numPr>
        <w:tabs>
          <w:tab w:val="left" w:pos="1719"/>
          <w:tab w:val="left" w:pos="1720"/>
        </w:tabs>
        <w:ind w:right="1397"/>
        <w:rPr>
          <w:rFonts w:ascii="Symbol" w:hAnsi="Symbol"/>
        </w:rPr>
      </w:pPr>
      <w:r>
        <w:t>CPCCOHS2001A</w:t>
      </w:r>
      <w:r>
        <w:rPr>
          <w:spacing w:val="-5"/>
        </w:rPr>
        <w:t xml:space="preserve"> </w:t>
      </w:r>
      <w:r>
        <w:t>Apply</w:t>
      </w:r>
      <w:r>
        <w:rPr>
          <w:spacing w:val="-5"/>
        </w:rPr>
        <w:t xml:space="preserve"> </w:t>
      </w:r>
      <w:r>
        <w:t>OHS</w:t>
      </w:r>
      <w:r>
        <w:rPr>
          <w:spacing w:val="-4"/>
        </w:rPr>
        <w:t xml:space="preserve"> </w:t>
      </w:r>
      <w:r>
        <w:t>requirements,</w:t>
      </w:r>
      <w:r>
        <w:rPr>
          <w:spacing w:val="-5"/>
        </w:rPr>
        <w:t xml:space="preserve"> </w:t>
      </w:r>
      <w:r>
        <w:t>policies</w:t>
      </w:r>
      <w:r>
        <w:rPr>
          <w:spacing w:val="-5"/>
        </w:rPr>
        <w:t xml:space="preserve"> </w:t>
      </w:r>
      <w:r>
        <w:t>and</w:t>
      </w:r>
      <w:r>
        <w:rPr>
          <w:spacing w:val="-4"/>
        </w:rPr>
        <w:t xml:space="preserve"> </w:t>
      </w:r>
      <w:r>
        <w:t>procedures</w:t>
      </w:r>
      <w:r>
        <w:rPr>
          <w:spacing w:val="-5"/>
        </w:rPr>
        <w:t xml:space="preserve"> </w:t>
      </w:r>
      <w:r>
        <w:t>in</w:t>
      </w:r>
      <w:r>
        <w:rPr>
          <w:spacing w:val="-4"/>
        </w:rPr>
        <w:t xml:space="preserve"> </w:t>
      </w:r>
      <w:r>
        <w:t>the</w:t>
      </w:r>
      <w:r>
        <w:rPr>
          <w:spacing w:val="-5"/>
        </w:rPr>
        <w:t xml:space="preserve"> </w:t>
      </w:r>
      <w:r>
        <w:t>construction industry</w:t>
      </w:r>
    </w:p>
    <w:p w14:paraId="1B32018F" w14:textId="77777777" w:rsidR="008A2EDE" w:rsidRDefault="00A50BD3" w:rsidP="005056E0">
      <w:pPr>
        <w:pStyle w:val="ListParagraph"/>
        <w:numPr>
          <w:ilvl w:val="1"/>
          <w:numId w:val="3"/>
        </w:numPr>
        <w:tabs>
          <w:tab w:val="left" w:pos="1719"/>
          <w:tab w:val="left" w:pos="1720"/>
        </w:tabs>
        <w:ind w:right="1424"/>
        <w:rPr>
          <w:rFonts w:ascii="Symbol" w:hAnsi="Symbol"/>
        </w:rPr>
      </w:pPr>
      <w:r>
        <w:t>CPCCWHS2001</w:t>
      </w:r>
      <w:r>
        <w:rPr>
          <w:spacing w:val="-5"/>
        </w:rPr>
        <w:t xml:space="preserve"> </w:t>
      </w:r>
      <w:r>
        <w:t>Apply</w:t>
      </w:r>
      <w:r>
        <w:rPr>
          <w:spacing w:val="-5"/>
        </w:rPr>
        <w:t xml:space="preserve"> </w:t>
      </w:r>
      <w:r>
        <w:t>WHS</w:t>
      </w:r>
      <w:r>
        <w:rPr>
          <w:spacing w:val="-4"/>
        </w:rPr>
        <w:t xml:space="preserve"> </w:t>
      </w:r>
      <w:r>
        <w:t>requirements,</w:t>
      </w:r>
      <w:r>
        <w:rPr>
          <w:spacing w:val="-5"/>
        </w:rPr>
        <w:t xml:space="preserve"> </w:t>
      </w:r>
      <w:r>
        <w:t>policies</w:t>
      </w:r>
      <w:r>
        <w:rPr>
          <w:spacing w:val="-4"/>
        </w:rPr>
        <w:t xml:space="preserve"> </w:t>
      </w:r>
      <w:r>
        <w:t>and</w:t>
      </w:r>
      <w:r>
        <w:rPr>
          <w:spacing w:val="-5"/>
        </w:rPr>
        <w:t xml:space="preserve"> </w:t>
      </w:r>
      <w:r>
        <w:t>procedures</w:t>
      </w:r>
      <w:r>
        <w:rPr>
          <w:spacing w:val="-4"/>
        </w:rPr>
        <w:t xml:space="preserve"> </w:t>
      </w:r>
      <w:r>
        <w:t>in</w:t>
      </w:r>
      <w:r>
        <w:rPr>
          <w:spacing w:val="-5"/>
        </w:rPr>
        <w:t xml:space="preserve"> </w:t>
      </w:r>
      <w:r>
        <w:t>the</w:t>
      </w:r>
      <w:r>
        <w:rPr>
          <w:spacing w:val="-4"/>
        </w:rPr>
        <w:t xml:space="preserve"> </w:t>
      </w:r>
      <w:r>
        <w:t>construction industry</w:t>
      </w:r>
    </w:p>
    <w:p w14:paraId="6872987F" w14:textId="77777777" w:rsidR="008A2EDE" w:rsidRDefault="008A2EDE">
      <w:pPr>
        <w:rPr>
          <w:rFonts w:ascii="Symbol" w:hAnsi="Symbol"/>
        </w:rPr>
        <w:sectPr w:rsidR="008A2EDE">
          <w:pgSz w:w="11900" w:h="16840"/>
          <w:pgMar w:top="1340" w:right="700" w:bottom="1240" w:left="440" w:header="0" w:footer="1044" w:gutter="0"/>
          <w:cols w:space="720"/>
        </w:sectPr>
      </w:pPr>
    </w:p>
    <w:p w14:paraId="0F514044" w14:textId="77777777" w:rsidR="008A2EDE" w:rsidRDefault="00A50BD3">
      <w:pPr>
        <w:pStyle w:val="BodyText"/>
        <w:spacing w:before="86"/>
        <w:ind w:left="1000" w:right="744"/>
      </w:pPr>
      <w:r>
        <w:lastRenderedPageBreak/>
        <w:t>To date, Artibus has advised the IRC Chair of this issue and nominated a strategy that aims to resolve the issue of duplicated units of competency in the packaging of qualifications.</w:t>
      </w:r>
    </w:p>
    <w:p w14:paraId="3B1B3B68" w14:textId="77777777" w:rsidR="008A2EDE" w:rsidRDefault="008A2EDE">
      <w:pPr>
        <w:pStyle w:val="BodyText"/>
        <w:spacing w:before="1"/>
      </w:pPr>
    </w:p>
    <w:p w14:paraId="1EC2E24B" w14:textId="77777777" w:rsidR="008A2EDE" w:rsidRDefault="00A50BD3">
      <w:pPr>
        <w:pStyle w:val="BodyText"/>
        <w:ind w:left="1000"/>
      </w:pPr>
      <w:r>
        <w:t>The IRC Chair’s will provide further guidance on the matter in due course.</w:t>
      </w:r>
    </w:p>
    <w:p w14:paraId="35702519" w14:textId="77777777" w:rsidR="008A2EDE" w:rsidRDefault="008A2EDE">
      <w:pPr>
        <w:pStyle w:val="BodyText"/>
      </w:pPr>
    </w:p>
    <w:p w14:paraId="2A4BFF5C" w14:textId="77777777" w:rsidR="008A2EDE" w:rsidRDefault="00A50BD3">
      <w:pPr>
        <w:pStyle w:val="BodyText"/>
        <w:ind w:left="1000" w:right="839"/>
      </w:pPr>
      <w:r>
        <w:t>For the moment, both the units of competency listed above will be relisted in the CPC qualifications to comply with policy requirements.</w:t>
      </w:r>
    </w:p>
    <w:p w14:paraId="409026A4" w14:textId="77777777" w:rsidR="008A2EDE" w:rsidRDefault="008A2EDE">
      <w:pPr>
        <w:pStyle w:val="BodyText"/>
        <w:spacing w:before="1"/>
      </w:pPr>
    </w:p>
    <w:p w14:paraId="75274096" w14:textId="77777777" w:rsidR="008A2EDE" w:rsidRDefault="00A50BD3">
      <w:pPr>
        <w:pStyle w:val="BodyText"/>
        <w:ind w:left="1000"/>
      </w:pPr>
      <w:r>
        <w:t>We will keep you inform of any updates in the near future.</w:t>
      </w:r>
    </w:p>
    <w:p w14:paraId="7DE5A09E" w14:textId="77777777" w:rsidR="008A2EDE" w:rsidRDefault="008A2EDE">
      <w:pPr>
        <w:pStyle w:val="BodyText"/>
        <w:rPr>
          <w:sz w:val="26"/>
        </w:rPr>
      </w:pPr>
    </w:p>
    <w:p w14:paraId="6D4FBD6A" w14:textId="77777777" w:rsidR="008A2EDE" w:rsidRDefault="008A2EDE">
      <w:pPr>
        <w:pStyle w:val="BodyText"/>
        <w:rPr>
          <w:sz w:val="26"/>
        </w:rPr>
      </w:pPr>
    </w:p>
    <w:p w14:paraId="27227AA1" w14:textId="77777777" w:rsidR="008A2EDE" w:rsidRDefault="00A50BD3">
      <w:pPr>
        <w:tabs>
          <w:tab w:val="left" w:pos="2439"/>
        </w:tabs>
        <w:spacing w:before="172" w:line="480" w:lineRule="auto"/>
        <w:ind w:left="1000" w:right="2377" w:firstLine="1647"/>
      </w:pPr>
      <w:r>
        <w:rPr>
          <w:b/>
          <w:sz w:val="24"/>
        </w:rPr>
        <w:t>Tasmanian concerns on the Carpentry and Joinery Project 11</w:t>
      </w:r>
      <w:r>
        <w:rPr>
          <w:b/>
          <w:spacing w:val="-2"/>
          <w:sz w:val="24"/>
        </w:rPr>
        <w:t xml:space="preserve"> </w:t>
      </w:r>
      <w:r>
        <w:rPr>
          <w:b/>
          <w:sz w:val="24"/>
        </w:rPr>
        <w:t>July</w:t>
      </w:r>
      <w:r>
        <w:rPr>
          <w:b/>
          <w:spacing w:val="-2"/>
          <w:sz w:val="24"/>
        </w:rPr>
        <w:t xml:space="preserve"> </w:t>
      </w:r>
      <w:r>
        <w:rPr>
          <w:b/>
          <w:sz w:val="24"/>
        </w:rPr>
        <w:t>2019</w:t>
      </w:r>
      <w:r>
        <w:rPr>
          <w:b/>
          <w:sz w:val="24"/>
        </w:rPr>
        <w:tab/>
      </w:r>
      <w:r>
        <w:t>Feedback provided by the Tasmanian STA to</w:t>
      </w:r>
      <w:r>
        <w:rPr>
          <w:spacing w:val="-11"/>
        </w:rPr>
        <w:t xml:space="preserve"> </w:t>
      </w:r>
      <w:r>
        <w:t>Artibus</w:t>
      </w:r>
    </w:p>
    <w:p w14:paraId="70C73459" w14:textId="77777777" w:rsidR="008A2EDE" w:rsidRDefault="00A50BD3">
      <w:pPr>
        <w:pStyle w:val="BodyText"/>
        <w:tabs>
          <w:tab w:val="left" w:pos="2439"/>
        </w:tabs>
        <w:spacing w:line="480" w:lineRule="auto"/>
        <w:ind w:left="1000" w:right="3813"/>
      </w:pPr>
      <w:r>
        <w:rPr>
          <w:b/>
        </w:rPr>
        <w:t>11</w:t>
      </w:r>
      <w:r>
        <w:rPr>
          <w:b/>
          <w:spacing w:val="-2"/>
        </w:rPr>
        <w:t xml:space="preserve"> </w:t>
      </w:r>
      <w:r>
        <w:rPr>
          <w:b/>
        </w:rPr>
        <w:t>July</w:t>
      </w:r>
      <w:r>
        <w:rPr>
          <w:b/>
          <w:spacing w:val="-2"/>
        </w:rPr>
        <w:t xml:space="preserve"> </w:t>
      </w:r>
      <w:r>
        <w:rPr>
          <w:b/>
        </w:rPr>
        <w:t>2019</w:t>
      </w:r>
      <w:r>
        <w:rPr>
          <w:b/>
        </w:rPr>
        <w:tab/>
      </w:r>
      <w:r>
        <w:t xml:space="preserve">Artibus provided a response to the Tasmanian STA </w:t>
      </w:r>
      <w:r>
        <w:rPr>
          <w:u w:val="single"/>
        </w:rPr>
        <w:t>STA Feedback</w:t>
      </w:r>
      <w:r>
        <w:rPr>
          <w:spacing w:val="-3"/>
          <w:u w:val="single"/>
        </w:rPr>
        <w:t xml:space="preserve"> </w:t>
      </w:r>
      <w:r>
        <w:rPr>
          <w:u w:val="single"/>
        </w:rPr>
        <w:t>1:</w:t>
      </w:r>
    </w:p>
    <w:p w14:paraId="25302D93" w14:textId="77777777" w:rsidR="008A2EDE" w:rsidRDefault="00A50BD3">
      <w:pPr>
        <w:pStyle w:val="BodyText"/>
        <w:ind w:left="1000" w:right="816"/>
      </w:pPr>
      <w:r>
        <w:t>At this stage, we are not in a position to support the Case for Endorsement for CPC30219 Certificate III in Carpentry, given the concerns that have been expressed by the Tasmanian building and construction industry.</w:t>
      </w:r>
    </w:p>
    <w:p w14:paraId="445121F7" w14:textId="77777777" w:rsidR="008A2EDE" w:rsidRDefault="008A2EDE">
      <w:pPr>
        <w:pStyle w:val="BodyText"/>
        <w:spacing w:before="9"/>
        <w:rPr>
          <w:sz w:val="21"/>
        </w:rPr>
      </w:pPr>
    </w:p>
    <w:p w14:paraId="7790D818" w14:textId="77777777" w:rsidR="008A2EDE" w:rsidRDefault="00A50BD3">
      <w:pPr>
        <w:pStyle w:val="BodyText"/>
        <w:ind w:left="1000" w:right="764"/>
      </w:pPr>
      <w:r>
        <w:t>These concerns relate to a packaging arrangement which provides (a) specialist streams or (b) a core and general pool of electives.</w:t>
      </w:r>
    </w:p>
    <w:p w14:paraId="0ABF08FB" w14:textId="77777777" w:rsidR="008A2EDE" w:rsidRDefault="008A2EDE">
      <w:pPr>
        <w:pStyle w:val="BodyText"/>
      </w:pPr>
    </w:p>
    <w:p w14:paraId="5DC84D30" w14:textId="77777777" w:rsidR="008A2EDE" w:rsidRDefault="00A50BD3">
      <w:pPr>
        <w:pStyle w:val="BodyText"/>
        <w:ind w:left="1000" w:right="736"/>
      </w:pPr>
      <w:r>
        <w:t>We will continue to work with our industry stakeholders to understand the real or perceived impacts of the proposed changes on the building and construction industry, training and apprenticeships in Tasmania.</w:t>
      </w:r>
    </w:p>
    <w:p w14:paraId="684619A1" w14:textId="77777777" w:rsidR="008A2EDE" w:rsidRDefault="008A2EDE">
      <w:pPr>
        <w:pStyle w:val="BodyText"/>
        <w:spacing w:before="1"/>
      </w:pPr>
    </w:p>
    <w:p w14:paraId="6452249B" w14:textId="77777777" w:rsidR="008A2EDE" w:rsidRDefault="00A50BD3">
      <w:pPr>
        <w:pStyle w:val="BodyText"/>
        <w:ind w:left="1000"/>
      </w:pPr>
      <w:r>
        <w:rPr>
          <w:u w:val="single"/>
        </w:rPr>
        <w:t>Artibus Response 1:</w:t>
      </w:r>
    </w:p>
    <w:p w14:paraId="3E533676" w14:textId="77777777" w:rsidR="008A2EDE" w:rsidRDefault="008A2EDE">
      <w:pPr>
        <w:pStyle w:val="BodyText"/>
        <w:spacing w:before="1"/>
      </w:pPr>
    </w:p>
    <w:p w14:paraId="195D12C7" w14:textId="77777777" w:rsidR="008A2EDE" w:rsidRDefault="00A50BD3">
      <w:pPr>
        <w:ind w:left="1000" w:right="1153"/>
        <w:jc w:val="both"/>
        <w:rPr>
          <w:i/>
        </w:rPr>
      </w:pPr>
      <w:r>
        <w:rPr>
          <w:i/>
        </w:rPr>
        <w:t>Artibus Innovation has discussed the Tasmanian STA's opposition to the case with them and note that it is based upon a submission provided by the Tasmanian Building and Construction Industry Training Advisory Board (TBCITB). The TBCITB sought a more flexible packaging arrangement to reduce the number of core units and create a general pool of electives.</w:t>
      </w:r>
    </w:p>
    <w:p w14:paraId="22A621D4" w14:textId="77777777" w:rsidR="008A2EDE" w:rsidRDefault="008A2EDE">
      <w:pPr>
        <w:pStyle w:val="BodyText"/>
        <w:spacing w:before="1"/>
        <w:rPr>
          <w:i/>
          <w:sz w:val="24"/>
        </w:rPr>
      </w:pPr>
    </w:p>
    <w:p w14:paraId="5A6C8B12" w14:textId="77777777" w:rsidR="008A2EDE" w:rsidRDefault="00A50BD3">
      <w:pPr>
        <w:ind w:left="1000" w:right="829"/>
        <w:rPr>
          <w:i/>
        </w:rPr>
      </w:pPr>
      <w:r>
        <w:rPr>
          <w:i/>
        </w:rPr>
        <w:t>The TBCITB model (and others) was considered at length by the Technical Advisory Group (TAG) who unanimously resolved on an alternative approach based on:</w:t>
      </w:r>
    </w:p>
    <w:p w14:paraId="11200F34" w14:textId="77777777" w:rsidR="008A2EDE" w:rsidRDefault="008A2EDE">
      <w:pPr>
        <w:pStyle w:val="BodyText"/>
        <w:rPr>
          <w:i/>
        </w:rPr>
      </w:pPr>
    </w:p>
    <w:p w14:paraId="15F3F351" w14:textId="77777777" w:rsidR="008A2EDE" w:rsidRDefault="00A50BD3" w:rsidP="005056E0">
      <w:pPr>
        <w:pStyle w:val="ListParagraph"/>
        <w:numPr>
          <w:ilvl w:val="0"/>
          <w:numId w:val="1"/>
        </w:numPr>
        <w:tabs>
          <w:tab w:val="left" w:pos="1720"/>
        </w:tabs>
        <w:spacing w:before="1"/>
        <w:rPr>
          <w:i/>
        </w:rPr>
      </w:pPr>
      <w:r>
        <w:rPr>
          <w:i/>
        </w:rPr>
        <w:t>The current core covers all state licencing</w:t>
      </w:r>
      <w:r>
        <w:rPr>
          <w:i/>
          <w:spacing w:val="-9"/>
        </w:rPr>
        <w:t xml:space="preserve"> </w:t>
      </w:r>
      <w:r>
        <w:rPr>
          <w:i/>
        </w:rPr>
        <w:t>regimes</w:t>
      </w:r>
    </w:p>
    <w:p w14:paraId="4ACA3175" w14:textId="77777777" w:rsidR="008A2EDE" w:rsidRDefault="00A50BD3" w:rsidP="005056E0">
      <w:pPr>
        <w:pStyle w:val="ListParagraph"/>
        <w:numPr>
          <w:ilvl w:val="0"/>
          <w:numId w:val="1"/>
        </w:numPr>
        <w:tabs>
          <w:tab w:val="left" w:pos="1720"/>
        </w:tabs>
        <w:ind w:right="1129"/>
        <w:rPr>
          <w:i/>
        </w:rPr>
      </w:pPr>
      <w:r>
        <w:rPr>
          <w:i/>
        </w:rPr>
        <w:t>Feedback from employers recommending a strong common core for all carpenters so it is easier to understand the skill set of</w:t>
      </w:r>
      <w:r>
        <w:rPr>
          <w:i/>
          <w:spacing w:val="-9"/>
        </w:rPr>
        <w:t xml:space="preserve"> </w:t>
      </w:r>
      <w:r>
        <w:rPr>
          <w:i/>
        </w:rPr>
        <w:t>apprentices</w:t>
      </w:r>
    </w:p>
    <w:p w14:paraId="49D836D6" w14:textId="77777777" w:rsidR="008A2EDE" w:rsidRDefault="00A50BD3" w:rsidP="005056E0">
      <w:pPr>
        <w:pStyle w:val="ListParagraph"/>
        <w:numPr>
          <w:ilvl w:val="0"/>
          <w:numId w:val="1"/>
        </w:numPr>
        <w:tabs>
          <w:tab w:val="left" w:pos="1720"/>
        </w:tabs>
        <w:ind w:right="988"/>
        <w:rPr>
          <w:i/>
        </w:rPr>
      </w:pPr>
      <w:r>
        <w:rPr>
          <w:i/>
        </w:rPr>
        <w:t>Feedback from employers noting that most carpenters, through their careers work across both residential and commercial streams and so a strong core component in an apprentice training should equip graduates with a solid skill set to enable flexibility and future proof their</w:t>
      </w:r>
      <w:r>
        <w:rPr>
          <w:i/>
          <w:spacing w:val="-2"/>
        </w:rPr>
        <w:t xml:space="preserve"> </w:t>
      </w:r>
      <w:r>
        <w:rPr>
          <w:i/>
        </w:rPr>
        <w:t>careers</w:t>
      </w:r>
    </w:p>
    <w:p w14:paraId="06BC87B6" w14:textId="77777777" w:rsidR="008A2EDE" w:rsidRDefault="00A50BD3" w:rsidP="005056E0">
      <w:pPr>
        <w:pStyle w:val="ListParagraph"/>
        <w:numPr>
          <w:ilvl w:val="0"/>
          <w:numId w:val="1"/>
        </w:numPr>
        <w:tabs>
          <w:tab w:val="left" w:pos="1720"/>
        </w:tabs>
        <w:ind w:right="1331"/>
        <w:rPr>
          <w:i/>
        </w:rPr>
      </w:pPr>
      <w:r>
        <w:rPr>
          <w:i/>
        </w:rPr>
        <w:t>RTOs were opposed to an open flexible model citing difficulties in resourcing cohorts of students with widely different training</w:t>
      </w:r>
      <w:r>
        <w:rPr>
          <w:i/>
          <w:spacing w:val="-7"/>
        </w:rPr>
        <w:t xml:space="preserve"> </w:t>
      </w:r>
      <w:r>
        <w:rPr>
          <w:i/>
        </w:rPr>
        <w:t>plans</w:t>
      </w:r>
    </w:p>
    <w:p w14:paraId="09AF0E0A" w14:textId="77777777" w:rsidR="008A2EDE" w:rsidRDefault="008A2EDE">
      <w:pPr>
        <w:sectPr w:rsidR="008A2EDE">
          <w:pgSz w:w="11900" w:h="16840"/>
          <w:pgMar w:top="1600" w:right="700" w:bottom="1240" w:left="440" w:header="0" w:footer="1044" w:gutter="0"/>
          <w:cols w:space="720"/>
        </w:sectPr>
      </w:pPr>
    </w:p>
    <w:p w14:paraId="1BBA3C99" w14:textId="77777777" w:rsidR="008A2EDE" w:rsidRDefault="00A50BD3" w:rsidP="005056E0">
      <w:pPr>
        <w:pStyle w:val="ListParagraph"/>
        <w:numPr>
          <w:ilvl w:val="0"/>
          <w:numId w:val="1"/>
        </w:numPr>
        <w:tabs>
          <w:tab w:val="left" w:pos="1720"/>
        </w:tabs>
        <w:spacing w:before="77"/>
        <w:ind w:right="846"/>
        <w:rPr>
          <w:i/>
        </w:rPr>
      </w:pPr>
      <w:r>
        <w:rPr>
          <w:i/>
        </w:rPr>
        <w:lastRenderedPageBreak/>
        <w:t>National consistency - it was noted that whilst Tasmania and the Northern Territory may have</w:t>
      </w:r>
      <w:r>
        <w:rPr>
          <w:i/>
          <w:spacing w:val="-4"/>
        </w:rPr>
        <w:t xml:space="preserve"> </w:t>
      </w:r>
      <w:r>
        <w:rPr>
          <w:i/>
        </w:rPr>
        <w:t>different</w:t>
      </w:r>
      <w:r>
        <w:rPr>
          <w:i/>
          <w:spacing w:val="-4"/>
        </w:rPr>
        <w:t xml:space="preserve"> </w:t>
      </w:r>
      <w:r>
        <w:rPr>
          <w:i/>
        </w:rPr>
        <w:t>requirements</w:t>
      </w:r>
      <w:r>
        <w:rPr>
          <w:i/>
          <w:spacing w:val="-3"/>
        </w:rPr>
        <w:t xml:space="preserve"> </w:t>
      </w:r>
      <w:r>
        <w:rPr>
          <w:i/>
        </w:rPr>
        <w:t>to</w:t>
      </w:r>
      <w:r>
        <w:rPr>
          <w:i/>
          <w:spacing w:val="-4"/>
        </w:rPr>
        <w:t xml:space="preserve"> </w:t>
      </w:r>
      <w:r>
        <w:rPr>
          <w:i/>
        </w:rPr>
        <w:t>the</w:t>
      </w:r>
      <w:r>
        <w:rPr>
          <w:i/>
          <w:spacing w:val="-4"/>
        </w:rPr>
        <w:t xml:space="preserve"> </w:t>
      </w:r>
      <w:r>
        <w:rPr>
          <w:i/>
        </w:rPr>
        <w:t>rest</w:t>
      </w:r>
      <w:r>
        <w:rPr>
          <w:i/>
          <w:spacing w:val="-3"/>
        </w:rPr>
        <w:t xml:space="preserve"> </w:t>
      </w:r>
      <w:r>
        <w:rPr>
          <w:i/>
        </w:rPr>
        <w:t>of</w:t>
      </w:r>
      <w:r>
        <w:rPr>
          <w:i/>
          <w:spacing w:val="-4"/>
        </w:rPr>
        <w:t xml:space="preserve"> </w:t>
      </w:r>
      <w:r>
        <w:rPr>
          <w:i/>
        </w:rPr>
        <w:t>Australia,</w:t>
      </w:r>
      <w:r>
        <w:rPr>
          <w:i/>
          <w:spacing w:val="-3"/>
        </w:rPr>
        <w:t xml:space="preserve"> </w:t>
      </w:r>
      <w:r>
        <w:rPr>
          <w:i/>
        </w:rPr>
        <w:t>the</w:t>
      </w:r>
      <w:r>
        <w:rPr>
          <w:i/>
          <w:spacing w:val="-4"/>
        </w:rPr>
        <w:t xml:space="preserve"> </w:t>
      </w:r>
      <w:r>
        <w:rPr>
          <w:i/>
        </w:rPr>
        <w:t>qualification</w:t>
      </w:r>
      <w:r>
        <w:rPr>
          <w:i/>
          <w:spacing w:val="-1"/>
        </w:rPr>
        <w:t xml:space="preserve"> </w:t>
      </w:r>
      <w:r>
        <w:rPr>
          <w:i/>
        </w:rPr>
        <w:t>needed</w:t>
      </w:r>
      <w:r>
        <w:rPr>
          <w:i/>
          <w:spacing w:val="-4"/>
        </w:rPr>
        <w:t xml:space="preserve"> </w:t>
      </w:r>
      <w:r>
        <w:rPr>
          <w:i/>
        </w:rPr>
        <w:t>to</w:t>
      </w:r>
      <w:r>
        <w:rPr>
          <w:i/>
          <w:spacing w:val="-3"/>
        </w:rPr>
        <w:t xml:space="preserve"> </w:t>
      </w:r>
      <w:r>
        <w:rPr>
          <w:i/>
        </w:rPr>
        <w:t>cater</w:t>
      </w:r>
      <w:r>
        <w:rPr>
          <w:i/>
          <w:spacing w:val="-4"/>
        </w:rPr>
        <w:t xml:space="preserve"> </w:t>
      </w:r>
      <w:r>
        <w:rPr>
          <w:i/>
        </w:rPr>
        <w:t>for</w:t>
      </w:r>
      <w:r>
        <w:rPr>
          <w:i/>
          <w:spacing w:val="-3"/>
        </w:rPr>
        <w:t xml:space="preserve"> </w:t>
      </w:r>
      <w:r>
        <w:rPr>
          <w:i/>
        </w:rPr>
        <w:t>the large majority and enable mobility of</w:t>
      </w:r>
      <w:r>
        <w:rPr>
          <w:i/>
          <w:spacing w:val="-8"/>
        </w:rPr>
        <w:t xml:space="preserve"> </w:t>
      </w:r>
      <w:r>
        <w:rPr>
          <w:i/>
        </w:rPr>
        <w:t>labour.</w:t>
      </w:r>
    </w:p>
    <w:p w14:paraId="52B37E71" w14:textId="77777777" w:rsidR="008A2EDE" w:rsidRDefault="008A2EDE">
      <w:pPr>
        <w:pStyle w:val="BodyText"/>
        <w:spacing w:before="1"/>
        <w:rPr>
          <w:i/>
        </w:rPr>
      </w:pPr>
    </w:p>
    <w:p w14:paraId="4B068C1E" w14:textId="77777777" w:rsidR="008A2EDE" w:rsidRDefault="00A50BD3">
      <w:pPr>
        <w:ind w:left="1000" w:right="828"/>
        <w:rPr>
          <w:i/>
        </w:rPr>
      </w:pPr>
      <w:r>
        <w:rPr>
          <w:i/>
        </w:rPr>
        <w:t>The final advice of the TAG to support the model in the case for endorsement was considered and unanimously endorsed by the Industry Reference Committee - which included the CEO of the TBCITB.</w:t>
      </w:r>
    </w:p>
    <w:p w14:paraId="6B32A8E4" w14:textId="77777777" w:rsidR="008A2EDE" w:rsidRDefault="008A2EDE"/>
    <w:p w14:paraId="53DB2EEC" w14:textId="77777777" w:rsidR="005331EC" w:rsidRDefault="005331EC"/>
    <w:p w14:paraId="1AA40939" w14:textId="77777777" w:rsidR="005331EC" w:rsidRDefault="005331EC" w:rsidP="005331EC">
      <w:pPr>
        <w:pStyle w:val="BodyText"/>
        <w:spacing w:before="8"/>
        <w:rPr>
          <w:rFonts w:ascii="Times New Roman"/>
          <w:sz w:val="13"/>
        </w:rPr>
      </w:pPr>
    </w:p>
    <w:p w14:paraId="2202A25B" w14:textId="533DD05A" w:rsidR="005331EC" w:rsidRPr="00264BC4" w:rsidRDefault="005331EC" w:rsidP="00264BC4">
      <w:pPr>
        <w:pStyle w:val="Heading1"/>
        <w:spacing w:before="78"/>
        <w:ind w:left="1000" w:firstLine="0"/>
        <w:rPr>
          <w:color w:val="A2A9AF"/>
        </w:rPr>
      </w:pPr>
      <w:bookmarkStart w:id="12" w:name="_Toc23938256"/>
      <w:r w:rsidRPr="00264BC4">
        <w:rPr>
          <w:color w:val="A2A9AF"/>
        </w:rPr>
        <w:t>Appendix C: Victorian Building Authority Letter of Support</w:t>
      </w:r>
      <w:bookmarkEnd w:id="12"/>
    </w:p>
    <w:p w14:paraId="056EF333" w14:textId="0C74B197" w:rsidR="00264BC4" w:rsidRDefault="00264BC4" w:rsidP="005331EC">
      <w:pPr>
        <w:pStyle w:val="Heading5"/>
        <w:spacing w:before="78"/>
        <w:ind w:left="1000"/>
      </w:pPr>
    </w:p>
    <w:p w14:paraId="5C999232" w14:textId="77777777" w:rsidR="00264BC4" w:rsidRDefault="00264BC4" w:rsidP="008A4E78">
      <w:pPr>
        <w:pStyle w:val="Heading4"/>
        <w:ind w:left="993"/>
        <w:jc w:val="left"/>
        <w:rPr>
          <w:rFonts w:eastAsia="Times New Roman"/>
        </w:rPr>
      </w:pPr>
      <w:r>
        <w:t>VBA: Feedback on Proposed Carpentry Qualifications</w:t>
      </w:r>
    </w:p>
    <w:p w14:paraId="0A8A618F" w14:textId="77777777" w:rsidR="00264BC4" w:rsidRDefault="00264BC4" w:rsidP="00264BC4">
      <w:pPr>
        <w:shd w:val="clear" w:color="auto" w:fill="FFFFFF"/>
        <w:ind w:left="1134" w:hanging="141"/>
        <w:rPr>
          <w:rFonts w:ascii="Arial" w:hAnsi="Arial" w:cs="Arial"/>
          <w:color w:val="222222"/>
          <w:sz w:val="24"/>
          <w:szCs w:val="24"/>
        </w:rPr>
      </w:pPr>
      <w:r>
        <w:rPr>
          <w:rFonts w:ascii="Arial" w:hAnsi="Arial" w:cs="Arial"/>
          <w:color w:val="222222"/>
        </w:rPr>
        <w:t> </w:t>
      </w:r>
    </w:p>
    <w:p w14:paraId="79CD52CF"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Thank you for providing the VBA with an opportunity to review and provide feedback on the latest proposed versions of the following qualifications:</w:t>
      </w:r>
    </w:p>
    <w:p w14:paraId="54EEC150"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 </w:t>
      </w:r>
    </w:p>
    <w:p w14:paraId="667B0C7A" w14:textId="77777777" w:rsidR="00264BC4" w:rsidRDefault="00264BC4" w:rsidP="005056E0">
      <w:pPr>
        <w:pStyle w:val="m-8233402298788327287msolistparagraph"/>
        <w:numPr>
          <w:ilvl w:val="0"/>
          <w:numId w:val="33"/>
        </w:numPr>
        <w:shd w:val="clear" w:color="auto" w:fill="FFFFFF"/>
        <w:spacing w:before="0" w:beforeAutospacing="0" w:after="0" w:afterAutospacing="0"/>
        <w:ind w:left="1134" w:hanging="141"/>
        <w:rPr>
          <w:rFonts w:ascii="Calibri" w:hAnsi="Calibri" w:cs="Calibri"/>
          <w:color w:val="222222"/>
          <w:sz w:val="22"/>
          <w:szCs w:val="22"/>
        </w:rPr>
      </w:pPr>
      <w:r>
        <w:rPr>
          <w:rFonts w:ascii="Calibri" w:hAnsi="Calibri" w:cs="Calibri"/>
          <w:color w:val="222222"/>
          <w:sz w:val="22"/>
          <w:szCs w:val="22"/>
        </w:rPr>
        <w:t>CPC30219 Certificate III in Carpentry</w:t>
      </w:r>
    </w:p>
    <w:p w14:paraId="199A8C2C" w14:textId="77777777" w:rsidR="00264BC4" w:rsidRDefault="00264BC4" w:rsidP="005056E0">
      <w:pPr>
        <w:pStyle w:val="m-8233402298788327287msolistparagraph"/>
        <w:numPr>
          <w:ilvl w:val="0"/>
          <w:numId w:val="33"/>
        </w:numPr>
        <w:shd w:val="clear" w:color="auto" w:fill="FFFFFF"/>
        <w:spacing w:before="0" w:beforeAutospacing="0" w:after="0" w:afterAutospacing="0"/>
        <w:ind w:left="1134" w:hanging="141"/>
        <w:rPr>
          <w:rFonts w:ascii="Calibri" w:hAnsi="Calibri" w:cs="Calibri"/>
          <w:color w:val="222222"/>
          <w:sz w:val="22"/>
          <w:szCs w:val="22"/>
        </w:rPr>
      </w:pPr>
      <w:r>
        <w:rPr>
          <w:rFonts w:ascii="Calibri" w:hAnsi="Calibri" w:cs="Calibri"/>
          <w:color w:val="222222"/>
          <w:sz w:val="22"/>
          <w:szCs w:val="22"/>
        </w:rPr>
        <w:t>CPC31919 Certificate III in Joinery</w:t>
      </w:r>
    </w:p>
    <w:p w14:paraId="59004462" w14:textId="77777777" w:rsidR="00264BC4" w:rsidRDefault="00264BC4" w:rsidP="00264BC4">
      <w:pPr>
        <w:shd w:val="clear" w:color="auto" w:fill="FFFFFF"/>
        <w:ind w:left="1134" w:hanging="141"/>
        <w:rPr>
          <w:rFonts w:ascii="Arial" w:hAnsi="Arial" w:cs="Arial"/>
          <w:color w:val="222222"/>
          <w:sz w:val="24"/>
          <w:szCs w:val="24"/>
        </w:rPr>
      </w:pPr>
      <w:r>
        <w:rPr>
          <w:rFonts w:ascii="Arial" w:hAnsi="Arial" w:cs="Arial"/>
          <w:color w:val="222222"/>
        </w:rPr>
        <w:t> </w:t>
      </w:r>
    </w:p>
    <w:p w14:paraId="7A4C399E"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Our team have reviewed these Qualification Templates and find them to be fit for purpose.  Our team that reviewed the templates, included staff who are VBA Assessors, Technical experts and Registered Building Practitioners with significant years of experience in the industry.  All have high level knowledge of the regulatory framework for the building and construction industry at both a national and Victorian level.</w:t>
      </w:r>
    </w:p>
    <w:p w14:paraId="594B5051"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 </w:t>
      </w:r>
    </w:p>
    <w:p w14:paraId="39551F40"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Both qualifications are representative of the skill base required by trade based students and will provide a suitable platform for future tradespersons and building practitioners.</w:t>
      </w:r>
    </w:p>
    <w:p w14:paraId="119C9C57"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 </w:t>
      </w:r>
    </w:p>
    <w:p w14:paraId="40267106"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We fully support the templates as they are currently proposed.</w:t>
      </w:r>
    </w:p>
    <w:p w14:paraId="1DCACE98"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 </w:t>
      </w:r>
    </w:p>
    <w:p w14:paraId="086467C7"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If you have any questions, or require any further information, please feel free to contact me.</w:t>
      </w:r>
    </w:p>
    <w:p w14:paraId="0EEDE682"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 </w:t>
      </w:r>
    </w:p>
    <w:p w14:paraId="57B0B8F4"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Regards</w:t>
      </w:r>
    </w:p>
    <w:p w14:paraId="31B45D88"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Jennifer</w:t>
      </w:r>
    </w:p>
    <w:p w14:paraId="6F74EBAB"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 </w:t>
      </w:r>
    </w:p>
    <w:p w14:paraId="7381E0FA" w14:textId="77777777" w:rsidR="00264BC4" w:rsidRDefault="00264BC4" w:rsidP="00264BC4">
      <w:pPr>
        <w:shd w:val="clear" w:color="auto" w:fill="FFFFFF"/>
        <w:ind w:left="1134" w:hanging="141"/>
        <w:rPr>
          <w:rFonts w:ascii="Arial" w:hAnsi="Arial" w:cs="Arial"/>
          <w:color w:val="222222"/>
        </w:rPr>
      </w:pPr>
      <w:r>
        <w:rPr>
          <w:rFonts w:ascii="Arial" w:hAnsi="Arial" w:cs="Arial"/>
          <w:color w:val="222222"/>
        </w:rPr>
        <w:t> </w:t>
      </w:r>
    </w:p>
    <w:p w14:paraId="58A0B95A" w14:textId="77777777" w:rsidR="00264BC4" w:rsidRDefault="00264BC4" w:rsidP="00264BC4">
      <w:pPr>
        <w:shd w:val="clear" w:color="auto" w:fill="FFFFFF"/>
        <w:spacing w:after="240"/>
        <w:ind w:left="1134" w:hanging="141"/>
        <w:rPr>
          <w:rFonts w:ascii="Arial" w:hAnsi="Arial" w:cs="Arial"/>
          <w:color w:val="222222"/>
        </w:rPr>
      </w:pPr>
      <w:r>
        <w:rPr>
          <w:rFonts w:ascii="Arial" w:hAnsi="Arial" w:cs="Arial"/>
          <w:b/>
          <w:bCs/>
          <w:color w:val="007096"/>
          <w:sz w:val="20"/>
          <w:szCs w:val="20"/>
        </w:rPr>
        <w:t>Jennifer Mason</w:t>
      </w:r>
      <w:r>
        <w:rPr>
          <w:rFonts w:ascii="Arial" w:hAnsi="Arial" w:cs="Arial"/>
          <w:color w:val="000000"/>
          <w:sz w:val="20"/>
          <w:szCs w:val="20"/>
        </w:rPr>
        <w:br/>
        <w:t>Senior Policy Adviser, Education and Training | Knowledge and Experience Assessment</w:t>
      </w:r>
    </w:p>
    <w:tbl>
      <w:tblPr>
        <w:tblW w:w="6450" w:type="dxa"/>
        <w:tblCellSpacing w:w="15" w:type="dxa"/>
        <w:tblCellMar>
          <w:left w:w="0" w:type="dxa"/>
          <w:right w:w="0" w:type="dxa"/>
        </w:tblCellMar>
        <w:tblLook w:val="04A0" w:firstRow="1" w:lastRow="0" w:firstColumn="1" w:lastColumn="0" w:noHBand="0" w:noVBand="1"/>
      </w:tblPr>
      <w:tblGrid>
        <w:gridCol w:w="51"/>
        <w:gridCol w:w="60"/>
        <w:gridCol w:w="5046"/>
        <w:gridCol w:w="1293"/>
      </w:tblGrid>
      <w:tr w:rsidR="00264BC4" w14:paraId="3CB0C5FA" w14:textId="77777777" w:rsidTr="00264BC4">
        <w:trPr>
          <w:tblCellSpacing w:w="15" w:type="dxa"/>
        </w:trPr>
        <w:tc>
          <w:tcPr>
            <w:tcW w:w="0" w:type="auto"/>
            <w:vAlign w:val="center"/>
            <w:hideMark/>
          </w:tcPr>
          <w:p w14:paraId="28F38624" w14:textId="77777777" w:rsidR="00264BC4" w:rsidRDefault="00264BC4" w:rsidP="00264BC4">
            <w:pPr>
              <w:ind w:left="1134" w:hanging="141"/>
              <w:rPr>
                <w:rFonts w:ascii="Arial" w:hAnsi="Arial" w:cs="Arial"/>
                <w:color w:val="222222"/>
              </w:rPr>
            </w:pPr>
          </w:p>
        </w:tc>
        <w:tc>
          <w:tcPr>
            <w:tcW w:w="30" w:type="dxa"/>
            <w:shd w:val="clear" w:color="auto" w:fill="007096"/>
            <w:vAlign w:val="center"/>
            <w:hideMark/>
          </w:tcPr>
          <w:p w14:paraId="216DE1C1" w14:textId="77777777" w:rsidR="00264BC4" w:rsidRDefault="00264BC4" w:rsidP="00264BC4">
            <w:pPr>
              <w:ind w:left="1134" w:hanging="141"/>
              <w:rPr>
                <w:sz w:val="20"/>
                <w:szCs w:val="20"/>
              </w:rPr>
            </w:pPr>
          </w:p>
        </w:tc>
        <w:tc>
          <w:tcPr>
            <w:tcW w:w="0" w:type="auto"/>
            <w:vAlign w:val="center"/>
            <w:hideMark/>
          </w:tcPr>
          <w:p w14:paraId="0F7A7851" w14:textId="77777777" w:rsidR="00264BC4" w:rsidRDefault="00264BC4" w:rsidP="00264BC4">
            <w:pPr>
              <w:ind w:left="1134" w:hanging="141"/>
              <w:rPr>
                <w:rFonts w:ascii="Helvetica" w:hAnsi="Helvetica"/>
                <w:sz w:val="24"/>
                <w:szCs w:val="24"/>
              </w:rPr>
            </w:pPr>
            <w:r>
              <w:rPr>
                <w:rFonts w:ascii="Helvetica" w:hAnsi="Helvetica"/>
                <w:b/>
                <w:bCs/>
                <w:color w:val="007096"/>
                <w:sz w:val="18"/>
                <w:szCs w:val="18"/>
              </w:rPr>
              <w:t>  D.</w:t>
            </w:r>
            <w:r>
              <w:rPr>
                <w:rFonts w:ascii="Helvetica" w:hAnsi="Helvetica"/>
                <w:b/>
                <w:bCs/>
                <w:color w:val="007096"/>
                <w:sz w:val="20"/>
                <w:szCs w:val="20"/>
              </w:rPr>
              <w:t> </w:t>
            </w:r>
            <w:r>
              <w:rPr>
                <w:rFonts w:ascii="Helvetica" w:hAnsi="Helvetica"/>
                <w:sz w:val="18"/>
                <w:szCs w:val="18"/>
              </w:rPr>
              <w:t>03 9618 9440</w:t>
            </w:r>
            <w:r>
              <w:rPr>
                <w:rFonts w:ascii="Helvetica" w:hAnsi="Helvetica"/>
                <w:color w:val="000000"/>
                <w:sz w:val="18"/>
                <w:szCs w:val="18"/>
              </w:rPr>
              <w:br/>
            </w:r>
            <w:r>
              <w:rPr>
                <w:rFonts w:ascii="Helvetica" w:hAnsi="Helvetica"/>
                <w:color w:val="007096"/>
                <w:sz w:val="18"/>
                <w:szCs w:val="18"/>
              </w:rPr>
              <w:t>  </w:t>
            </w:r>
            <w:r>
              <w:rPr>
                <w:rFonts w:ascii="Helvetica" w:hAnsi="Helvetica"/>
                <w:b/>
                <w:bCs/>
                <w:color w:val="007096"/>
                <w:sz w:val="18"/>
                <w:szCs w:val="18"/>
              </w:rPr>
              <w:t>E.</w:t>
            </w:r>
            <w:r>
              <w:rPr>
                <w:rFonts w:ascii="Helvetica" w:hAnsi="Helvetica"/>
                <w:color w:val="007096"/>
                <w:sz w:val="18"/>
                <w:szCs w:val="18"/>
              </w:rPr>
              <w:t> </w:t>
            </w:r>
            <w:r>
              <w:rPr>
                <w:rFonts w:ascii="Helvetica" w:hAnsi="Helvetica"/>
                <w:color w:val="007096"/>
                <w:sz w:val="20"/>
                <w:szCs w:val="20"/>
              </w:rPr>
              <w:t> </w:t>
            </w:r>
            <w:hyperlink r:id="rId35" w:tgtFrame="_blank" w:history="1">
              <w:r>
                <w:rPr>
                  <w:rStyle w:val="Hyperlink"/>
                  <w:rFonts w:ascii="Helvetica" w:hAnsi="Helvetica"/>
                  <w:color w:val="1155CC"/>
                  <w:sz w:val="18"/>
                  <w:szCs w:val="18"/>
                </w:rPr>
                <w:t>Jennifer.Mason@vba.vic.gov.au</w:t>
              </w:r>
            </w:hyperlink>
            <w:r>
              <w:rPr>
                <w:rFonts w:ascii="Helvetica" w:hAnsi="Helvetica"/>
                <w:color w:val="000000"/>
                <w:sz w:val="18"/>
                <w:szCs w:val="18"/>
              </w:rPr>
              <w:t> </w:t>
            </w:r>
            <w:r>
              <w:rPr>
                <w:rFonts w:ascii="Helvetica" w:hAnsi="Helvetica"/>
                <w:color w:val="007096"/>
                <w:sz w:val="20"/>
                <w:szCs w:val="20"/>
              </w:rPr>
              <w:br/>
            </w:r>
            <w:r>
              <w:rPr>
                <w:rFonts w:ascii="Helvetica" w:hAnsi="Helvetica"/>
                <w:b/>
                <w:bCs/>
                <w:color w:val="007096"/>
                <w:sz w:val="18"/>
                <w:szCs w:val="18"/>
              </w:rPr>
              <w:t>  A.</w:t>
            </w:r>
            <w:r>
              <w:rPr>
                <w:rFonts w:ascii="Helvetica" w:hAnsi="Helvetica"/>
                <w:b/>
                <w:bCs/>
                <w:color w:val="007096"/>
                <w:sz w:val="20"/>
                <w:szCs w:val="20"/>
              </w:rPr>
              <w:t> </w:t>
            </w:r>
            <w:r>
              <w:rPr>
                <w:rFonts w:ascii="Helvetica" w:hAnsi="Helvetica"/>
                <w:sz w:val="18"/>
                <w:szCs w:val="18"/>
              </w:rPr>
              <w:t>733 Bourke Street, Docklands VIC 3008</w:t>
            </w:r>
            <w:r>
              <w:rPr>
                <w:rFonts w:ascii="Helvetica" w:hAnsi="Helvetica"/>
                <w:sz w:val="18"/>
                <w:szCs w:val="18"/>
              </w:rPr>
              <w:br/>
              <w:t>  </w:t>
            </w:r>
            <w:r>
              <w:rPr>
                <w:rFonts w:ascii="Helvetica" w:hAnsi="Helvetica"/>
                <w:b/>
                <w:bCs/>
                <w:color w:val="007096"/>
                <w:sz w:val="18"/>
                <w:szCs w:val="18"/>
              </w:rPr>
              <w:t>W.</w:t>
            </w:r>
            <w:r>
              <w:rPr>
                <w:rFonts w:ascii="Helvetica" w:hAnsi="Helvetica"/>
                <w:sz w:val="18"/>
                <w:szCs w:val="18"/>
              </w:rPr>
              <w:t> </w:t>
            </w:r>
            <w:hyperlink r:id="rId36" w:tgtFrame="_blank" w:history="1">
              <w:r>
                <w:rPr>
                  <w:rStyle w:val="Hyperlink"/>
                  <w:rFonts w:ascii="Helvetica" w:hAnsi="Helvetica"/>
                  <w:sz w:val="18"/>
                  <w:szCs w:val="18"/>
                </w:rPr>
                <w:t>vba.vic.gov.au</w:t>
              </w:r>
            </w:hyperlink>
            <w:r>
              <w:rPr>
                <w:rFonts w:ascii="Helvetica" w:hAnsi="Helvetica"/>
                <w:sz w:val="18"/>
                <w:szCs w:val="18"/>
              </w:rPr>
              <w:t> | </w:t>
            </w:r>
            <w:r>
              <w:rPr>
                <w:rFonts w:ascii="Helvetica" w:hAnsi="Helvetica"/>
                <w:b/>
                <w:bCs/>
                <w:color w:val="007096"/>
                <w:sz w:val="18"/>
                <w:szCs w:val="18"/>
              </w:rPr>
              <w:t>P.</w:t>
            </w:r>
            <w:r>
              <w:rPr>
                <w:rFonts w:ascii="Helvetica" w:hAnsi="Helvetica"/>
                <w:sz w:val="18"/>
                <w:szCs w:val="18"/>
              </w:rPr>
              <w:t> 1300 815 127</w:t>
            </w:r>
          </w:p>
        </w:tc>
        <w:tc>
          <w:tcPr>
            <w:tcW w:w="0" w:type="auto"/>
            <w:vAlign w:val="center"/>
            <w:hideMark/>
          </w:tcPr>
          <w:p w14:paraId="68666EAD" w14:textId="77777777" w:rsidR="00264BC4" w:rsidRDefault="00264BC4" w:rsidP="00264BC4">
            <w:pPr>
              <w:ind w:left="1134" w:hanging="141"/>
              <w:rPr>
                <w:rFonts w:ascii="Helvetica" w:hAnsi="Helvetica"/>
              </w:rPr>
            </w:pPr>
            <w:r>
              <w:rPr>
                <w:rFonts w:ascii="Helvetica" w:hAnsi="Helvetica"/>
                <w:sz w:val="20"/>
                <w:szCs w:val="20"/>
              </w:rPr>
              <w:t>   </w:t>
            </w:r>
          </w:p>
        </w:tc>
      </w:tr>
    </w:tbl>
    <w:p w14:paraId="64A7ED92" w14:textId="77777777" w:rsidR="00264BC4" w:rsidRDefault="00264BC4" w:rsidP="00264BC4">
      <w:pPr>
        <w:shd w:val="clear" w:color="auto" w:fill="FFFFFF"/>
        <w:ind w:left="1134" w:hanging="141"/>
        <w:rPr>
          <w:rFonts w:ascii="Arial" w:hAnsi="Arial" w:cs="Arial"/>
          <w:vanish/>
          <w:color w:val="222222"/>
        </w:rPr>
      </w:pPr>
    </w:p>
    <w:tbl>
      <w:tblPr>
        <w:tblW w:w="10365" w:type="dxa"/>
        <w:tblCellSpacing w:w="15" w:type="dxa"/>
        <w:tblCellMar>
          <w:left w:w="0" w:type="dxa"/>
          <w:right w:w="0" w:type="dxa"/>
        </w:tblCellMar>
        <w:tblLook w:val="04A0" w:firstRow="1" w:lastRow="0" w:firstColumn="1" w:lastColumn="0" w:noHBand="0" w:noVBand="1"/>
      </w:tblPr>
      <w:tblGrid>
        <w:gridCol w:w="51"/>
        <w:gridCol w:w="36"/>
        <w:gridCol w:w="36"/>
        <w:gridCol w:w="36"/>
        <w:gridCol w:w="10206"/>
      </w:tblGrid>
      <w:tr w:rsidR="00264BC4" w14:paraId="308B0412" w14:textId="77777777" w:rsidTr="00264BC4">
        <w:trPr>
          <w:tblCellSpacing w:w="15" w:type="dxa"/>
        </w:trPr>
        <w:tc>
          <w:tcPr>
            <w:tcW w:w="0" w:type="auto"/>
            <w:vAlign w:val="center"/>
            <w:hideMark/>
          </w:tcPr>
          <w:p w14:paraId="1951ED82" w14:textId="77777777" w:rsidR="00264BC4" w:rsidRDefault="00264BC4" w:rsidP="00264BC4">
            <w:pPr>
              <w:ind w:left="1134" w:hanging="141"/>
              <w:rPr>
                <w:rFonts w:ascii="Helvetica" w:hAnsi="Helvetica" w:cs="Times New Roman"/>
              </w:rPr>
            </w:pPr>
          </w:p>
        </w:tc>
        <w:tc>
          <w:tcPr>
            <w:tcW w:w="0" w:type="auto"/>
            <w:vAlign w:val="center"/>
            <w:hideMark/>
          </w:tcPr>
          <w:p w14:paraId="7711442D" w14:textId="77777777" w:rsidR="00264BC4" w:rsidRDefault="00264BC4" w:rsidP="00264BC4">
            <w:pPr>
              <w:ind w:left="1134" w:hanging="141"/>
              <w:rPr>
                <w:rFonts w:ascii="Helvetica" w:hAnsi="Helvetica"/>
              </w:rPr>
            </w:pPr>
          </w:p>
        </w:tc>
        <w:tc>
          <w:tcPr>
            <w:tcW w:w="0" w:type="auto"/>
            <w:vAlign w:val="center"/>
            <w:hideMark/>
          </w:tcPr>
          <w:p w14:paraId="6C717C23" w14:textId="77777777" w:rsidR="00264BC4" w:rsidRDefault="00264BC4" w:rsidP="00264BC4">
            <w:pPr>
              <w:ind w:left="1134" w:hanging="141"/>
              <w:rPr>
                <w:sz w:val="20"/>
                <w:szCs w:val="20"/>
              </w:rPr>
            </w:pPr>
          </w:p>
        </w:tc>
        <w:tc>
          <w:tcPr>
            <w:tcW w:w="0" w:type="auto"/>
            <w:vAlign w:val="center"/>
            <w:hideMark/>
          </w:tcPr>
          <w:p w14:paraId="58B44C6A" w14:textId="77777777" w:rsidR="00264BC4" w:rsidRDefault="00264BC4" w:rsidP="00264BC4">
            <w:pPr>
              <w:ind w:left="1134" w:hanging="141"/>
              <w:rPr>
                <w:sz w:val="20"/>
                <w:szCs w:val="20"/>
              </w:rPr>
            </w:pPr>
          </w:p>
        </w:tc>
        <w:tc>
          <w:tcPr>
            <w:tcW w:w="0" w:type="auto"/>
            <w:vAlign w:val="center"/>
            <w:hideMark/>
          </w:tcPr>
          <w:p w14:paraId="17E46889" w14:textId="77777777" w:rsidR="00264BC4" w:rsidRDefault="00264BC4" w:rsidP="00264BC4">
            <w:pPr>
              <w:ind w:left="1134" w:hanging="141"/>
              <w:rPr>
                <w:rFonts w:ascii="Helvetica" w:hAnsi="Helvetica"/>
                <w:sz w:val="24"/>
                <w:szCs w:val="24"/>
              </w:rPr>
            </w:pPr>
            <w:r>
              <w:rPr>
                <w:rFonts w:ascii="Arial" w:hAnsi="Arial" w:cs="Arial"/>
                <w:color w:val="808080"/>
                <w:sz w:val="16"/>
                <w:szCs w:val="16"/>
              </w:rPr>
              <w:t>The VBA acknowledges the Traditional Owners and custodians of the land and we pay our respects to their Elders past, present and emerging. We’re an inclusive workplace that embraces diversity in all its forms.</w:t>
            </w:r>
          </w:p>
        </w:tc>
      </w:tr>
    </w:tbl>
    <w:p w14:paraId="73CD9AF6" w14:textId="77777777" w:rsidR="00264BC4" w:rsidRDefault="00264BC4" w:rsidP="005331EC">
      <w:pPr>
        <w:pStyle w:val="Heading5"/>
        <w:spacing w:before="78"/>
        <w:ind w:left="1000"/>
      </w:pPr>
    </w:p>
    <w:p w14:paraId="553A3749" w14:textId="3BAF6C51" w:rsidR="005331EC" w:rsidRDefault="005331EC">
      <w:pPr>
        <w:sectPr w:rsidR="005331EC">
          <w:pgSz w:w="11900" w:h="16840"/>
          <w:pgMar w:top="1340" w:right="700" w:bottom="1240" w:left="440" w:header="0" w:footer="1044" w:gutter="0"/>
          <w:cols w:space="720"/>
        </w:sectPr>
      </w:pPr>
    </w:p>
    <w:p w14:paraId="16AB2FD0" w14:textId="77777777" w:rsidR="008A2EDE" w:rsidRDefault="008A2EDE">
      <w:pPr>
        <w:pStyle w:val="BodyText"/>
        <w:spacing w:before="8"/>
        <w:rPr>
          <w:rFonts w:ascii="Times New Roman"/>
          <w:sz w:val="13"/>
        </w:rPr>
      </w:pPr>
    </w:p>
    <w:p w14:paraId="46092A27" w14:textId="616554F1" w:rsidR="008A2EDE" w:rsidRPr="008A4E78" w:rsidRDefault="00A50BD3" w:rsidP="008A4E78">
      <w:pPr>
        <w:pStyle w:val="Heading1"/>
        <w:ind w:left="1259" w:firstLine="0"/>
        <w:rPr>
          <w:color w:val="A2A9AF"/>
        </w:rPr>
      </w:pPr>
      <w:bookmarkStart w:id="13" w:name="_Toc23938257"/>
      <w:r w:rsidRPr="008A4E78">
        <w:rPr>
          <w:color w:val="A2A9AF"/>
        </w:rPr>
        <w:t xml:space="preserve">Appendix </w:t>
      </w:r>
      <w:r w:rsidR="005331EC" w:rsidRPr="008A4E78">
        <w:rPr>
          <w:color w:val="A2A9AF"/>
        </w:rPr>
        <w:t>D</w:t>
      </w:r>
      <w:r w:rsidRPr="008A4E78">
        <w:rPr>
          <w:color w:val="A2A9AF"/>
        </w:rPr>
        <w:t>: Carpentry and Joinery New Units of Competency</w:t>
      </w:r>
      <w:bookmarkEnd w:id="13"/>
    </w:p>
    <w:p w14:paraId="408723D1" w14:textId="77777777" w:rsidR="00D87885" w:rsidRDefault="00D87885">
      <w:pPr>
        <w:pStyle w:val="Heading5"/>
        <w:spacing w:before="78"/>
        <w:ind w:left="1000"/>
      </w:pPr>
    </w:p>
    <w:p w14:paraId="68A301CB" w14:textId="77777777" w:rsidR="008A2EDE" w:rsidRPr="00346F96" w:rsidRDefault="00A50BD3" w:rsidP="005056E0">
      <w:pPr>
        <w:pStyle w:val="Heading6"/>
        <w:numPr>
          <w:ilvl w:val="1"/>
          <w:numId w:val="3"/>
        </w:numPr>
        <w:tabs>
          <w:tab w:val="left" w:pos="1719"/>
          <w:tab w:val="left" w:pos="1720"/>
        </w:tabs>
        <w:spacing w:line="240" w:lineRule="auto"/>
        <w:rPr>
          <w:rFonts w:ascii="Symbol" w:hAnsi="Symbol"/>
          <w:sz w:val="22"/>
          <w:szCs w:val="22"/>
        </w:rPr>
      </w:pPr>
      <w:r w:rsidRPr="00346F96">
        <w:rPr>
          <w:sz w:val="22"/>
          <w:szCs w:val="22"/>
        </w:rPr>
        <w:t>CPCCCA3024 Install lining, panelling and</w:t>
      </w:r>
      <w:r w:rsidRPr="00346F96">
        <w:rPr>
          <w:spacing w:val="-1"/>
          <w:sz w:val="22"/>
          <w:szCs w:val="22"/>
        </w:rPr>
        <w:t xml:space="preserve"> </w:t>
      </w:r>
      <w:r w:rsidRPr="00346F96">
        <w:rPr>
          <w:sz w:val="22"/>
          <w:szCs w:val="22"/>
        </w:rPr>
        <w:t>moulding</w:t>
      </w:r>
    </w:p>
    <w:p w14:paraId="5088AA9A" w14:textId="77777777" w:rsidR="008A2EDE" w:rsidRPr="00346F96" w:rsidRDefault="00A50BD3" w:rsidP="005056E0">
      <w:pPr>
        <w:pStyle w:val="Heading6"/>
        <w:numPr>
          <w:ilvl w:val="1"/>
          <w:numId w:val="3"/>
        </w:numPr>
        <w:tabs>
          <w:tab w:val="left" w:pos="1719"/>
          <w:tab w:val="left" w:pos="1720"/>
        </w:tabs>
        <w:spacing w:line="240" w:lineRule="auto"/>
        <w:rPr>
          <w:rFonts w:ascii="Symbol" w:hAnsi="Symbol"/>
          <w:sz w:val="22"/>
          <w:szCs w:val="22"/>
        </w:rPr>
      </w:pPr>
      <w:r w:rsidRPr="00346F96">
        <w:rPr>
          <w:sz w:val="22"/>
          <w:szCs w:val="22"/>
        </w:rPr>
        <w:t>CPCCCA3025 Read and interpret plans and speciﬁcations for carpentry</w:t>
      </w:r>
      <w:r w:rsidRPr="00346F96">
        <w:rPr>
          <w:spacing w:val="-2"/>
          <w:sz w:val="22"/>
          <w:szCs w:val="22"/>
        </w:rPr>
        <w:t xml:space="preserve"> </w:t>
      </w:r>
      <w:r w:rsidRPr="00346F96">
        <w:rPr>
          <w:sz w:val="22"/>
          <w:szCs w:val="22"/>
        </w:rPr>
        <w:t>work</w:t>
      </w:r>
    </w:p>
    <w:p w14:paraId="2605B854" w14:textId="77777777" w:rsidR="008A2EDE" w:rsidRPr="00346F96" w:rsidRDefault="00A50BD3" w:rsidP="005056E0">
      <w:pPr>
        <w:pStyle w:val="Heading6"/>
        <w:numPr>
          <w:ilvl w:val="1"/>
          <w:numId w:val="3"/>
        </w:numPr>
        <w:tabs>
          <w:tab w:val="left" w:pos="1719"/>
          <w:tab w:val="left" w:pos="1720"/>
        </w:tabs>
        <w:spacing w:before="2"/>
        <w:rPr>
          <w:rFonts w:ascii="Symbol" w:hAnsi="Symbol"/>
          <w:sz w:val="22"/>
          <w:szCs w:val="22"/>
        </w:rPr>
      </w:pPr>
      <w:r w:rsidRPr="00346F96">
        <w:rPr>
          <w:sz w:val="22"/>
          <w:szCs w:val="22"/>
        </w:rPr>
        <w:t>CPCCCA3026 Assemble</w:t>
      </w:r>
      <w:r w:rsidRPr="00346F96">
        <w:rPr>
          <w:spacing w:val="-1"/>
          <w:sz w:val="22"/>
          <w:szCs w:val="22"/>
        </w:rPr>
        <w:t xml:space="preserve"> </w:t>
      </w:r>
      <w:r w:rsidRPr="00346F96">
        <w:rPr>
          <w:sz w:val="22"/>
          <w:szCs w:val="22"/>
        </w:rPr>
        <w:t>partitions</w:t>
      </w:r>
    </w:p>
    <w:p w14:paraId="447D34F3" w14:textId="773F6CEC" w:rsidR="008A2EDE" w:rsidRPr="00D87885" w:rsidRDefault="00A50BD3" w:rsidP="005056E0">
      <w:pPr>
        <w:pStyle w:val="Heading6"/>
        <w:numPr>
          <w:ilvl w:val="1"/>
          <w:numId w:val="3"/>
        </w:numPr>
        <w:tabs>
          <w:tab w:val="left" w:pos="1719"/>
          <w:tab w:val="left" w:pos="1720"/>
        </w:tabs>
        <w:spacing w:before="0" w:line="240" w:lineRule="auto"/>
        <w:ind w:right="994"/>
        <w:rPr>
          <w:rFonts w:ascii="Symbol" w:hAnsi="Symbol"/>
          <w:sz w:val="22"/>
          <w:szCs w:val="22"/>
        </w:rPr>
      </w:pPr>
      <w:r w:rsidRPr="00346F96">
        <w:rPr>
          <w:sz w:val="22"/>
          <w:szCs w:val="22"/>
        </w:rPr>
        <w:t>CPCCCA3027 Set up, operate and maintain indirect action powder-actuated power tools</w:t>
      </w:r>
    </w:p>
    <w:p w14:paraId="49FB02C9" w14:textId="77777777" w:rsidR="00D87885" w:rsidRDefault="00D87885" w:rsidP="00D87885">
      <w:pPr>
        <w:pStyle w:val="Heading6"/>
        <w:tabs>
          <w:tab w:val="left" w:pos="1719"/>
          <w:tab w:val="left" w:pos="1720"/>
        </w:tabs>
        <w:spacing w:before="0" w:line="240" w:lineRule="auto"/>
        <w:ind w:right="994" w:firstLine="0"/>
        <w:rPr>
          <w:rFonts w:ascii="Symbol" w:hAnsi="Symbol"/>
          <w:sz w:val="22"/>
          <w:szCs w:val="22"/>
        </w:rPr>
        <w:sectPr w:rsidR="00D87885">
          <w:pgSz w:w="11900" w:h="16840"/>
          <w:pgMar w:top="1340" w:right="700" w:bottom="1240" w:left="440" w:header="0" w:footer="1044" w:gutter="0"/>
          <w:cols w:space="720"/>
        </w:sectPr>
      </w:pPr>
    </w:p>
    <w:p w14:paraId="57429810" w14:textId="30D0813E" w:rsidR="00D87885" w:rsidRPr="00346F96" w:rsidRDefault="00D87885" w:rsidP="00D87885">
      <w:pPr>
        <w:pStyle w:val="Heading6"/>
        <w:tabs>
          <w:tab w:val="left" w:pos="1719"/>
          <w:tab w:val="left" w:pos="1720"/>
        </w:tabs>
        <w:spacing w:before="0" w:line="240" w:lineRule="auto"/>
        <w:ind w:right="994" w:firstLine="0"/>
        <w:rPr>
          <w:rFonts w:ascii="Symbol" w:hAnsi="Symbol"/>
          <w:sz w:val="22"/>
          <w:szCs w:val="22"/>
        </w:rPr>
      </w:pPr>
    </w:p>
    <w:p w14:paraId="12651E3B" w14:textId="77777777" w:rsidR="008A2EDE" w:rsidRPr="00346F96" w:rsidRDefault="008A2EDE">
      <w:pPr>
        <w:pStyle w:val="BodyText"/>
        <w:spacing w:before="10"/>
      </w:pPr>
    </w:p>
    <w:p w14:paraId="4C4569A4" w14:textId="35E5C8B2" w:rsidR="008A2EDE" w:rsidRPr="008A4E78" w:rsidRDefault="00A50BD3" w:rsidP="008A4E78">
      <w:pPr>
        <w:pStyle w:val="Heading1"/>
        <w:ind w:left="1259" w:firstLine="0"/>
        <w:rPr>
          <w:color w:val="A2A9AF"/>
        </w:rPr>
      </w:pPr>
      <w:bookmarkStart w:id="14" w:name="_Toc23938258"/>
      <w:r w:rsidRPr="008A4E78">
        <w:rPr>
          <w:color w:val="A2A9AF"/>
        </w:rPr>
        <w:t xml:space="preserve">Appendix </w:t>
      </w:r>
      <w:r w:rsidR="005331EC" w:rsidRPr="008A4E78">
        <w:rPr>
          <w:color w:val="A2A9AF"/>
        </w:rPr>
        <w:t>E</w:t>
      </w:r>
      <w:r w:rsidRPr="008A4E78">
        <w:rPr>
          <w:color w:val="A2A9AF"/>
        </w:rPr>
        <w:t>: Carpentry and Joinery Revised Units of Competency</w:t>
      </w:r>
      <w:bookmarkEnd w:id="14"/>
    </w:p>
    <w:p w14:paraId="13DCD2A3" w14:textId="77777777" w:rsidR="00D87885" w:rsidRPr="00346F96" w:rsidRDefault="00D87885">
      <w:pPr>
        <w:pStyle w:val="Heading5"/>
        <w:spacing w:before="0"/>
        <w:ind w:left="1000"/>
        <w:rPr>
          <w:sz w:val="22"/>
          <w:szCs w:val="22"/>
        </w:rPr>
      </w:pPr>
    </w:p>
    <w:p w14:paraId="1DF298DD" w14:textId="77777777" w:rsidR="008A2EDE" w:rsidRPr="00346F96" w:rsidRDefault="00A50BD3" w:rsidP="005056E0">
      <w:pPr>
        <w:pStyle w:val="Heading6"/>
        <w:numPr>
          <w:ilvl w:val="1"/>
          <w:numId w:val="3"/>
        </w:numPr>
        <w:tabs>
          <w:tab w:val="left" w:pos="1719"/>
          <w:tab w:val="left" w:pos="1720"/>
        </w:tabs>
        <w:spacing w:line="240" w:lineRule="auto"/>
        <w:rPr>
          <w:rFonts w:ascii="Symbol" w:hAnsi="Symbol"/>
          <w:sz w:val="22"/>
          <w:szCs w:val="22"/>
        </w:rPr>
      </w:pPr>
      <w:r w:rsidRPr="00346F96">
        <w:rPr>
          <w:sz w:val="22"/>
          <w:szCs w:val="22"/>
        </w:rPr>
        <w:t>CPCCCA2002 Use carpentry tools and</w:t>
      </w:r>
      <w:r w:rsidRPr="00346F96">
        <w:rPr>
          <w:spacing w:val="-1"/>
          <w:sz w:val="22"/>
          <w:szCs w:val="22"/>
        </w:rPr>
        <w:t xml:space="preserve"> </w:t>
      </w:r>
      <w:r w:rsidRPr="00346F96">
        <w:rPr>
          <w:sz w:val="22"/>
          <w:szCs w:val="22"/>
        </w:rPr>
        <w:t>equipment</w:t>
      </w:r>
    </w:p>
    <w:p w14:paraId="7EDF196B" w14:textId="77777777" w:rsidR="008A2EDE" w:rsidRPr="00346F96" w:rsidRDefault="00A50BD3" w:rsidP="005056E0">
      <w:pPr>
        <w:pStyle w:val="Heading6"/>
        <w:numPr>
          <w:ilvl w:val="1"/>
          <w:numId w:val="3"/>
        </w:numPr>
        <w:tabs>
          <w:tab w:val="left" w:pos="1719"/>
          <w:tab w:val="left" w:pos="1720"/>
        </w:tabs>
        <w:spacing w:before="2"/>
        <w:rPr>
          <w:rFonts w:ascii="Symbol" w:hAnsi="Symbol"/>
          <w:sz w:val="22"/>
          <w:szCs w:val="22"/>
        </w:rPr>
      </w:pPr>
      <w:r w:rsidRPr="00346F96">
        <w:rPr>
          <w:sz w:val="22"/>
          <w:szCs w:val="22"/>
        </w:rPr>
        <w:t>CPCCCA2011 Handle carpentry</w:t>
      </w:r>
      <w:r w:rsidRPr="00346F96">
        <w:rPr>
          <w:spacing w:val="-1"/>
          <w:sz w:val="22"/>
          <w:szCs w:val="22"/>
        </w:rPr>
        <w:t xml:space="preserve"> </w:t>
      </w:r>
      <w:r w:rsidRPr="00346F96">
        <w:rPr>
          <w:sz w:val="22"/>
          <w:szCs w:val="22"/>
        </w:rPr>
        <w:t>materials</w:t>
      </w:r>
    </w:p>
    <w:p w14:paraId="4FDF147B"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CPCCCA3002 Carry out setting</w:t>
      </w:r>
      <w:r w:rsidRPr="00346F96">
        <w:rPr>
          <w:spacing w:val="-1"/>
          <w:sz w:val="22"/>
          <w:szCs w:val="22"/>
        </w:rPr>
        <w:t xml:space="preserve"> </w:t>
      </w:r>
      <w:r w:rsidRPr="00346F96">
        <w:rPr>
          <w:sz w:val="22"/>
          <w:szCs w:val="22"/>
        </w:rPr>
        <w:t>out</w:t>
      </w:r>
    </w:p>
    <w:p w14:paraId="3C21A134" w14:textId="77777777" w:rsidR="008A2EDE" w:rsidRPr="00346F96" w:rsidRDefault="00A50BD3" w:rsidP="005056E0">
      <w:pPr>
        <w:pStyle w:val="Heading6"/>
        <w:numPr>
          <w:ilvl w:val="1"/>
          <w:numId w:val="3"/>
        </w:numPr>
        <w:tabs>
          <w:tab w:val="left" w:pos="1719"/>
          <w:tab w:val="left" w:pos="1720"/>
        </w:tabs>
        <w:spacing w:line="240" w:lineRule="auto"/>
        <w:rPr>
          <w:rFonts w:ascii="Symbol" w:hAnsi="Symbol"/>
          <w:sz w:val="22"/>
          <w:szCs w:val="22"/>
        </w:rPr>
      </w:pPr>
      <w:r w:rsidRPr="00346F96">
        <w:rPr>
          <w:sz w:val="22"/>
          <w:szCs w:val="22"/>
        </w:rPr>
        <w:t>CPCCCA3003 Install ﬂooring</w:t>
      </w:r>
      <w:r w:rsidRPr="00346F96">
        <w:rPr>
          <w:spacing w:val="-1"/>
          <w:sz w:val="22"/>
          <w:szCs w:val="22"/>
        </w:rPr>
        <w:t xml:space="preserve"> </w:t>
      </w:r>
      <w:r w:rsidRPr="00346F96">
        <w:rPr>
          <w:sz w:val="22"/>
          <w:szCs w:val="22"/>
        </w:rPr>
        <w:t>systems</w:t>
      </w:r>
    </w:p>
    <w:p w14:paraId="71321EA8"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CPCCCA3004 Construct and erect wall</w:t>
      </w:r>
      <w:r w:rsidRPr="00346F96">
        <w:rPr>
          <w:spacing w:val="-1"/>
          <w:sz w:val="22"/>
          <w:szCs w:val="22"/>
        </w:rPr>
        <w:t xml:space="preserve"> </w:t>
      </w:r>
      <w:r w:rsidRPr="00346F96">
        <w:rPr>
          <w:sz w:val="22"/>
          <w:szCs w:val="22"/>
        </w:rPr>
        <w:t>frames</w:t>
      </w:r>
    </w:p>
    <w:p w14:paraId="2ACEF9E9"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CPCCCA3005 Construct ceiling</w:t>
      </w:r>
      <w:r w:rsidRPr="00346F96">
        <w:rPr>
          <w:spacing w:val="-1"/>
          <w:sz w:val="22"/>
          <w:szCs w:val="22"/>
        </w:rPr>
        <w:t xml:space="preserve"> </w:t>
      </w:r>
      <w:r w:rsidRPr="00346F96">
        <w:rPr>
          <w:sz w:val="22"/>
          <w:szCs w:val="22"/>
        </w:rPr>
        <w:t>frames</w:t>
      </w:r>
    </w:p>
    <w:p w14:paraId="61562241"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CPCCCA3006 Erect roof</w:t>
      </w:r>
      <w:r w:rsidRPr="00346F96">
        <w:rPr>
          <w:spacing w:val="-1"/>
          <w:sz w:val="22"/>
          <w:szCs w:val="22"/>
        </w:rPr>
        <w:t xml:space="preserve"> </w:t>
      </w:r>
      <w:r w:rsidRPr="00346F96">
        <w:rPr>
          <w:sz w:val="22"/>
          <w:szCs w:val="22"/>
        </w:rPr>
        <w:t>trusses</w:t>
      </w:r>
    </w:p>
    <w:p w14:paraId="406D03CF"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CPCCCA3007 Construct pitched</w:t>
      </w:r>
      <w:r w:rsidRPr="00346F96">
        <w:rPr>
          <w:spacing w:val="-1"/>
          <w:sz w:val="22"/>
          <w:szCs w:val="22"/>
        </w:rPr>
        <w:t xml:space="preserve"> </w:t>
      </w:r>
      <w:r w:rsidRPr="00346F96">
        <w:rPr>
          <w:sz w:val="22"/>
          <w:szCs w:val="22"/>
        </w:rPr>
        <w:t>roofs</w:t>
      </w:r>
    </w:p>
    <w:p w14:paraId="31380121"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CPCCCA3008 Construct</w:t>
      </w:r>
      <w:r w:rsidRPr="00346F96">
        <w:rPr>
          <w:spacing w:val="-1"/>
          <w:sz w:val="22"/>
          <w:szCs w:val="22"/>
        </w:rPr>
        <w:t xml:space="preserve"> </w:t>
      </w:r>
      <w:r w:rsidRPr="00346F96">
        <w:rPr>
          <w:sz w:val="22"/>
          <w:szCs w:val="22"/>
        </w:rPr>
        <w:t>eaves</w:t>
      </w:r>
    </w:p>
    <w:p w14:paraId="4C901C2A"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CPCCCA3009 Construct advanced</w:t>
      </w:r>
      <w:r w:rsidRPr="00346F96">
        <w:rPr>
          <w:spacing w:val="-1"/>
          <w:sz w:val="22"/>
          <w:szCs w:val="22"/>
        </w:rPr>
        <w:t xml:space="preserve"> </w:t>
      </w:r>
      <w:r w:rsidRPr="00346F96">
        <w:rPr>
          <w:sz w:val="22"/>
          <w:szCs w:val="22"/>
        </w:rPr>
        <w:t>roofs</w:t>
      </w:r>
    </w:p>
    <w:p w14:paraId="4F95548B"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CPCCCA3010 Install windows and</w:t>
      </w:r>
      <w:r w:rsidRPr="00346F96">
        <w:rPr>
          <w:spacing w:val="-1"/>
          <w:sz w:val="22"/>
          <w:szCs w:val="22"/>
        </w:rPr>
        <w:t xml:space="preserve"> </w:t>
      </w:r>
      <w:r w:rsidRPr="00346F96">
        <w:rPr>
          <w:sz w:val="22"/>
          <w:szCs w:val="22"/>
        </w:rPr>
        <w:t>doors</w:t>
      </w:r>
    </w:p>
    <w:p w14:paraId="2ED937CE"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CPCCCA3011 Refurbish timber sashes to window</w:t>
      </w:r>
      <w:r w:rsidRPr="00346F96">
        <w:rPr>
          <w:spacing w:val="-1"/>
          <w:sz w:val="22"/>
          <w:szCs w:val="22"/>
        </w:rPr>
        <w:t xml:space="preserve"> </w:t>
      </w:r>
      <w:r w:rsidRPr="00346F96">
        <w:rPr>
          <w:sz w:val="22"/>
          <w:szCs w:val="22"/>
        </w:rPr>
        <w:t>frames</w:t>
      </w:r>
    </w:p>
    <w:p w14:paraId="5E3EB579"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CPCCCA3012 Frame and ﬁt wet area</w:t>
      </w:r>
      <w:r w:rsidRPr="00346F96">
        <w:rPr>
          <w:spacing w:val="-1"/>
          <w:sz w:val="22"/>
          <w:szCs w:val="22"/>
        </w:rPr>
        <w:t xml:space="preserve"> </w:t>
      </w:r>
      <w:r w:rsidRPr="00346F96">
        <w:rPr>
          <w:sz w:val="22"/>
          <w:szCs w:val="22"/>
        </w:rPr>
        <w:t>ﬁxtures</w:t>
      </w:r>
    </w:p>
    <w:p w14:paraId="26C4C26B"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CPCCCA3014 Construct and install</w:t>
      </w:r>
      <w:r w:rsidRPr="00346F96">
        <w:rPr>
          <w:spacing w:val="-1"/>
          <w:sz w:val="22"/>
          <w:szCs w:val="22"/>
        </w:rPr>
        <w:t xml:space="preserve"> </w:t>
      </w:r>
      <w:r w:rsidRPr="00346F96">
        <w:rPr>
          <w:sz w:val="22"/>
          <w:szCs w:val="22"/>
        </w:rPr>
        <w:t>bulkheads</w:t>
      </w:r>
    </w:p>
    <w:p w14:paraId="65634614"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CPCCCA3016 Construct, assemble and install timber external</w:t>
      </w:r>
      <w:r w:rsidRPr="00346F96">
        <w:rPr>
          <w:spacing w:val="-2"/>
          <w:sz w:val="22"/>
          <w:szCs w:val="22"/>
        </w:rPr>
        <w:t xml:space="preserve"> </w:t>
      </w:r>
      <w:r w:rsidRPr="00346F96">
        <w:rPr>
          <w:sz w:val="22"/>
          <w:szCs w:val="22"/>
        </w:rPr>
        <w:t>stairs</w:t>
      </w:r>
    </w:p>
    <w:p w14:paraId="2C846AD9"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CPCCCA3017 Install exterior</w:t>
      </w:r>
      <w:r w:rsidRPr="00346F96">
        <w:rPr>
          <w:spacing w:val="-1"/>
          <w:sz w:val="22"/>
          <w:szCs w:val="22"/>
        </w:rPr>
        <w:t xml:space="preserve"> </w:t>
      </w:r>
      <w:r w:rsidRPr="00346F96">
        <w:rPr>
          <w:sz w:val="22"/>
          <w:szCs w:val="22"/>
        </w:rPr>
        <w:t>cladding</w:t>
      </w:r>
    </w:p>
    <w:p w14:paraId="6F03CACA" w14:textId="77777777" w:rsidR="008A2EDE" w:rsidRPr="00346F96" w:rsidRDefault="00A50BD3" w:rsidP="005056E0">
      <w:pPr>
        <w:pStyle w:val="Heading6"/>
        <w:numPr>
          <w:ilvl w:val="1"/>
          <w:numId w:val="3"/>
        </w:numPr>
        <w:tabs>
          <w:tab w:val="left" w:pos="1719"/>
          <w:tab w:val="left" w:pos="1720"/>
        </w:tabs>
        <w:spacing w:line="240" w:lineRule="auto"/>
        <w:rPr>
          <w:rFonts w:ascii="Symbol" w:hAnsi="Symbol"/>
          <w:sz w:val="22"/>
          <w:szCs w:val="22"/>
        </w:rPr>
      </w:pPr>
      <w:r w:rsidRPr="00346F96">
        <w:rPr>
          <w:sz w:val="22"/>
          <w:szCs w:val="22"/>
        </w:rPr>
        <w:t>CPCCCA3018 Construct, erect and dismantle formwork for stairs and</w:t>
      </w:r>
      <w:r w:rsidRPr="00346F96">
        <w:rPr>
          <w:spacing w:val="-3"/>
          <w:sz w:val="22"/>
          <w:szCs w:val="22"/>
        </w:rPr>
        <w:t xml:space="preserve"> </w:t>
      </w:r>
      <w:r w:rsidRPr="00346F96">
        <w:rPr>
          <w:sz w:val="22"/>
          <w:szCs w:val="22"/>
        </w:rPr>
        <w:t>ramps</w:t>
      </w:r>
    </w:p>
    <w:p w14:paraId="7F879DEA" w14:textId="77777777" w:rsidR="008A2EDE" w:rsidRPr="00346F96" w:rsidRDefault="00A50BD3" w:rsidP="005056E0">
      <w:pPr>
        <w:pStyle w:val="Heading6"/>
        <w:numPr>
          <w:ilvl w:val="1"/>
          <w:numId w:val="3"/>
        </w:numPr>
        <w:tabs>
          <w:tab w:val="left" w:pos="1719"/>
          <w:tab w:val="left" w:pos="1720"/>
        </w:tabs>
        <w:spacing w:before="2" w:line="240" w:lineRule="auto"/>
        <w:ind w:right="733"/>
        <w:rPr>
          <w:rFonts w:ascii="Symbol" w:hAnsi="Symbol"/>
          <w:sz w:val="22"/>
          <w:szCs w:val="22"/>
        </w:rPr>
      </w:pPr>
      <w:r w:rsidRPr="00346F96">
        <w:rPr>
          <w:sz w:val="22"/>
          <w:szCs w:val="22"/>
        </w:rPr>
        <w:t xml:space="preserve">CPCCCA3019 Erect and dismantle formwork to suspended slabs, columns, beams </w:t>
      </w:r>
      <w:r w:rsidRPr="00346F96">
        <w:rPr>
          <w:spacing w:val="-4"/>
          <w:sz w:val="22"/>
          <w:szCs w:val="22"/>
        </w:rPr>
        <w:t xml:space="preserve">and </w:t>
      </w:r>
      <w:r w:rsidRPr="00346F96">
        <w:rPr>
          <w:sz w:val="22"/>
          <w:szCs w:val="22"/>
        </w:rPr>
        <w:t>walls</w:t>
      </w:r>
    </w:p>
    <w:p w14:paraId="10C22800"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CPCCCA3020 Erect and dismantle jumpform</w:t>
      </w:r>
      <w:r w:rsidRPr="00346F96">
        <w:rPr>
          <w:spacing w:val="-1"/>
          <w:sz w:val="22"/>
          <w:szCs w:val="22"/>
        </w:rPr>
        <w:t xml:space="preserve"> </w:t>
      </w:r>
      <w:r w:rsidRPr="00346F96">
        <w:rPr>
          <w:sz w:val="22"/>
          <w:szCs w:val="22"/>
        </w:rPr>
        <w:t>formwork</w:t>
      </w:r>
    </w:p>
    <w:p w14:paraId="03854392"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CPCCCA3022 Install curtain</w:t>
      </w:r>
      <w:r w:rsidRPr="00346F96">
        <w:rPr>
          <w:spacing w:val="-1"/>
          <w:sz w:val="22"/>
          <w:szCs w:val="22"/>
        </w:rPr>
        <w:t xml:space="preserve"> </w:t>
      </w:r>
      <w:r w:rsidRPr="00346F96">
        <w:rPr>
          <w:sz w:val="22"/>
          <w:szCs w:val="22"/>
        </w:rPr>
        <w:t>walling</w:t>
      </w:r>
    </w:p>
    <w:p w14:paraId="2A7DFB07"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CPCCCA3028 Erect and dismantle formwork for footings and slabs on</w:t>
      </w:r>
      <w:r w:rsidRPr="00346F96">
        <w:rPr>
          <w:spacing w:val="-4"/>
          <w:sz w:val="22"/>
          <w:szCs w:val="22"/>
        </w:rPr>
        <w:t xml:space="preserve"> </w:t>
      </w:r>
      <w:r w:rsidRPr="00346F96">
        <w:rPr>
          <w:sz w:val="22"/>
          <w:szCs w:val="22"/>
        </w:rPr>
        <w:t>ground</w:t>
      </w:r>
    </w:p>
    <w:p w14:paraId="3E13FDDB"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CPCCCO2013 Carry out concreting to simple</w:t>
      </w:r>
      <w:r w:rsidRPr="00346F96">
        <w:rPr>
          <w:spacing w:val="-1"/>
          <w:sz w:val="22"/>
          <w:szCs w:val="22"/>
        </w:rPr>
        <w:t xml:space="preserve"> </w:t>
      </w:r>
      <w:r w:rsidRPr="00346F96">
        <w:rPr>
          <w:sz w:val="22"/>
          <w:szCs w:val="22"/>
        </w:rPr>
        <w:t>forms</w:t>
      </w:r>
    </w:p>
    <w:p w14:paraId="1FFE8AE2"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CPCCJN2001 Assemble</w:t>
      </w:r>
      <w:r w:rsidRPr="00346F96">
        <w:rPr>
          <w:spacing w:val="-1"/>
          <w:sz w:val="22"/>
          <w:szCs w:val="22"/>
        </w:rPr>
        <w:t xml:space="preserve"> </w:t>
      </w:r>
      <w:r w:rsidRPr="00346F96">
        <w:rPr>
          <w:sz w:val="22"/>
          <w:szCs w:val="22"/>
        </w:rPr>
        <w:t>components</w:t>
      </w:r>
    </w:p>
    <w:p w14:paraId="0322CF28"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CPCCJN2003 Package manufactured products for</w:t>
      </w:r>
      <w:r w:rsidRPr="00346F96">
        <w:rPr>
          <w:spacing w:val="-1"/>
          <w:sz w:val="22"/>
          <w:szCs w:val="22"/>
        </w:rPr>
        <w:t xml:space="preserve"> </w:t>
      </w:r>
      <w:r w:rsidRPr="00346F96">
        <w:rPr>
          <w:sz w:val="22"/>
          <w:szCs w:val="22"/>
        </w:rPr>
        <w:t>transport</w:t>
      </w:r>
    </w:p>
    <w:p w14:paraId="6971D6D8"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CPCCJN3001 Process material to produce components using static</w:t>
      </w:r>
      <w:r w:rsidRPr="00346F96">
        <w:rPr>
          <w:spacing w:val="-3"/>
          <w:sz w:val="22"/>
          <w:szCs w:val="22"/>
        </w:rPr>
        <w:t xml:space="preserve"> </w:t>
      </w:r>
      <w:r w:rsidRPr="00346F96">
        <w:rPr>
          <w:sz w:val="22"/>
          <w:szCs w:val="22"/>
        </w:rPr>
        <w:t>machines</w:t>
      </w:r>
    </w:p>
    <w:p w14:paraId="4F4C07D8"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CPCCJN3002 Use computer-controlled</w:t>
      </w:r>
      <w:r w:rsidRPr="00346F96">
        <w:rPr>
          <w:spacing w:val="-1"/>
          <w:sz w:val="22"/>
          <w:szCs w:val="22"/>
        </w:rPr>
        <w:t xml:space="preserve"> </w:t>
      </w:r>
      <w:r w:rsidRPr="00346F96">
        <w:rPr>
          <w:sz w:val="22"/>
          <w:szCs w:val="22"/>
        </w:rPr>
        <w:t>machinery</w:t>
      </w:r>
    </w:p>
    <w:p w14:paraId="32D5BF1D"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CPCCJN3003 Manufacture components for doors, windows and</w:t>
      </w:r>
      <w:r w:rsidRPr="00346F96">
        <w:rPr>
          <w:spacing w:val="-2"/>
          <w:sz w:val="22"/>
          <w:szCs w:val="22"/>
        </w:rPr>
        <w:t xml:space="preserve"> </w:t>
      </w:r>
      <w:r w:rsidRPr="00346F96">
        <w:rPr>
          <w:sz w:val="22"/>
          <w:szCs w:val="22"/>
        </w:rPr>
        <w:t>frames</w:t>
      </w:r>
    </w:p>
    <w:p w14:paraId="4D11869D" w14:textId="77777777" w:rsidR="008A2EDE" w:rsidRPr="00346F96" w:rsidRDefault="00A50BD3" w:rsidP="005056E0">
      <w:pPr>
        <w:pStyle w:val="Heading6"/>
        <w:numPr>
          <w:ilvl w:val="1"/>
          <w:numId w:val="3"/>
        </w:numPr>
        <w:tabs>
          <w:tab w:val="left" w:pos="1719"/>
          <w:tab w:val="left" w:pos="1720"/>
        </w:tabs>
        <w:spacing w:line="240" w:lineRule="auto"/>
        <w:rPr>
          <w:rFonts w:ascii="Symbol" w:hAnsi="Symbol"/>
          <w:sz w:val="22"/>
          <w:szCs w:val="22"/>
        </w:rPr>
      </w:pPr>
      <w:r w:rsidRPr="00346F96">
        <w:rPr>
          <w:sz w:val="22"/>
          <w:szCs w:val="22"/>
        </w:rPr>
        <w:t>CPCCJN3004 Manufacture and assemble joinery</w:t>
      </w:r>
      <w:r w:rsidRPr="00346F96">
        <w:rPr>
          <w:spacing w:val="-1"/>
          <w:sz w:val="22"/>
          <w:szCs w:val="22"/>
        </w:rPr>
        <w:t xml:space="preserve"> </w:t>
      </w:r>
      <w:r w:rsidRPr="00346F96">
        <w:rPr>
          <w:sz w:val="22"/>
          <w:szCs w:val="22"/>
        </w:rPr>
        <w:t>components</w:t>
      </w:r>
    </w:p>
    <w:p w14:paraId="34660F06"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CPCCJN3005 Cut and install</w:t>
      </w:r>
      <w:r w:rsidRPr="00346F96">
        <w:rPr>
          <w:spacing w:val="-1"/>
          <w:sz w:val="22"/>
          <w:szCs w:val="22"/>
        </w:rPr>
        <w:t xml:space="preserve"> </w:t>
      </w:r>
      <w:r w:rsidRPr="00346F96">
        <w:rPr>
          <w:sz w:val="22"/>
          <w:szCs w:val="22"/>
        </w:rPr>
        <w:t>glass</w:t>
      </w:r>
    </w:p>
    <w:p w14:paraId="4A5B38CA"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CPCCJS3002 Manufacture stair components for straight ﬂighted</w:t>
      </w:r>
      <w:r w:rsidRPr="00346F96">
        <w:rPr>
          <w:spacing w:val="-3"/>
          <w:sz w:val="22"/>
          <w:szCs w:val="22"/>
        </w:rPr>
        <w:t xml:space="preserve"> </w:t>
      </w:r>
      <w:r w:rsidRPr="00346F96">
        <w:rPr>
          <w:sz w:val="22"/>
          <w:szCs w:val="22"/>
        </w:rPr>
        <w:t>stairs</w:t>
      </w:r>
    </w:p>
    <w:p w14:paraId="289E6E88"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CPCCJS3003 Assemble and install</w:t>
      </w:r>
      <w:r w:rsidRPr="00346F96">
        <w:rPr>
          <w:spacing w:val="-1"/>
          <w:sz w:val="22"/>
          <w:szCs w:val="22"/>
        </w:rPr>
        <w:t xml:space="preserve"> </w:t>
      </w:r>
      <w:r w:rsidRPr="00346F96">
        <w:rPr>
          <w:sz w:val="22"/>
          <w:szCs w:val="22"/>
        </w:rPr>
        <w:t>stairs</w:t>
      </w:r>
    </w:p>
    <w:p w14:paraId="61032661" w14:textId="77777777" w:rsidR="008A2EDE" w:rsidRPr="00346F96" w:rsidRDefault="00A50BD3" w:rsidP="005056E0">
      <w:pPr>
        <w:pStyle w:val="Heading6"/>
        <w:numPr>
          <w:ilvl w:val="1"/>
          <w:numId w:val="3"/>
        </w:numPr>
        <w:tabs>
          <w:tab w:val="left" w:pos="1719"/>
          <w:tab w:val="left" w:pos="1720"/>
        </w:tabs>
        <w:spacing w:line="240" w:lineRule="auto"/>
        <w:ind w:right="1556"/>
        <w:rPr>
          <w:rFonts w:ascii="Symbol" w:hAnsi="Symbol"/>
          <w:sz w:val="22"/>
          <w:szCs w:val="22"/>
        </w:rPr>
      </w:pPr>
      <w:r w:rsidRPr="00346F96">
        <w:rPr>
          <w:sz w:val="22"/>
          <w:szCs w:val="22"/>
        </w:rPr>
        <w:t xml:space="preserve">CPCCJS3004 Manufacture and install continuous handrailing and special </w:t>
      </w:r>
      <w:r w:rsidRPr="00346F96">
        <w:rPr>
          <w:spacing w:val="-3"/>
          <w:sz w:val="22"/>
          <w:szCs w:val="22"/>
        </w:rPr>
        <w:t xml:space="preserve">stair </w:t>
      </w:r>
      <w:r w:rsidRPr="00346F96">
        <w:rPr>
          <w:sz w:val="22"/>
          <w:szCs w:val="22"/>
        </w:rPr>
        <w:t>components</w:t>
      </w:r>
    </w:p>
    <w:p w14:paraId="50E4424F" w14:textId="77777777" w:rsidR="008A2EDE" w:rsidRPr="00346F96" w:rsidRDefault="00A50BD3" w:rsidP="005056E0">
      <w:pPr>
        <w:pStyle w:val="Heading6"/>
        <w:numPr>
          <w:ilvl w:val="1"/>
          <w:numId w:val="3"/>
        </w:numPr>
        <w:tabs>
          <w:tab w:val="left" w:pos="1719"/>
          <w:tab w:val="left" w:pos="1720"/>
        </w:tabs>
        <w:spacing w:before="0" w:line="302" w:lineRule="exact"/>
        <w:rPr>
          <w:rFonts w:ascii="Symbol" w:hAnsi="Symbol"/>
          <w:sz w:val="22"/>
          <w:szCs w:val="22"/>
        </w:rPr>
      </w:pPr>
      <w:r w:rsidRPr="00346F96">
        <w:rPr>
          <w:sz w:val="22"/>
          <w:szCs w:val="22"/>
        </w:rPr>
        <w:t>CPCCJS3005 Manufacture stair components for curved and geometric</w:t>
      </w:r>
      <w:r w:rsidRPr="00346F96">
        <w:rPr>
          <w:spacing w:val="-2"/>
          <w:sz w:val="22"/>
          <w:szCs w:val="22"/>
        </w:rPr>
        <w:t xml:space="preserve"> </w:t>
      </w:r>
      <w:r w:rsidRPr="00346F96">
        <w:rPr>
          <w:sz w:val="22"/>
          <w:szCs w:val="22"/>
        </w:rPr>
        <w:t>stairs</w:t>
      </w:r>
    </w:p>
    <w:p w14:paraId="5FD0C031"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CPCCJS3006 Construct, assemble and install composite external</w:t>
      </w:r>
      <w:r w:rsidRPr="00346F96">
        <w:rPr>
          <w:spacing w:val="-3"/>
          <w:sz w:val="22"/>
          <w:szCs w:val="22"/>
        </w:rPr>
        <w:t xml:space="preserve"> </w:t>
      </w:r>
      <w:r w:rsidRPr="00346F96">
        <w:rPr>
          <w:sz w:val="22"/>
          <w:szCs w:val="22"/>
        </w:rPr>
        <w:t>stairs</w:t>
      </w:r>
    </w:p>
    <w:p w14:paraId="6669FC6D"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CPCCJS3011 Design and set out</w:t>
      </w:r>
      <w:r w:rsidRPr="00346F96">
        <w:rPr>
          <w:spacing w:val="-1"/>
          <w:sz w:val="22"/>
          <w:szCs w:val="22"/>
        </w:rPr>
        <w:t xml:space="preserve"> </w:t>
      </w:r>
      <w:r w:rsidRPr="00346F96">
        <w:rPr>
          <w:sz w:val="22"/>
          <w:szCs w:val="22"/>
        </w:rPr>
        <w:t>stairs</w:t>
      </w:r>
    </w:p>
    <w:p w14:paraId="0B05DFA1" w14:textId="77777777" w:rsidR="008A2EDE" w:rsidRPr="00346F96" w:rsidRDefault="00A50BD3" w:rsidP="005056E0">
      <w:pPr>
        <w:pStyle w:val="Heading6"/>
        <w:numPr>
          <w:ilvl w:val="1"/>
          <w:numId w:val="3"/>
        </w:numPr>
        <w:tabs>
          <w:tab w:val="left" w:pos="1719"/>
          <w:tab w:val="left" w:pos="1720"/>
        </w:tabs>
        <w:spacing w:before="0"/>
        <w:rPr>
          <w:rFonts w:ascii="Symbol" w:hAnsi="Symbol"/>
          <w:sz w:val="22"/>
          <w:szCs w:val="22"/>
        </w:rPr>
      </w:pPr>
      <w:r w:rsidRPr="00346F96">
        <w:rPr>
          <w:sz w:val="22"/>
          <w:szCs w:val="22"/>
        </w:rPr>
        <w:t>CPCCOM1012 Work eﬀectively and sustainably in the construction</w:t>
      </w:r>
      <w:r w:rsidRPr="00346F96">
        <w:rPr>
          <w:spacing w:val="-2"/>
          <w:sz w:val="22"/>
          <w:szCs w:val="22"/>
        </w:rPr>
        <w:t xml:space="preserve"> </w:t>
      </w:r>
      <w:r w:rsidRPr="00346F96">
        <w:rPr>
          <w:sz w:val="22"/>
          <w:szCs w:val="22"/>
        </w:rPr>
        <w:t>industry</w:t>
      </w:r>
    </w:p>
    <w:p w14:paraId="50203100" w14:textId="77777777" w:rsidR="008A2EDE" w:rsidRPr="00346F96" w:rsidRDefault="00A50BD3" w:rsidP="005056E0">
      <w:pPr>
        <w:pStyle w:val="Heading6"/>
        <w:numPr>
          <w:ilvl w:val="1"/>
          <w:numId w:val="3"/>
        </w:numPr>
        <w:tabs>
          <w:tab w:val="left" w:pos="1719"/>
          <w:tab w:val="left" w:pos="1720"/>
        </w:tabs>
        <w:spacing w:before="79" w:line="240" w:lineRule="auto"/>
        <w:rPr>
          <w:rFonts w:ascii="Symbol" w:hAnsi="Symbol"/>
          <w:sz w:val="22"/>
          <w:szCs w:val="22"/>
        </w:rPr>
      </w:pPr>
      <w:r w:rsidRPr="00346F96">
        <w:rPr>
          <w:sz w:val="22"/>
          <w:szCs w:val="22"/>
        </w:rPr>
        <w:t>CPCCOM1013 Plan and organise</w:t>
      </w:r>
      <w:r w:rsidRPr="00346F96">
        <w:rPr>
          <w:spacing w:val="-1"/>
          <w:sz w:val="22"/>
          <w:szCs w:val="22"/>
        </w:rPr>
        <w:t xml:space="preserve"> </w:t>
      </w:r>
      <w:r w:rsidRPr="00346F96">
        <w:rPr>
          <w:sz w:val="22"/>
          <w:szCs w:val="22"/>
        </w:rPr>
        <w:t>work</w:t>
      </w:r>
    </w:p>
    <w:p w14:paraId="7E04B6B8" w14:textId="77777777" w:rsidR="008A2EDE" w:rsidRPr="00346F96" w:rsidRDefault="00A50BD3" w:rsidP="005056E0">
      <w:pPr>
        <w:pStyle w:val="Heading6"/>
        <w:numPr>
          <w:ilvl w:val="1"/>
          <w:numId w:val="3"/>
        </w:numPr>
        <w:tabs>
          <w:tab w:val="left" w:pos="1719"/>
          <w:tab w:val="left" w:pos="1720"/>
        </w:tabs>
        <w:spacing w:before="2" w:line="240" w:lineRule="auto"/>
        <w:rPr>
          <w:rFonts w:ascii="Symbol" w:hAnsi="Symbol"/>
          <w:sz w:val="22"/>
          <w:szCs w:val="22"/>
        </w:rPr>
      </w:pPr>
      <w:r w:rsidRPr="00346F96">
        <w:rPr>
          <w:sz w:val="22"/>
          <w:szCs w:val="22"/>
        </w:rPr>
        <w:t>CPCCOM1014 Conduct workplace</w:t>
      </w:r>
      <w:r w:rsidRPr="00346F96">
        <w:rPr>
          <w:spacing w:val="-1"/>
          <w:sz w:val="22"/>
          <w:szCs w:val="22"/>
        </w:rPr>
        <w:t xml:space="preserve"> </w:t>
      </w:r>
      <w:r w:rsidRPr="00346F96">
        <w:rPr>
          <w:sz w:val="22"/>
          <w:szCs w:val="22"/>
        </w:rPr>
        <w:t>communication</w:t>
      </w:r>
    </w:p>
    <w:p w14:paraId="15E2BC5D" w14:textId="77777777" w:rsidR="008A2EDE" w:rsidRPr="00346F96" w:rsidRDefault="00A50BD3" w:rsidP="005056E0">
      <w:pPr>
        <w:pStyle w:val="Heading6"/>
        <w:numPr>
          <w:ilvl w:val="1"/>
          <w:numId w:val="3"/>
        </w:numPr>
        <w:tabs>
          <w:tab w:val="left" w:pos="1719"/>
          <w:tab w:val="left" w:pos="1720"/>
        </w:tabs>
        <w:rPr>
          <w:rFonts w:ascii="Symbol" w:hAnsi="Symbol"/>
          <w:sz w:val="22"/>
          <w:szCs w:val="22"/>
        </w:rPr>
      </w:pPr>
      <w:r w:rsidRPr="00346F96">
        <w:rPr>
          <w:sz w:val="22"/>
          <w:szCs w:val="22"/>
        </w:rPr>
        <w:t>CPCCOM1015 Carry out measurements and</w:t>
      </w:r>
      <w:r w:rsidRPr="00346F96">
        <w:rPr>
          <w:spacing w:val="-1"/>
          <w:sz w:val="22"/>
          <w:szCs w:val="22"/>
        </w:rPr>
        <w:t xml:space="preserve"> </w:t>
      </w:r>
      <w:r w:rsidRPr="00346F96">
        <w:rPr>
          <w:sz w:val="22"/>
          <w:szCs w:val="22"/>
        </w:rPr>
        <w:t>calculations</w:t>
      </w:r>
    </w:p>
    <w:p w14:paraId="3660F7A7" w14:textId="77777777" w:rsidR="008A2EDE" w:rsidRPr="00346F96" w:rsidRDefault="00A50BD3" w:rsidP="005056E0">
      <w:pPr>
        <w:pStyle w:val="Heading6"/>
        <w:numPr>
          <w:ilvl w:val="1"/>
          <w:numId w:val="3"/>
        </w:numPr>
        <w:tabs>
          <w:tab w:val="left" w:pos="1719"/>
          <w:tab w:val="left" w:pos="1720"/>
        </w:tabs>
        <w:spacing w:before="0" w:line="240" w:lineRule="auto"/>
        <w:ind w:right="1130"/>
        <w:rPr>
          <w:rFonts w:ascii="Symbol" w:hAnsi="Symbol"/>
          <w:sz w:val="22"/>
          <w:szCs w:val="22"/>
        </w:rPr>
      </w:pPr>
      <w:r w:rsidRPr="00346F96">
        <w:rPr>
          <w:sz w:val="22"/>
          <w:szCs w:val="22"/>
        </w:rPr>
        <w:t>CPCCOM3001 Perform construction calculations to determine carpentry material requirements</w:t>
      </w:r>
    </w:p>
    <w:p w14:paraId="4109A087" w14:textId="77777777" w:rsidR="008A2EDE" w:rsidRPr="00346F96" w:rsidRDefault="00A50BD3" w:rsidP="005056E0">
      <w:pPr>
        <w:pStyle w:val="Heading6"/>
        <w:numPr>
          <w:ilvl w:val="1"/>
          <w:numId w:val="3"/>
        </w:numPr>
        <w:tabs>
          <w:tab w:val="left" w:pos="1719"/>
          <w:tab w:val="left" w:pos="1720"/>
        </w:tabs>
        <w:spacing w:before="0" w:line="240" w:lineRule="auto"/>
        <w:rPr>
          <w:rFonts w:ascii="Symbol" w:hAnsi="Symbol"/>
          <w:sz w:val="22"/>
          <w:szCs w:val="22"/>
        </w:rPr>
      </w:pPr>
      <w:r w:rsidRPr="00346F96">
        <w:rPr>
          <w:sz w:val="22"/>
          <w:szCs w:val="22"/>
        </w:rPr>
        <w:t>CPCCOM3006 Carry out levelling</w:t>
      </w:r>
      <w:r w:rsidRPr="00346F96">
        <w:rPr>
          <w:spacing w:val="-1"/>
          <w:sz w:val="22"/>
          <w:szCs w:val="22"/>
        </w:rPr>
        <w:t xml:space="preserve"> </w:t>
      </w:r>
      <w:r w:rsidRPr="00346F96">
        <w:rPr>
          <w:sz w:val="22"/>
          <w:szCs w:val="22"/>
        </w:rPr>
        <w:t>operations</w:t>
      </w:r>
    </w:p>
    <w:p w14:paraId="2960333C" w14:textId="77777777" w:rsidR="008A2EDE" w:rsidRPr="00346F96" w:rsidRDefault="00A50BD3" w:rsidP="005056E0">
      <w:pPr>
        <w:pStyle w:val="Heading6"/>
        <w:numPr>
          <w:ilvl w:val="1"/>
          <w:numId w:val="3"/>
        </w:numPr>
        <w:tabs>
          <w:tab w:val="left" w:pos="1719"/>
          <w:tab w:val="left" w:pos="1720"/>
        </w:tabs>
        <w:spacing w:line="240" w:lineRule="auto"/>
        <w:rPr>
          <w:rFonts w:ascii="Symbol" w:hAnsi="Symbol"/>
          <w:sz w:val="22"/>
          <w:szCs w:val="22"/>
        </w:rPr>
      </w:pPr>
      <w:r w:rsidRPr="00346F96">
        <w:rPr>
          <w:sz w:val="22"/>
          <w:szCs w:val="22"/>
        </w:rPr>
        <w:t>CPCWHS3001 Identify construction work hazards and select risk control</w:t>
      </w:r>
      <w:r w:rsidRPr="00346F96">
        <w:rPr>
          <w:spacing w:val="-5"/>
          <w:sz w:val="22"/>
          <w:szCs w:val="22"/>
        </w:rPr>
        <w:t xml:space="preserve"> </w:t>
      </w:r>
      <w:r w:rsidRPr="00346F96">
        <w:rPr>
          <w:sz w:val="22"/>
          <w:szCs w:val="22"/>
        </w:rPr>
        <w:t>strategies</w:t>
      </w:r>
    </w:p>
    <w:p w14:paraId="79D2EA4B" w14:textId="5779D078" w:rsidR="008A2EDE" w:rsidRDefault="008A2EDE" w:rsidP="00D87885">
      <w:pPr>
        <w:pStyle w:val="BodyText"/>
        <w:spacing w:before="9" w:after="1"/>
      </w:pPr>
    </w:p>
    <w:sectPr w:rsidR="008A2EDE">
      <w:pgSz w:w="11900" w:h="16840"/>
      <w:pgMar w:top="1360" w:right="700" w:bottom="920" w:left="44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01C6" w14:textId="77777777" w:rsidR="00E06CAA" w:rsidRDefault="00E06CAA">
      <w:r>
        <w:separator/>
      </w:r>
    </w:p>
  </w:endnote>
  <w:endnote w:type="continuationSeparator" w:id="0">
    <w:p w14:paraId="07648E44" w14:textId="77777777" w:rsidR="00E06CAA" w:rsidRDefault="00E0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2EFF" w:usb1="D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C8CF" w14:textId="28A171EA" w:rsidR="00A72E02" w:rsidRDefault="00A72E02">
    <w:pPr>
      <w:pStyle w:val="BodyText"/>
      <w:spacing w:line="14" w:lineRule="auto"/>
      <w:rPr>
        <w:sz w:val="20"/>
      </w:rPr>
    </w:pPr>
    <w:r>
      <w:rPr>
        <w:noProof/>
      </w:rPr>
      <mc:AlternateContent>
        <mc:Choice Requires="wps">
          <w:drawing>
            <wp:anchor distT="0" distB="0" distL="114300" distR="114300" simplePos="0" relativeHeight="503204528" behindDoc="1" locked="0" layoutInCell="1" allowOverlap="1" wp14:anchorId="209D2B89" wp14:editId="5918D49D">
              <wp:simplePos x="0" y="0"/>
              <wp:positionH relativeFrom="page">
                <wp:posOffset>1066165</wp:posOffset>
              </wp:positionH>
              <wp:positionV relativeFrom="page">
                <wp:posOffset>10118090</wp:posOffset>
              </wp:positionV>
              <wp:extent cx="1569720" cy="167005"/>
              <wp:effectExtent l="0" t="2540" r="254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CACA5" w14:textId="23BCDB54" w:rsidR="00A72E02" w:rsidRDefault="00A72E02">
                          <w:pPr>
                            <w:spacing w:before="22"/>
                            <w:ind w:left="20"/>
                            <w:rPr>
                              <w:sz w:val="18"/>
                            </w:rPr>
                          </w:pPr>
                          <w:r>
                            <w:rPr>
                              <w:sz w:val="18"/>
                            </w:rPr>
                            <w:t>CPC Training Package Release 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D2B89" id="_x0000_t202" coordsize="21600,21600" o:spt="202" path="m,l,21600r21600,l21600,xe">
              <v:stroke joinstyle="miter"/>
              <v:path gradientshapeok="t" o:connecttype="rect"/>
            </v:shapetype>
            <v:shape id="Text Box 7" o:spid="_x0000_s1026" type="#_x0000_t202" style="position:absolute;margin-left:83.95pt;margin-top:796.7pt;width:123.6pt;height:13.15pt;z-index:-11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Hwqw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" filled="f" stroked="f">
              <v:textbox inset="0,0,0,0">
                <w:txbxContent>
                  <w:p w14:paraId="15ACACA5" w14:textId="23BCDB54" w:rsidR="00A72E02" w:rsidRDefault="00A72E02">
                    <w:pPr>
                      <w:spacing w:before="22"/>
                      <w:ind w:left="20"/>
                      <w:rPr>
                        <w:sz w:val="18"/>
                      </w:rPr>
                    </w:pPr>
                    <w:r>
                      <w:rPr>
                        <w:sz w:val="18"/>
                      </w:rPr>
                      <w:t>CPC Training Package Release 6.0</w:t>
                    </w:r>
                  </w:p>
                </w:txbxContent>
              </v:textbox>
              <w10:wrap anchorx="page" anchory="page"/>
            </v:shape>
          </w:pict>
        </mc:Fallback>
      </mc:AlternateContent>
    </w:r>
    <w:r>
      <w:rPr>
        <w:noProof/>
      </w:rPr>
      <mc:AlternateContent>
        <mc:Choice Requires="wps">
          <w:drawing>
            <wp:anchor distT="0" distB="0" distL="114300" distR="114300" simplePos="0" relativeHeight="503204552" behindDoc="1" locked="0" layoutInCell="1" allowOverlap="1" wp14:anchorId="489BFA3D" wp14:editId="49ED4EAF">
              <wp:simplePos x="0" y="0"/>
              <wp:positionH relativeFrom="page">
                <wp:posOffset>5819140</wp:posOffset>
              </wp:positionH>
              <wp:positionV relativeFrom="page">
                <wp:posOffset>10118090</wp:posOffset>
              </wp:positionV>
              <wp:extent cx="596900" cy="167005"/>
              <wp:effectExtent l="0" t="2540" r="381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5C0D6" w14:textId="77777777" w:rsidR="00A72E02" w:rsidRDefault="00A72E02">
                          <w:pPr>
                            <w:spacing w:before="22"/>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FA3D" id="Text Box 6" o:spid="_x0000_s1027" type="#_x0000_t202" style="position:absolute;margin-left:458.2pt;margin-top:796.7pt;width:47pt;height:13.15pt;z-index:-11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" filled="f" stroked="f">
              <v:textbox inset="0,0,0,0">
                <w:txbxContent>
                  <w:p w14:paraId="5955C0D6" w14:textId="77777777" w:rsidR="00A72E02" w:rsidRDefault="00A72E02">
                    <w:pPr>
                      <w:spacing w:before="22"/>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72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D69E" w14:textId="7702DFC8" w:rsidR="00A72E02" w:rsidRDefault="00A72E02">
    <w:pPr>
      <w:pStyle w:val="BodyText"/>
      <w:spacing w:line="14" w:lineRule="auto"/>
      <w:rPr>
        <w:sz w:val="20"/>
      </w:rPr>
    </w:pPr>
    <w:r>
      <w:rPr>
        <w:noProof/>
      </w:rPr>
      <mc:AlternateContent>
        <mc:Choice Requires="wps">
          <w:drawing>
            <wp:anchor distT="0" distB="0" distL="114300" distR="114300" simplePos="0" relativeHeight="503204576" behindDoc="1" locked="0" layoutInCell="1" allowOverlap="1" wp14:anchorId="22DBDD57" wp14:editId="46BA6008">
              <wp:simplePos x="0" y="0"/>
              <wp:positionH relativeFrom="page">
                <wp:posOffset>5833745</wp:posOffset>
              </wp:positionH>
              <wp:positionV relativeFrom="page">
                <wp:posOffset>10148570</wp:posOffset>
              </wp:positionV>
              <wp:extent cx="654685" cy="167005"/>
              <wp:effectExtent l="4445" t="4445"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640A9" w14:textId="77777777" w:rsidR="00A72E02" w:rsidRDefault="00A72E02">
                          <w:pPr>
                            <w:spacing w:before="22"/>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DD57" id="_x0000_t202" coordsize="21600,21600" o:spt="202" path="m,l,21600r21600,l21600,xe">
              <v:stroke joinstyle="miter"/>
              <v:path gradientshapeok="t" o:connecttype="rect"/>
            </v:shapetype>
            <v:shape id="Text Box 5" o:spid="_x0000_s1028" type="#_x0000_t202" style="position:absolute;margin-left:459.35pt;margin-top:799.1pt;width:51.55pt;height:13.15pt;z-index:-1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ensgIAAK8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" filled="f" stroked="f">
              <v:textbox inset="0,0,0,0">
                <w:txbxContent>
                  <w:p w14:paraId="58C640A9" w14:textId="77777777" w:rsidR="00A72E02" w:rsidRDefault="00A72E02">
                    <w:pPr>
                      <w:spacing w:before="22"/>
                      <w:ind w:left="20"/>
                      <w:rPr>
                        <w:sz w:val="18"/>
                      </w:rPr>
                    </w:pPr>
                    <w:r>
                      <w:rPr>
                        <w:sz w:val="18"/>
                      </w:rPr>
                      <w:t xml:space="preserve">Page </w:t>
                    </w:r>
                    <w:r>
                      <w:fldChar w:fldCharType="begin"/>
                    </w:r>
                    <w:r>
                      <w:rPr>
                        <w:sz w:val="18"/>
                      </w:rPr>
                      <w:instrText xml:space="preserve"> PAGE </w:instrText>
                    </w:r>
                    <w:r>
                      <w:fldChar w:fldCharType="separate"/>
                    </w:r>
                    <w:r>
                      <w:t>10</w:t>
                    </w:r>
                    <w:r>
                      <w:fldChar w:fldCharType="end"/>
                    </w:r>
                    <w:r>
                      <w:rPr>
                        <w:sz w:val="18"/>
                      </w:rPr>
                      <w:t xml:space="preserve"> of 72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477B8" w14:textId="440A4A2C" w:rsidR="00A72E02" w:rsidRDefault="00A72E02">
    <w:pPr>
      <w:pStyle w:val="BodyText"/>
      <w:spacing w:line="14" w:lineRule="auto"/>
      <w:rPr>
        <w:sz w:val="20"/>
      </w:rPr>
    </w:pPr>
    <w:r>
      <w:rPr>
        <w:noProof/>
      </w:rPr>
      <mc:AlternateContent>
        <mc:Choice Requires="wps">
          <w:drawing>
            <wp:anchor distT="0" distB="0" distL="114300" distR="114300" simplePos="0" relativeHeight="503204600" behindDoc="1" locked="0" layoutInCell="1" allowOverlap="1" wp14:anchorId="67C70AA6" wp14:editId="3EAE694B">
              <wp:simplePos x="0" y="0"/>
              <wp:positionH relativeFrom="page">
                <wp:posOffset>9137650</wp:posOffset>
              </wp:positionH>
              <wp:positionV relativeFrom="page">
                <wp:posOffset>7012305</wp:posOffset>
              </wp:positionV>
              <wp:extent cx="654685" cy="167005"/>
              <wp:effectExtent l="3175" t="1905"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03FF" w14:textId="77777777" w:rsidR="00A72E02" w:rsidRDefault="00A72E02">
                          <w:pPr>
                            <w:spacing w:before="22"/>
                            <w:ind w:left="20"/>
                            <w:rPr>
                              <w:sz w:val="18"/>
                            </w:rPr>
                          </w:pPr>
                          <w:r>
                            <w:rPr>
                              <w:sz w:val="18"/>
                            </w:rPr>
                            <w:t xml:space="preserve">Page </w:t>
                          </w:r>
                          <w:r>
                            <w:fldChar w:fldCharType="begin"/>
                          </w:r>
                          <w:r>
                            <w:rPr>
                              <w:sz w:val="18"/>
                            </w:rPr>
                            <w:instrText xml:space="preserve"> PAGE </w:instrText>
                          </w:r>
                          <w:r>
                            <w:fldChar w:fldCharType="separate"/>
                          </w:r>
                          <w:r>
                            <w:t>18</w:t>
                          </w:r>
                          <w:r>
                            <w:fldChar w:fldCharType="end"/>
                          </w:r>
                          <w:r>
                            <w:rPr>
                              <w:sz w:val="18"/>
                            </w:rPr>
                            <w:t xml:space="preserve"> of 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70AA6" id="_x0000_t202" coordsize="21600,21600" o:spt="202" path="m,l,21600r21600,l21600,xe">
              <v:stroke joinstyle="miter"/>
              <v:path gradientshapeok="t" o:connecttype="rect"/>
            </v:shapetype>
            <v:shape id="Text Box 4" o:spid="_x0000_s1029" type="#_x0000_t202" style="position:absolute;margin-left:719.5pt;margin-top:552.15pt;width:51.55pt;height:13.15pt;z-index:-11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mcrw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" filled="f" stroked="f">
              <v:textbox inset="0,0,0,0">
                <w:txbxContent>
                  <w:p w14:paraId="76B503FF" w14:textId="77777777" w:rsidR="00A72E02" w:rsidRDefault="00A72E02">
                    <w:pPr>
                      <w:spacing w:before="22"/>
                      <w:ind w:left="20"/>
                      <w:rPr>
                        <w:sz w:val="18"/>
                      </w:rPr>
                    </w:pPr>
                    <w:r>
                      <w:rPr>
                        <w:sz w:val="18"/>
                      </w:rPr>
                      <w:t xml:space="preserve">Page </w:t>
                    </w:r>
                    <w:r>
                      <w:fldChar w:fldCharType="begin"/>
                    </w:r>
                    <w:r>
                      <w:rPr>
                        <w:sz w:val="18"/>
                      </w:rPr>
                      <w:instrText xml:space="preserve"> PAGE </w:instrText>
                    </w:r>
                    <w:r>
                      <w:fldChar w:fldCharType="separate"/>
                    </w:r>
                    <w:r>
                      <w:t>18</w:t>
                    </w:r>
                    <w:r>
                      <w:fldChar w:fldCharType="end"/>
                    </w:r>
                    <w:r>
                      <w:rPr>
                        <w:sz w:val="18"/>
                      </w:rPr>
                      <w:t xml:space="preserve"> of 72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D126" w14:textId="642D9815" w:rsidR="00A72E02" w:rsidRDefault="00A72E02">
    <w:pPr>
      <w:pStyle w:val="BodyText"/>
      <w:spacing w:line="14" w:lineRule="auto"/>
      <w:rPr>
        <w:sz w:val="20"/>
      </w:rPr>
    </w:pPr>
    <w:r>
      <w:rPr>
        <w:noProof/>
      </w:rPr>
      <mc:AlternateContent>
        <mc:Choice Requires="wps">
          <w:drawing>
            <wp:anchor distT="0" distB="0" distL="114300" distR="114300" simplePos="0" relativeHeight="503204624" behindDoc="1" locked="0" layoutInCell="1" allowOverlap="1" wp14:anchorId="59F07D69" wp14:editId="5D8576DB">
              <wp:simplePos x="0" y="0"/>
              <wp:positionH relativeFrom="page">
                <wp:posOffset>5833745</wp:posOffset>
              </wp:positionH>
              <wp:positionV relativeFrom="page">
                <wp:posOffset>10148570</wp:posOffset>
              </wp:positionV>
              <wp:extent cx="654685" cy="167005"/>
              <wp:effectExtent l="4445" t="444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9707" w14:textId="77777777" w:rsidR="00A72E02" w:rsidRDefault="00A72E02">
                          <w:pPr>
                            <w:spacing w:before="22"/>
                            <w:ind w:left="20"/>
                            <w:rPr>
                              <w:sz w:val="18"/>
                            </w:rPr>
                          </w:pPr>
                          <w:r>
                            <w:rPr>
                              <w:sz w:val="18"/>
                            </w:rPr>
                            <w:t xml:space="preserve">Page </w:t>
                          </w:r>
                          <w:r>
                            <w:fldChar w:fldCharType="begin"/>
                          </w:r>
                          <w:r>
                            <w:rPr>
                              <w:sz w:val="18"/>
                            </w:rPr>
                            <w:instrText xml:space="preserve"> PAGE </w:instrText>
                          </w:r>
                          <w:r>
                            <w:fldChar w:fldCharType="separate"/>
                          </w:r>
                          <w:r>
                            <w:t>27</w:t>
                          </w:r>
                          <w:r>
                            <w:fldChar w:fldCharType="end"/>
                          </w:r>
                          <w:r>
                            <w:rPr>
                              <w:sz w:val="18"/>
                            </w:rPr>
                            <w:t xml:space="preserve"> of 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07D69" id="_x0000_t202" coordsize="21600,21600" o:spt="202" path="m,l,21600r21600,l21600,xe">
              <v:stroke joinstyle="miter"/>
              <v:path gradientshapeok="t" o:connecttype="rect"/>
            </v:shapetype>
            <v:shape id="Text Box 3" o:spid="_x0000_s1030" type="#_x0000_t202" style="position:absolute;margin-left:459.35pt;margin-top:799.1pt;width:51.55pt;height:13.15pt;z-index:-11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OfrgIAAK8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" filled="f" stroked="f">
              <v:textbox inset="0,0,0,0">
                <w:txbxContent>
                  <w:p w14:paraId="29619707" w14:textId="77777777" w:rsidR="00A72E02" w:rsidRDefault="00A72E02">
                    <w:pPr>
                      <w:spacing w:before="22"/>
                      <w:ind w:left="20"/>
                      <w:rPr>
                        <w:sz w:val="18"/>
                      </w:rPr>
                    </w:pPr>
                    <w:r>
                      <w:rPr>
                        <w:sz w:val="18"/>
                      </w:rPr>
                      <w:t xml:space="preserve">Page </w:t>
                    </w:r>
                    <w:r>
                      <w:fldChar w:fldCharType="begin"/>
                    </w:r>
                    <w:r>
                      <w:rPr>
                        <w:sz w:val="18"/>
                      </w:rPr>
                      <w:instrText xml:space="preserve"> PAGE </w:instrText>
                    </w:r>
                    <w:r>
                      <w:fldChar w:fldCharType="separate"/>
                    </w:r>
                    <w:r>
                      <w:t>27</w:t>
                    </w:r>
                    <w:r>
                      <w:fldChar w:fldCharType="end"/>
                    </w:r>
                    <w:r>
                      <w:rPr>
                        <w:sz w:val="18"/>
                      </w:rPr>
                      <w:t xml:space="preserve"> of 72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0FD8" w14:textId="5FD64F92" w:rsidR="00A72E02" w:rsidRDefault="00A72E02">
    <w:pPr>
      <w:pStyle w:val="BodyText"/>
      <w:spacing w:line="14" w:lineRule="auto"/>
      <w:rPr>
        <w:sz w:val="20"/>
      </w:rPr>
    </w:pPr>
    <w:r>
      <w:rPr>
        <w:noProof/>
      </w:rPr>
      <mc:AlternateContent>
        <mc:Choice Requires="wps">
          <w:drawing>
            <wp:anchor distT="0" distB="0" distL="114300" distR="114300" simplePos="0" relativeHeight="503204648" behindDoc="1" locked="0" layoutInCell="1" allowOverlap="1" wp14:anchorId="7A080FB0" wp14:editId="11901730">
              <wp:simplePos x="0" y="0"/>
              <wp:positionH relativeFrom="page">
                <wp:posOffset>6479540</wp:posOffset>
              </wp:positionH>
              <wp:positionV relativeFrom="page">
                <wp:posOffset>9890760</wp:posOffset>
              </wp:positionV>
              <wp:extent cx="192405" cy="196850"/>
              <wp:effectExtent l="254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430F" w14:textId="77777777" w:rsidR="00A72E02" w:rsidRDefault="00A72E02">
                          <w:pPr>
                            <w:pStyle w:val="BodyText"/>
                            <w:spacing w:before="20"/>
                            <w:ind w:left="40"/>
                          </w:pPr>
                          <w:r>
                            <w:fldChar w:fldCharType="begin"/>
                          </w:r>
                          <w: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80FB0" id="_x0000_t202" coordsize="21600,21600" o:spt="202" path="m,l,21600r21600,l21600,xe">
              <v:stroke joinstyle="miter"/>
              <v:path gradientshapeok="t" o:connecttype="rect"/>
            </v:shapetype>
            <v:shape id="Text Box 2" o:spid="_x0000_s1031" type="#_x0000_t202" style="position:absolute;margin-left:510.2pt;margin-top:778.8pt;width:15.15pt;height:15.5pt;z-index:-11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iVsAIAAK8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" filled="f" stroked="f">
              <v:textbox inset="0,0,0,0">
                <w:txbxContent>
                  <w:p w14:paraId="31FC430F" w14:textId="77777777" w:rsidR="00A72E02" w:rsidRDefault="00A72E02">
                    <w:pPr>
                      <w:pStyle w:val="BodyText"/>
                      <w:spacing w:before="20"/>
                      <w:ind w:left="40"/>
                    </w:pPr>
                    <w:r>
                      <w:fldChar w:fldCharType="begin"/>
                    </w:r>
                    <w:r>
                      <w:instrText xml:space="preserve"> PAGE </w:instrText>
                    </w:r>
                    <w:r>
                      <w:fldChar w:fldCharType="separate"/>
                    </w:r>
                    <w: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B1AF" w14:textId="77777777" w:rsidR="00E06CAA" w:rsidRDefault="00E06CAA">
      <w:r>
        <w:separator/>
      </w:r>
    </w:p>
  </w:footnote>
  <w:footnote w:type="continuationSeparator" w:id="0">
    <w:p w14:paraId="66CCA4EB" w14:textId="77777777" w:rsidR="00E06CAA" w:rsidRDefault="00E06CAA">
      <w:r>
        <w:continuationSeparator/>
      </w:r>
    </w:p>
  </w:footnote>
  <w:footnote w:id="1">
    <w:p w14:paraId="7F1D8A38" w14:textId="77777777" w:rsidR="00A72E02" w:rsidRPr="0001354E" w:rsidRDefault="00A72E02" w:rsidP="002E7999">
      <w:pPr>
        <w:pStyle w:val="FootnoteText"/>
        <w:rPr>
          <w:sz w:val="16"/>
          <w:szCs w:val="16"/>
        </w:rPr>
      </w:pPr>
      <w:r w:rsidRPr="0001354E">
        <w:rPr>
          <w:rStyle w:val="FootnoteReference"/>
          <w:sz w:val="16"/>
          <w:szCs w:val="16"/>
        </w:rPr>
        <w:footnoteRef/>
      </w:r>
      <w:r w:rsidRPr="0001354E">
        <w:rPr>
          <w:sz w:val="16"/>
          <w:szCs w:val="16"/>
        </w:rPr>
        <w:t xml:space="preserve"> HIA</w:t>
      </w:r>
      <w:r>
        <w:rPr>
          <w:sz w:val="16"/>
          <w:szCs w:val="16"/>
        </w:rPr>
        <w:t xml:space="preserve"> (2018), </w:t>
      </w:r>
      <w:r w:rsidRPr="0001354E">
        <w:rPr>
          <w:i/>
          <w:sz w:val="16"/>
          <w:szCs w:val="16"/>
        </w:rPr>
        <w:t>Update on Registration of Licensing of Trades</w:t>
      </w:r>
      <w:r>
        <w:rPr>
          <w:sz w:val="16"/>
          <w:szCs w:val="16"/>
        </w:rPr>
        <w:t xml:space="preserve">, accessed 6 September 2019 at </w:t>
      </w:r>
      <w:hyperlink r:id="rId1" w:history="1">
        <w:r w:rsidRPr="0001354E">
          <w:rPr>
            <w:rStyle w:val="Hyperlink"/>
            <w:sz w:val="16"/>
            <w:szCs w:val="16"/>
          </w:rPr>
          <w:t>https://hia.com.au/-/media/HIA-Website/Files/Publications/Member-Alerts/update-on-registration-and-licensing-of-trades-vic.ashx</w:t>
        </w:r>
      </w:hyperlink>
    </w:p>
  </w:footnote>
  <w:footnote w:id="2">
    <w:p w14:paraId="2B4C7A69" w14:textId="77777777" w:rsidR="00A72E02" w:rsidRPr="008879DE" w:rsidRDefault="00A72E02" w:rsidP="002E7999">
      <w:pPr>
        <w:pStyle w:val="FootnoteText"/>
        <w:rPr>
          <w:sz w:val="16"/>
          <w:szCs w:val="16"/>
        </w:rPr>
      </w:pPr>
      <w:r w:rsidRPr="008879DE">
        <w:rPr>
          <w:rStyle w:val="FootnoteReference"/>
          <w:sz w:val="16"/>
          <w:szCs w:val="16"/>
        </w:rPr>
        <w:footnoteRef/>
      </w:r>
      <w:r w:rsidRPr="008879DE">
        <w:rPr>
          <w:sz w:val="16"/>
          <w:szCs w:val="16"/>
        </w:rPr>
        <w:t xml:space="preserve"> </w:t>
      </w:r>
      <w:r>
        <w:rPr>
          <w:sz w:val="16"/>
          <w:szCs w:val="16"/>
        </w:rPr>
        <w:t xml:space="preserve">Master Builders Victoria (2019), </w:t>
      </w:r>
      <w:r w:rsidRPr="008879DE">
        <w:rPr>
          <w:i/>
          <w:sz w:val="16"/>
          <w:szCs w:val="16"/>
        </w:rPr>
        <w:t xml:space="preserve">Registration and licensing of building trades – Master Builders Victoria response to Stage 1: Consultation questions, </w:t>
      </w:r>
      <w:r>
        <w:rPr>
          <w:sz w:val="16"/>
          <w:szCs w:val="16"/>
        </w:rPr>
        <w:t xml:space="preserve">accessed 6 September 2019 at </w:t>
      </w:r>
      <w:hyperlink r:id="rId2" w:history="1">
        <w:r w:rsidRPr="008046F0">
          <w:rPr>
            <w:rStyle w:val="Hyperlink"/>
            <w:sz w:val="16"/>
            <w:szCs w:val="16"/>
          </w:rPr>
          <w:t>https://www.mbav.com.au/sites/default/files/20190712%20Master%20Builders%20submission%2C%20registration%20and%20licensing%20of%20building%20trades%2C%20Stage%201_FINAL_0.pdf</w:t>
        </w:r>
      </w:hyperlink>
    </w:p>
  </w:footnote>
  <w:footnote w:id="3">
    <w:p w14:paraId="3000CF8F" w14:textId="77777777" w:rsidR="00A72E02" w:rsidRDefault="00A72E02" w:rsidP="002E7999">
      <w:pPr>
        <w:pStyle w:val="FootnoteText"/>
      </w:pPr>
      <w:r w:rsidRPr="008879DE">
        <w:rPr>
          <w:rStyle w:val="FootnoteReference"/>
          <w:sz w:val="16"/>
          <w:szCs w:val="16"/>
        </w:rPr>
        <w:footnoteRef/>
      </w:r>
      <w:r w:rsidRPr="008879DE">
        <w:rPr>
          <w:sz w:val="16"/>
          <w:szCs w:val="16"/>
        </w:rPr>
        <w:t xml:space="preserve"> Ibid</w:t>
      </w:r>
      <w:r>
        <w:rPr>
          <w:sz w:val="16"/>
          <w:szCs w:val="16"/>
        </w:rPr>
        <w:t>., p.2.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284D" w14:textId="75D4BF9B" w:rsidR="003E40FF" w:rsidRDefault="00E06CAA">
    <w:pPr>
      <w:pStyle w:val="Header"/>
    </w:pPr>
    <w:r>
      <w:rPr>
        <w:noProof/>
      </w:rPr>
      <w:pict w14:anchorId="7DC7A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17" o:spid="_x0000_s2066" type="#_x0000_t136" alt="" style="position:absolute;margin-left:0;margin-top:0;width:453pt;height:151pt;z-index:-1036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D226" w14:textId="28DEDFD6" w:rsidR="003E40FF" w:rsidRDefault="00E06CAA">
    <w:pPr>
      <w:pStyle w:val="Header"/>
    </w:pPr>
    <w:r>
      <w:rPr>
        <w:noProof/>
      </w:rPr>
      <w:pict w14:anchorId="093DD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6" o:spid="_x0000_s2057" type="#_x0000_t136" alt="" style="position:absolute;margin-left:0;margin-top:0;width:453pt;height:151pt;z-index:-667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0E4C" w14:textId="1A802401" w:rsidR="003E40FF" w:rsidRDefault="00E06CAA">
    <w:pPr>
      <w:pStyle w:val="Header"/>
    </w:pPr>
    <w:r>
      <w:rPr>
        <w:noProof/>
      </w:rPr>
      <w:pict w14:anchorId="40F20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7" o:spid="_x0000_s2056" type="#_x0000_t136" alt="" style="position:absolute;margin-left:0;margin-top:0;width:453pt;height:151pt;z-index:-626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7FD6" w14:textId="6B93EA2C" w:rsidR="003E40FF" w:rsidRDefault="00E06CAA">
    <w:pPr>
      <w:pStyle w:val="Header"/>
    </w:pPr>
    <w:r>
      <w:rPr>
        <w:noProof/>
      </w:rPr>
      <w:pict w14:anchorId="248B9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5" o:spid="_x0000_s2055" type="#_x0000_t136" alt="" style="position:absolute;margin-left:0;margin-top:0;width:453pt;height:151pt;z-index:-708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5DAD" w14:textId="0B5FA661" w:rsidR="003E40FF" w:rsidRDefault="00E06CAA">
    <w:pPr>
      <w:pStyle w:val="Header"/>
    </w:pPr>
    <w:r>
      <w:rPr>
        <w:noProof/>
      </w:rPr>
      <w:pict w14:anchorId="6F7E9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9" o:spid="_x0000_s2054" type="#_x0000_t136" alt="" style="position:absolute;margin-left:0;margin-top:0;width:453pt;height:151pt;z-index:-544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0565" w14:textId="79F235AD" w:rsidR="003E40FF" w:rsidRDefault="00E06CAA">
    <w:pPr>
      <w:pStyle w:val="Header"/>
    </w:pPr>
    <w:r>
      <w:rPr>
        <w:noProof/>
      </w:rPr>
      <w:pict w14:anchorId="5C022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30" o:spid="_x0000_s2053" type="#_x0000_t136" alt="" style="position:absolute;margin-left:0;margin-top:0;width:453pt;height:151pt;z-index:-503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2C51" w14:textId="0C1D6AD5" w:rsidR="003E40FF" w:rsidRDefault="00E06CAA">
    <w:pPr>
      <w:pStyle w:val="Header"/>
    </w:pPr>
    <w:r>
      <w:rPr>
        <w:noProof/>
      </w:rPr>
      <w:pict w14:anchorId="5F983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8" o:spid="_x0000_s2052" type="#_x0000_t136" alt="" style="position:absolute;margin-left:0;margin-top:0;width:453pt;height:151pt;z-index:-585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6430" w14:textId="39AAE45C" w:rsidR="003E40FF" w:rsidRDefault="00E06CAA">
    <w:pPr>
      <w:pStyle w:val="Header"/>
    </w:pPr>
    <w:r>
      <w:rPr>
        <w:noProof/>
      </w:rPr>
      <w:pict w14:anchorId="6C076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32" o:spid="_x0000_s2051" type="#_x0000_t136" alt="" style="position:absolute;margin-left:0;margin-top:0;width:453pt;height:151pt;z-index:-422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6476" w14:textId="18F5720E" w:rsidR="003E40FF" w:rsidRDefault="00E06CAA">
    <w:pPr>
      <w:pStyle w:val="Header"/>
    </w:pPr>
    <w:r>
      <w:rPr>
        <w:noProof/>
      </w:rPr>
      <w:pict w14:anchorId="1B253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33" o:spid="_x0000_s2050" type="#_x0000_t136" alt="" style="position:absolute;margin-left:0;margin-top:0;width:453pt;height:151pt;z-index:-381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C96F" w14:textId="2460E3A3" w:rsidR="003E40FF" w:rsidRDefault="00E06CAA">
    <w:pPr>
      <w:pStyle w:val="Header"/>
    </w:pPr>
    <w:r>
      <w:rPr>
        <w:noProof/>
      </w:rPr>
      <w:pict w14:anchorId="3409A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31" o:spid="_x0000_s2049" type="#_x0000_t136" alt="" style="position:absolute;margin-left:0;margin-top:0;width:453pt;height:151pt;z-index:-462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0A72" w14:textId="4E30F8DB" w:rsidR="003E40FF" w:rsidRDefault="00E06CAA">
    <w:pPr>
      <w:pStyle w:val="Header"/>
    </w:pPr>
    <w:r>
      <w:rPr>
        <w:noProof/>
      </w:rPr>
      <w:pict w14:anchorId="47C7D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18" o:spid="_x0000_s2065" type="#_x0000_t136" alt="" style="position:absolute;margin-left:0;margin-top:0;width:453pt;height:151pt;z-index:-99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C4DE" w14:textId="48C989F6" w:rsidR="003E40FF" w:rsidRDefault="00E06CAA">
    <w:pPr>
      <w:pStyle w:val="Header"/>
    </w:pPr>
    <w:r>
      <w:rPr>
        <w:noProof/>
      </w:rPr>
      <w:pict w14:anchorId="76BE7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16" o:spid="_x0000_s2064" type="#_x0000_t136" alt="" style="position:absolute;margin-left:0;margin-top:0;width:453pt;height:151pt;z-index:-1077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7B2A" w14:textId="66CE6070" w:rsidR="003E40FF" w:rsidRDefault="00E06CAA">
    <w:pPr>
      <w:pStyle w:val="Header"/>
    </w:pPr>
    <w:r>
      <w:rPr>
        <w:noProof/>
      </w:rPr>
      <w:pict w14:anchorId="1656A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0" o:spid="_x0000_s2063" type="#_x0000_t136" alt="" style="position:absolute;margin-left:0;margin-top:0;width:453pt;height:151pt;z-index:-91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3ECA" w14:textId="6828BD28" w:rsidR="003E40FF" w:rsidRDefault="00E06CAA">
    <w:pPr>
      <w:pStyle w:val="Header"/>
    </w:pPr>
    <w:r>
      <w:rPr>
        <w:noProof/>
      </w:rPr>
      <w:pict w14:anchorId="7DED9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1" o:spid="_x0000_s2062" type="#_x0000_t136" alt="" style="position:absolute;margin-left:0;margin-top:0;width:453pt;height:151pt;z-index:-87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2198" w14:textId="27BAA587" w:rsidR="003E40FF" w:rsidRDefault="00E06CAA">
    <w:pPr>
      <w:pStyle w:val="Header"/>
    </w:pPr>
    <w:r>
      <w:rPr>
        <w:noProof/>
      </w:rPr>
      <w:pict w14:anchorId="3E6D0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19" o:spid="_x0000_s2061" type="#_x0000_t136" alt="" style="position:absolute;margin-left:0;margin-top:0;width:453pt;height:151pt;z-index:-95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E313" w14:textId="47D3E5E9" w:rsidR="003E40FF" w:rsidRDefault="00E06CAA">
    <w:pPr>
      <w:pStyle w:val="Header"/>
    </w:pPr>
    <w:r>
      <w:rPr>
        <w:noProof/>
      </w:rPr>
      <w:pict w14:anchorId="2727E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3" o:spid="_x0000_s2060" type="#_x0000_t136" alt="" style="position:absolute;margin-left:0;margin-top:0;width:453pt;height:151pt;z-index:-7906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DD30" w14:textId="7BA5E430" w:rsidR="003E40FF" w:rsidRDefault="00E06CAA">
    <w:pPr>
      <w:pStyle w:val="Header"/>
    </w:pPr>
    <w:r>
      <w:rPr>
        <w:noProof/>
      </w:rPr>
      <w:pict w14:anchorId="262FF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4" o:spid="_x0000_s2059" type="#_x0000_t136" alt="" style="position:absolute;margin-left:0;margin-top:0;width:453pt;height:151pt;z-index:-749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FACBE" w14:textId="7434F9FE" w:rsidR="003E40FF" w:rsidRDefault="00E06CAA">
    <w:pPr>
      <w:pStyle w:val="Header"/>
    </w:pPr>
    <w:r>
      <w:rPr>
        <w:noProof/>
      </w:rPr>
      <w:pict w14:anchorId="2F677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01022" o:spid="_x0000_s2058" type="#_x0000_t136" alt="" style="position:absolute;margin-left:0;margin-top:0;width:453pt;height:151pt;z-index:-831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1DA"/>
    <w:multiLevelType w:val="hybridMultilevel"/>
    <w:tmpl w:val="341ED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F6B45"/>
    <w:multiLevelType w:val="hybridMultilevel"/>
    <w:tmpl w:val="17EC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1A66"/>
    <w:multiLevelType w:val="hybridMultilevel"/>
    <w:tmpl w:val="E4682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C40FF"/>
    <w:multiLevelType w:val="hybridMultilevel"/>
    <w:tmpl w:val="6A68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30319"/>
    <w:multiLevelType w:val="hybridMultilevel"/>
    <w:tmpl w:val="C47C7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7472C"/>
    <w:multiLevelType w:val="hybridMultilevel"/>
    <w:tmpl w:val="7D28F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5F3A2F"/>
    <w:multiLevelType w:val="hybridMultilevel"/>
    <w:tmpl w:val="D44A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66F1C"/>
    <w:multiLevelType w:val="multilevel"/>
    <w:tmpl w:val="96A4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212127"/>
    <w:multiLevelType w:val="hybridMultilevel"/>
    <w:tmpl w:val="170A4E5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9" w15:restartNumberingAfterBreak="0">
    <w:nsid w:val="1D2E27C6"/>
    <w:multiLevelType w:val="hybridMultilevel"/>
    <w:tmpl w:val="254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17C7"/>
    <w:multiLevelType w:val="multilevel"/>
    <w:tmpl w:val="AEE8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66ED9"/>
    <w:multiLevelType w:val="hybridMultilevel"/>
    <w:tmpl w:val="88663D7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15:restartNumberingAfterBreak="0">
    <w:nsid w:val="21A61386"/>
    <w:multiLevelType w:val="hybridMultilevel"/>
    <w:tmpl w:val="816CA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55F2F"/>
    <w:multiLevelType w:val="hybridMultilevel"/>
    <w:tmpl w:val="BEDEC3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75AB0"/>
    <w:multiLevelType w:val="hybridMultilevel"/>
    <w:tmpl w:val="9238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D2373"/>
    <w:multiLevelType w:val="hybridMultilevel"/>
    <w:tmpl w:val="5D54F44C"/>
    <w:lvl w:ilvl="0" w:tplc="60F6219A">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C42FF4"/>
    <w:multiLevelType w:val="hybridMultilevel"/>
    <w:tmpl w:val="A3C41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C68A3"/>
    <w:multiLevelType w:val="hybridMultilevel"/>
    <w:tmpl w:val="FB48A588"/>
    <w:lvl w:ilvl="0" w:tplc="D856D278">
      <w:start w:val="1"/>
      <w:numFmt w:val="upperLetter"/>
      <w:lvlText w:val="%1."/>
      <w:lvlJc w:val="left"/>
      <w:pPr>
        <w:ind w:left="479" w:hanging="360"/>
      </w:pPr>
      <w:rPr>
        <w:rFonts w:ascii="Calibri" w:eastAsia="Calibri" w:hAnsi="Calibri" w:cs="Calibri" w:hint="default"/>
        <w:color w:val="A2A9AF"/>
        <w:spacing w:val="-1"/>
        <w:w w:val="100"/>
        <w:sz w:val="32"/>
        <w:szCs w:val="32"/>
      </w:rPr>
    </w:lvl>
    <w:lvl w:ilvl="1" w:tplc="C2DAE0D4">
      <w:numFmt w:val="bullet"/>
      <w:lvlText w:val=""/>
      <w:lvlJc w:val="left"/>
      <w:pPr>
        <w:ind w:left="1720" w:hanging="360"/>
      </w:pPr>
      <w:rPr>
        <w:rFonts w:hint="default"/>
        <w:w w:val="100"/>
      </w:rPr>
    </w:lvl>
    <w:lvl w:ilvl="2" w:tplc="E0E0757C">
      <w:numFmt w:val="bullet"/>
      <w:lvlText w:val=""/>
      <w:lvlJc w:val="left"/>
      <w:pPr>
        <w:ind w:left="1979" w:hanging="360"/>
      </w:pPr>
      <w:rPr>
        <w:rFonts w:ascii="Symbol" w:eastAsia="Symbol" w:hAnsi="Symbol" w:cs="Symbol" w:hint="default"/>
        <w:w w:val="100"/>
        <w:sz w:val="24"/>
        <w:szCs w:val="24"/>
      </w:rPr>
    </w:lvl>
    <w:lvl w:ilvl="3" w:tplc="B322A0E0">
      <w:numFmt w:val="bullet"/>
      <w:lvlText w:val="•"/>
      <w:lvlJc w:val="left"/>
      <w:pPr>
        <w:ind w:left="1980" w:hanging="360"/>
      </w:pPr>
      <w:rPr>
        <w:rFonts w:hint="default"/>
      </w:rPr>
    </w:lvl>
    <w:lvl w:ilvl="4" w:tplc="3B8CE03A">
      <w:numFmt w:val="bullet"/>
      <w:lvlText w:val="•"/>
      <w:lvlJc w:val="left"/>
      <w:pPr>
        <w:ind w:left="2991" w:hanging="360"/>
      </w:pPr>
      <w:rPr>
        <w:rFonts w:hint="default"/>
      </w:rPr>
    </w:lvl>
    <w:lvl w:ilvl="5" w:tplc="CC00AF1A">
      <w:numFmt w:val="bullet"/>
      <w:lvlText w:val="•"/>
      <w:lvlJc w:val="left"/>
      <w:pPr>
        <w:ind w:left="4002" w:hanging="360"/>
      </w:pPr>
      <w:rPr>
        <w:rFonts w:hint="default"/>
      </w:rPr>
    </w:lvl>
    <w:lvl w:ilvl="6" w:tplc="F37C63C2">
      <w:numFmt w:val="bullet"/>
      <w:lvlText w:val="•"/>
      <w:lvlJc w:val="left"/>
      <w:pPr>
        <w:ind w:left="5014" w:hanging="360"/>
      </w:pPr>
      <w:rPr>
        <w:rFonts w:hint="default"/>
      </w:rPr>
    </w:lvl>
    <w:lvl w:ilvl="7" w:tplc="6394ABE4">
      <w:numFmt w:val="bullet"/>
      <w:lvlText w:val="•"/>
      <w:lvlJc w:val="left"/>
      <w:pPr>
        <w:ind w:left="6025" w:hanging="360"/>
      </w:pPr>
      <w:rPr>
        <w:rFonts w:hint="default"/>
      </w:rPr>
    </w:lvl>
    <w:lvl w:ilvl="8" w:tplc="C542EEA4">
      <w:numFmt w:val="bullet"/>
      <w:lvlText w:val="•"/>
      <w:lvlJc w:val="left"/>
      <w:pPr>
        <w:ind w:left="7037" w:hanging="360"/>
      </w:pPr>
      <w:rPr>
        <w:rFonts w:hint="default"/>
      </w:rPr>
    </w:lvl>
  </w:abstractNum>
  <w:abstractNum w:abstractNumId="18" w15:restartNumberingAfterBreak="0">
    <w:nsid w:val="385A21C9"/>
    <w:multiLevelType w:val="hybridMultilevel"/>
    <w:tmpl w:val="AF26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392919"/>
    <w:multiLevelType w:val="hybridMultilevel"/>
    <w:tmpl w:val="3D0C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C93713"/>
    <w:multiLevelType w:val="hybridMultilevel"/>
    <w:tmpl w:val="0428B374"/>
    <w:lvl w:ilvl="0" w:tplc="13F4BFAE">
      <w:start w:val="1"/>
      <w:numFmt w:val="lowerLetter"/>
      <w:lvlText w:val="%1)"/>
      <w:lvlJc w:val="left"/>
      <w:pPr>
        <w:ind w:left="1723" w:hanging="418"/>
      </w:pPr>
      <w:rPr>
        <w:rFonts w:ascii="Calibri" w:eastAsia="Calibri" w:hAnsi="Calibri" w:cs="Calibri" w:hint="default"/>
        <w:spacing w:val="-1"/>
        <w:w w:val="100"/>
        <w:sz w:val="22"/>
        <w:szCs w:val="22"/>
      </w:rPr>
    </w:lvl>
    <w:lvl w:ilvl="1" w:tplc="FB569ACC">
      <w:numFmt w:val="bullet"/>
      <w:lvlText w:val="•"/>
      <w:lvlJc w:val="left"/>
      <w:pPr>
        <w:ind w:left="2624" w:hanging="418"/>
      </w:pPr>
      <w:rPr>
        <w:rFonts w:hint="default"/>
      </w:rPr>
    </w:lvl>
    <w:lvl w:ilvl="2" w:tplc="324CF42E">
      <w:numFmt w:val="bullet"/>
      <w:lvlText w:val="•"/>
      <w:lvlJc w:val="left"/>
      <w:pPr>
        <w:ind w:left="3528" w:hanging="418"/>
      </w:pPr>
      <w:rPr>
        <w:rFonts w:hint="default"/>
      </w:rPr>
    </w:lvl>
    <w:lvl w:ilvl="3" w:tplc="1E96E3F2">
      <w:numFmt w:val="bullet"/>
      <w:lvlText w:val="•"/>
      <w:lvlJc w:val="left"/>
      <w:pPr>
        <w:ind w:left="4432" w:hanging="418"/>
      </w:pPr>
      <w:rPr>
        <w:rFonts w:hint="default"/>
      </w:rPr>
    </w:lvl>
    <w:lvl w:ilvl="4" w:tplc="6F521B26">
      <w:numFmt w:val="bullet"/>
      <w:lvlText w:val="•"/>
      <w:lvlJc w:val="left"/>
      <w:pPr>
        <w:ind w:left="5336" w:hanging="418"/>
      </w:pPr>
      <w:rPr>
        <w:rFonts w:hint="default"/>
      </w:rPr>
    </w:lvl>
    <w:lvl w:ilvl="5" w:tplc="EC4CD6AC">
      <w:numFmt w:val="bullet"/>
      <w:lvlText w:val="•"/>
      <w:lvlJc w:val="left"/>
      <w:pPr>
        <w:ind w:left="6240" w:hanging="418"/>
      </w:pPr>
      <w:rPr>
        <w:rFonts w:hint="default"/>
      </w:rPr>
    </w:lvl>
    <w:lvl w:ilvl="6" w:tplc="FE746AC2">
      <w:numFmt w:val="bullet"/>
      <w:lvlText w:val="•"/>
      <w:lvlJc w:val="left"/>
      <w:pPr>
        <w:ind w:left="7144" w:hanging="418"/>
      </w:pPr>
      <w:rPr>
        <w:rFonts w:hint="default"/>
      </w:rPr>
    </w:lvl>
    <w:lvl w:ilvl="7" w:tplc="15D295DE">
      <w:numFmt w:val="bullet"/>
      <w:lvlText w:val="•"/>
      <w:lvlJc w:val="left"/>
      <w:pPr>
        <w:ind w:left="8048" w:hanging="418"/>
      </w:pPr>
      <w:rPr>
        <w:rFonts w:hint="default"/>
      </w:rPr>
    </w:lvl>
    <w:lvl w:ilvl="8" w:tplc="F912B886">
      <w:numFmt w:val="bullet"/>
      <w:lvlText w:val="•"/>
      <w:lvlJc w:val="left"/>
      <w:pPr>
        <w:ind w:left="8952" w:hanging="418"/>
      </w:pPr>
      <w:rPr>
        <w:rFonts w:hint="default"/>
      </w:rPr>
    </w:lvl>
  </w:abstractNum>
  <w:abstractNum w:abstractNumId="21" w15:restartNumberingAfterBreak="0">
    <w:nsid w:val="3D5E7FD8"/>
    <w:multiLevelType w:val="hybridMultilevel"/>
    <w:tmpl w:val="A734262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2" w15:restartNumberingAfterBreak="0">
    <w:nsid w:val="3DB338D6"/>
    <w:multiLevelType w:val="hybridMultilevel"/>
    <w:tmpl w:val="5CC0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324AF"/>
    <w:multiLevelType w:val="hybridMultilevel"/>
    <w:tmpl w:val="0958E9E6"/>
    <w:lvl w:ilvl="0" w:tplc="0809000F">
      <w:start w:val="1"/>
      <w:numFmt w:val="decimal"/>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24" w15:restartNumberingAfterBreak="0">
    <w:nsid w:val="491322E5"/>
    <w:multiLevelType w:val="hybridMultilevel"/>
    <w:tmpl w:val="EC228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282BA9"/>
    <w:multiLevelType w:val="hybridMultilevel"/>
    <w:tmpl w:val="655847F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4BC916D1"/>
    <w:multiLevelType w:val="hybridMultilevel"/>
    <w:tmpl w:val="E94C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06E41"/>
    <w:multiLevelType w:val="hybridMultilevel"/>
    <w:tmpl w:val="F334B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74183F"/>
    <w:multiLevelType w:val="hybridMultilevel"/>
    <w:tmpl w:val="CCB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C5B24"/>
    <w:multiLevelType w:val="hybridMultilevel"/>
    <w:tmpl w:val="9FA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23C1B"/>
    <w:multiLevelType w:val="hybridMultilevel"/>
    <w:tmpl w:val="5262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97EA6"/>
    <w:multiLevelType w:val="hybridMultilevel"/>
    <w:tmpl w:val="0B44748C"/>
    <w:lvl w:ilvl="0" w:tplc="200825AA">
      <w:start w:val="4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574780"/>
    <w:multiLevelType w:val="hybridMultilevel"/>
    <w:tmpl w:val="63482800"/>
    <w:lvl w:ilvl="0" w:tplc="16A63208">
      <w:start w:val="1"/>
      <w:numFmt w:val="decimal"/>
      <w:lvlText w:val="%1."/>
      <w:lvlJc w:val="left"/>
      <w:pPr>
        <w:ind w:left="1720" w:hanging="360"/>
      </w:pPr>
      <w:rPr>
        <w:rFonts w:ascii="Calibri" w:eastAsia="Calibri" w:hAnsi="Calibri" w:cs="Calibri" w:hint="default"/>
        <w:i/>
        <w:spacing w:val="-1"/>
        <w:w w:val="100"/>
        <w:sz w:val="22"/>
        <w:szCs w:val="22"/>
      </w:rPr>
    </w:lvl>
    <w:lvl w:ilvl="1" w:tplc="B0F64D7A">
      <w:numFmt w:val="bullet"/>
      <w:lvlText w:val="•"/>
      <w:lvlJc w:val="left"/>
      <w:pPr>
        <w:ind w:left="2624" w:hanging="360"/>
      </w:pPr>
      <w:rPr>
        <w:rFonts w:hint="default"/>
      </w:rPr>
    </w:lvl>
    <w:lvl w:ilvl="2" w:tplc="CC5689A6">
      <w:numFmt w:val="bullet"/>
      <w:lvlText w:val="•"/>
      <w:lvlJc w:val="left"/>
      <w:pPr>
        <w:ind w:left="3528" w:hanging="360"/>
      </w:pPr>
      <w:rPr>
        <w:rFonts w:hint="default"/>
      </w:rPr>
    </w:lvl>
    <w:lvl w:ilvl="3" w:tplc="3B2A2960">
      <w:numFmt w:val="bullet"/>
      <w:lvlText w:val="•"/>
      <w:lvlJc w:val="left"/>
      <w:pPr>
        <w:ind w:left="4432" w:hanging="360"/>
      </w:pPr>
      <w:rPr>
        <w:rFonts w:hint="default"/>
      </w:rPr>
    </w:lvl>
    <w:lvl w:ilvl="4" w:tplc="C55E2598">
      <w:numFmt w:val="bullet"/>
      <w:lvlText w:val="•"/>
      <w:lvlJc w:val="left"/>
      <w:pPr>
        <w:ind w:left="5336" w:hanging="360"/>
      </w:pPr>
      <w:rPr>
        <w:rFonts w:hint="default"/>
      </w:rPr>
    </w:lvl>
    <w:lvl w:ilvl="5" w:tplc="A5308B50">
      <w:numFmt w:val="bullet"/>
      <w:lvlText w:val="•"/>
      <w:lvlJc w:val="left"/>
      <w:pPr>
        <w:ind w:left="6240" w:hanging="360"/>
      </w:pPr>
      <w:rPr>
        <w:rFonts w:hint="default"/>
      </w:rPr>
    </w:lvl>
    <w:lvl w:ilvl="6" w:tplc="1FE86F4A">
      <w:numFmt w:val="bullet"/>
      <w:lvlText w:val="•"/>
      <w:lvlJc w:val="left"/>
      <w:pPr>
        <w:ind w:left="7144" w:hanging="360"/>
      </w:pPr>
      <w:rPr>
        <w:rFonts w:hint="default"/>
      </w:rPr>
    </w:lvl>
    <w:lvl w:ilvl="7" w:tplc="DE0AACF4">
      <w:numFmt w:val="bullet"/>
      <w:lvlText w:val="•"/>
      <w:lvlJc w:val="left"/>
      <w:pPr>
        <w:ind w:left="8048" w:hanging="360"/>
      </w:pPr>
      <w:rPr>
        <w:rFonts w:hint="default"/>
      </w:rPr>
    </w:lvl>
    <w:lvl w:ilvl="8" w:tplc="A8C4F346">
      <w:numFmt w:val="bullet"/>
      <w:lvlText w:val="•"/>
      <w:lvlJc w:val="left"/>
      <w:pPr>
        <w:ind w:left="8952" w:hanging="360"/>
      </w:pPr>
      <w:rPr>
        <w:rFonts w:hint="default"/>
      </w:rPr>
    </w:lvl>
  </w:abstractNum>
  <w:abstractNum w:abstractNumId="33" w15:restartNumberingAfterBreak="0">
    <w:nsid w:val="70B22F94"/>
    <w:multiLevelType w:val="hybridMultilevel"/>
    <w:tmpl w:val="0E343A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9372E5"/>
    <w:multiLevelType w:val="hybridMultilevel"/>
    <w:tmpl w:val="32100F8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5" w15:restartNumberingAfterBreak="0">
    <w:nsid w:val="75545A0E"/>
    <w:multiLevelType w:val="hybridMultilevel"/>
    <w:tmpl w:val="5E00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D5E63"/>
    <w:multiLevelType w:val="hybridMultilevel"/>
    <w:tmpl w:val="38C4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E11667"/>
    <w:multiLevelType w:val="hybridMultilevel"/>
    <w:tmpl w:val="2BFCF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3B0F9D"/>
    <w:multiLevelType w:val="hybridMultilevel"/>
    <w:tmpl w:val="46D2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17"/>
  </w:num>
  <w:num w:numId="4">
    <w:abstractNumId w:val="13"/>
  </w:num>
  <w:num w:numId="5">
    <w:abstractNumId w:val="11"/>
  </w:num>
  <w:num w:numId="6">
    <w:abstractNumId w:val="35"/>
  </w:num>
  <w:num w:numId="7">
    <w:abstractNumId w:val="31"/>
  </w:num>
  <w:num w:numId="8">
    <w:abstractNumId w:val="15"/>
  </w:num>
  <w:num w:numId="9">
    <w:abstractNumId w:val="14"/>
  </w:num>
  <w:num w:numId="10">
    <w:abstractNumId w:val="30"/>
  </w:num>
  <w:num w:numId="11">
    <w:abstractNumId w:val="5"/>
  </w:num>
  <w:num w:numId="12">
    <w:abstractNumId w:val="4"/>
  </w:num>
  <w:num w:numId="13">
    <w:abstractNumId w:val="27"/>
  </w:num>
  <w:num w:numId="14">
    <w:abstractNumId w:val="2"/>
  </w:num>
  <w:num w:numId="15">
    <w:abstractNumId w:val="38"/>
  </w:num>
  <w:num w:numId="16">
    <w:abstractNumId w:val="36"/>
  </w:num>
  <w:num w:numId="17">
    <w:abstractNumId w:val="19"/>
  </w:num>
  <w:num w:numId="18">
    <w:abstractNumId w:val="18"/>
  </w:num>
  <w:num w:numId="19">
    <w:abstractNumId w:val="25"/>
  </w:num>
  <w:num w:numId="20">
    <w:abstractNumId w:val="26"/>
  </w:num>
  <w:num w:numId="21">
    <w:abstractNumId w:val="3"/>
  </w:num>
  <w:num w:numId="22">
    <w:abstractNumId w:val="22"/>
  </w:num>
  <w:num w:numId="23">
    <w:abstractNumId w:val="28"/>
  </w:num>
  <w:num w:numId="24">
    <w:abstractNumId w:val="6"/>
  </w:num>
  <w:num w:numId="25">
    <w:abstractNumId w:val="1"/>
  </w:num>
  <w:num w:numId="26">
    <w:abstractNumId w:val="34"/>
  </w:num>
  <w:num w:numId="27">
    <w:abstractNumId w:val="10"/>
  </w:num>
  <w:num w:numId="28">
    <w:abstractNumId w:val="29"/>
  </w:num>
  <w:num w:numId="29">
    <w:abstractNumId w:val="8"/>
  </w:num>
  <w:num w:numId="30">
    <w:abstractNumId w:val="21"/>
  </w:num>
  <w:num w:numId="31">
    <w:abstractNumId w:val="9"/>
  </w:num>
  <w:num w:numId="32">
    <w:abstractNumId w:val="0"/>
  </w:num>
  <w:num w:numId="33">
    <w:abstractNumId w:val="7"/>
  </w:num>
  <w:num w:numId="34">
    <w:abstractNumId w:val="37"/>
  </w:num>
  <w:num w:numId="35">
    <w:abstractNumId w:val="23"/>
  </w:num>
  <w:num w:numId="36">
    <w:abstractNumId w:val="12"/>
  </w:num>
  <w:num w:numId="37">
    <w:abstractNumId w:val="16"/>
  </w:num>
  <w:num w:numId="38">
    <w:abstractNumId w:val="24"/>
  </w:num>
  <w:num w:numId="39">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DE"/>
    <w:rsid w:val="00013983"/>
    <w:rsid w:val="00190252"/>
    <w:rsid w:val="00264BC4"/>
    <w:rsid w:val="002E7999"/>
    <w:rsid w:val="00346F96"/>
    <w:rsid w:val="003E40FF"/>
    <w:rsid w:val="0048015C"/>
    <w:rsid w:val="00495E1B"/>
    <w:rsid w:val="004C15A8"/>
    <w:rsid w:val="005056E0"/>
    <w:rsid w:val="005277DD"/>
    <w:rsid w:val="005331EC"/>
    <w:rsid w:val="00546407"/>
    <w:rsid w:val="00607F6E"/>
    <w:rsid w:val="0065694F"/>
    <w:rsid w:val="00757981"/>
    <w:rsid w:val="0076590C"/>
    <w:rsid w:val="00775560"/>
    <w:rsid w:val="007E7F1A"/>
    <w:rsid w:val="007F03C9"/>
    <w:rsid w:val="00846E3B"/>
    <w:rsid w:val="008A2EDE"/>
    <w:rsid w:val="008A4E78"/>
    <w:rsid w:val="00923C7D"/>
    <w:rsid w:val="0096050F"/>
    <w:rsid w:val="00995804"/>
    <w:rsid w:val="00A50BD3"/>
    <w:rsid w:val="00A72E02"/>
    <w:rsid w:val="00B0440B"/>
    <w:rsid w:val="00B51663"/>
    <w:rsid w:val="00BC649E"/>
    <w:rsid w:val="00BE5492"/>
    <w:rsid w:val="00D87885"/>
    <w:rsid w:val="00E06CAA"/>
    <w:rsid w:val="00E705ED"/>
    <w:rsid w:val="00EC00CF"/>
    <w:rsid w:val="00FA5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2B04A4A"/>
  <w15:docId w15:val="{8FBA7617-70F4-4C44-A2A8-A6E70CB0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2"/>
      <w:ind w:left="479" w:hanging="360"/>
      <w:outlineLvl w:val="0"/>
    </w:pPr>
    <w:rPr>
      <w:sz w:val="32"/>
      <w:szCs w:val="32"/>
    </w:rPr>
  </w:style>
  <w:style w:type="paragraph" w:styleId="Heading2">
    <w:name w:val="heading 2"/>
    <w:basedOn w:val="Normal"/>
    <w:uiPriority w:val="9"/>
    <w:unhideWhenUsed/>
    <w:qFormat/>
    <w:pPr>
      <w:spacing w:before="83"/>
      <w:ind w:left="119"/>
      <w:outlineLvl w:val="1"/>
    </w:pPr>
    <w:rPr>
      <w:rFonts w:ascii="Calibri Light" w:eastAsia="Calibri Light" w:hAnsi="Calibri Light" w:cs="Calibri Light"/>
      <w:sz w:val="31"/>
      <w:szCs w:val="31"/>
    </w:rPr>
  </w:style>
  <w:style w:type="paragraph" w:styleId="Heading3">
    <w:name w:val="heading 3"/>
    <w:basedOn w:val="Normal"/>
    <w:uiPriority w:val="9"/>
    <w:unhideWhenUsed/>
    <w:qFormat/>
    <w:pPr>
      <w:ind w:left="119"/>
      <w:outlineLvl w:val="2"/>
    </w:pPr>
    <w:rPr>
      <w:b/>
      <w:bCs/>
      <w:sz w:val="28"/>
      <w:szCs w:val="28"/>
    </w:rPr>
  </w:style>
  <w:style w:type="paragraph" w:styleId="Heading4">
    <w:name w:val="heading 4"/>
    <w:basedOn w:val="Normal"/>
    <w:uiPriority w:val="9"/>
    <w:unhideWhenUsed/>
    <w:qFormat/>
    <w:pPr>
      <w:jc w:val="right"/>
      <w:outlineLvl w:val="3"/>
    </w:pPr>
    <w:rPr>
      <w:sz w:val="28"/>
      <w:szCs w:val="28"/>
    </w:rPr>
  </w:style>
  <w:style w:type="paragraph" w:styleId="Heading5">
    <w:name w:val="heading 5"/>
    <w:basedOn w:val="Normal"/>
    <w:uiPriority w:val="9"/>
    <w:unhideWhenUsed/>
    <w:qFormat/>
    <w:pPr>
      <w:spacing w:before="100"/>
      <w:ind w:left="1259"/>
      <w:outlineLvl w:val="4"/>
    </w:pPr>
    <w:rPr>
      <w:b/>
      <w:bCs/>
      <w:sz w:val="24"/>
      <w:szCs w:val="24"/>
    </w:rPr>
  </w:style>
  <w:style w:type="paragraph" w:styleId="Heading6">
    <w:name w:val="heading 6"/>
    <w:basedOn w:val="Normal"/>
    <w:uiPriority w:val="9"/>
    <w:unhideWhenUsed/>
    <w:qFormat/>
    <w:pPr>
      <w:spacing w:before="1" w:line="304" w:lineRule="exact"/>
      <w:ind w:left="1720" w:hanging="360"/>
      <w:outlineLvl w:val="5"/>
    </w:pPr>
    <w:rPr>
      <w:sz w:val="24"/>
      <w:szCs w:val="24"/>
    </w:rPr>
  </w:style>
  <w:style w:type="paragraph" w:styleId="Heading7">
    <w:name w:val="heading 7"/>
    <w:basedOn w:val="Normal"/>
    <w:uiPriority w:val="1"/>
    <w:qFormat/>
    <w:pPr>
      <w:ind w:left="11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1"/>
      <w:ind w:left="559" w:hanging="440"/>
    </w:pPr>
    <w:rPr>
      <w:b/>
      <w:bCs/>
      <w:sz w:val="20"/>
      <w:szCs w:val="20"/>
    </w:rPr>
  </w:style>
  <w:style w:type="paragraph" w:styleId="BodyText">
    <w:name w:val="Body Text"/>
    <w:basedOn w:val="Normal"/>
    <w:uiPriority w:val="1"/>
    <w:qFormat/>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pPr>
      <w:ind w:left="1720" w:hanging="360"/>
    </w:pPr>
  </w:style>
  <w:style w:type="paragraph" w:customStyle="1" w:styleId="TableParagraph">
    <w:name w:val="Table Paragraph"/>
    <w:basedOn w:val="Normal"/>
    <w:uiPriority w:val="1"/>
    <w:qFormat/>
    <w:pPr>
      <w:ind w:left="161"/>
    </w:pPr>
  </w:style>
  <w:style w:type="paragraph" w:styleId="Header">
    <w:name w:val="header"/>
    <w:basedOn w:val="Normal"/>
    <w:link w:val="HeaderChar"/>
    <w:uiPriority w:val="99"/>
    <w:unhideWhenUsed/>
    <w:rsid w:val="004C15A8"/>
    <w:pPr>
      <w:tabs>
        <w:tab w:val="center" w:pos="4513"/>
        <w:tab w:val="right" w:pos="9026"/>
      </w:tabs>
    </w:pPr>
  </w:style>
  <w:style w:type="character" w:customStyle="1" w:styleId="HeaderChar">
    <w:name w:val="Header Char"/>
    <w:basedOn w:val="DefaultParagraphFont"/>
    <w:link w:val="Header"/>
    <w:uiPriority w:val="99"/>
    <w:rsid w:val="004C15A8"/>
    <w:rPr>
      <w:rFonts w:ascii="Calibri" w:eastAsia="Calibri" w:hAnsi="Calibri" w:cs="Calibri"/>
    </w:rPr>
  </w:style>
  <w:style w:type="paragraph" w:styleId="Footer">
    <w:name w:val="footer"/>
    <w:basedOn w:val="Normal"/>
    <w:link w:val="FooterChar"/>
    <w:uiPriority w:val="99"/>
    <w:unhideWhenUsed/>
    <w:rsid w:val="004C15A8"/>
    <w:pPr>
      <w:tabs>
        <w:tab w:val="center" w:pos="4513"/>
        <w:tab w:val="right" w:pos="9026"/>
      </w:tabs>
    </w:pPr>
  </w:style>
  <w:style w:type="character" w:customStyle="1" w:styleId="FooterChar">
    <w:name w:val="Footer Char"/>
    <w:basedOn w:val="DefaultParagraphFont"/>
    <w:link w:val="Footer"/>
    <w:uiPriority w:val="99"/>
    <w:rsid w:val="004C15A8"/>
    <w:rPr>
      <w:rFonts w:ascii="Calibri" w:eastAsia="Calibri" w:hAnsi="Calibri" w:cs="Calibri"/>
    </w:rPr>
  </w:style>
  <w:style w:type="table" w:styleId="TableGridLight">
    <w:name w:val="Grid Table Light"/>
    <w:basedOn w:val="TableNormal"/>
    <w:uiPriority w:val="40"/>
    <w:rsid w:val="004C15A8"/>
    <w:pPr>
      <w:widowControl/>
      <w:autoSpaceDE/>
      <w:autoSpaceDN/>
    </w:pPr>
    <w:rPr>
      <w:rFonts w:eastAsia="Times New Roman"/>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4C15A8"/>
    <w:rPr>
      <w:rFonts w:ascii="Calibri" w:eastAsia="Calibri" w:hAnsi="Calibri" w:cs="Calibri"/>
    </w:rPr>
  </w:style>
  <w:style w:type="paragraph" w:styleId="BalloonText">
    <w:name w:val="Balloon Text"/>
    <w:basedOn w:val="Normal"/>
    <w:link w:val="BalloonTextChar"/>
    <w:uiPriority w:val="99"/>
    <w:semiHidden/>
    <w:unhideWhenUsed/>
    <w:rsid w:val="002E7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99"/>
    <w:rPr>
      <w:rFonts w:ascii="Segoe UI" w:eastAsia="Calibri" w:hAnsi="Segoe UI" w:cs="Segoe UI"/>
      <w:sz w:val="18"/>
      <w:szCs w:val="18"/>
    </w:rPr>
  </w:style>
  <w:style w:type="table" w:customStyle="1" w:styleId="TableGridLight1">
    <w:name w:val="Table Grid Light1"/>
    <w:basedOn w:val="TableNormal"/>
    <w:uiPriority w:val="40"/>
    <w:rsid w:val="002E7999"/>
    <w:pPr>
      <w:widowControl/>
      <w:autoSpaceDE/>
      <w:autoSpaceDN/>
    </w:pPr>
    <w:rPr>
      <w:rFonts w:eastAsia="Times New Roman"/>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busCfE2">
    <w:name w:val="Artibus CfE 2"/>
    <w:basedOn w:val="Heading6"/>
    <w:link w:val="ArtibusCfE2Char"/>
    <w:qFormat/>
    <w:rsid w:val="002E7999"/>
    <w:pPr>
      <w:keepNext/>
      <w:keepLines/>
      <w:widowControl/>
      <w:autoSpaceDE/>
      <w:autoSpaceDN/>
      <w:spacing w:before="40" w:line="259" w:lineRule="auto"/>
      <w:ind w:left="0" w:firstLine="0"/>
    </w:pPr>
    <w:rPr>
      <w:rFonts w:eastAsiaTheme="majorEastAsia" w:cstheme="majorBidi"/>
      <w:b/>
      <w:bCs/>
      <w:sz w:val="22"/>
      <w:szCs w:val="22"/>
      <w:lang w:val="en-AU"/>
    </w:rPr>
  </w:style>
  <w:style w:type="character" w:customStyle="1" w:styleId="ArtibusCfE2Char">
    <w:name w:val="Artibus CfE 2 Char"/>
    <w:basedOn w:val="DefaultParagraphFont"/>
    <w:link w:val="ArtibusCfE2"/>
    <w:rsid w:val="002E7999"/>
    <w:rPr>
      <w:rFonts w:ascii="Calibri" w:eastAsiaTheme="majorEastAsia" w:hAnsi="Calibri" w:cstheme="majorBidi"/>
      <w:b/>
      <w:bCs/>
      <w:lang w:val="en-AU"/>
    </w:rPr>
  </w:style>
  <w:style w:type="table" w:styleId="TableGrid">
    <w:name w:val="Table Grid"/>
    <w:basedOn w:val="TableNormal"/>
    <w:uiPriority w:val="39"/>
    <w:rsid w:val="002E799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999"/>
    <w:rPr>
      <w:color w:val="0000FF" w:themeColor="hyperlink"/>
      <w:u w:val="single"/>
    </w:rPr>
  </w:style>
  <w:style w:type="paragraph" w:styleId="FootnoteText">
    <w:name w:val="footnote text"/>
    <w:basedOn w:val="Normal"/>
    <w:link w:val="FootnoteTextChar"/>
    <w:uiPriority w:val="99"/>
    <w:semiHidden/>
    <w:unhideWhenUsed/>
    <w:rsid w:val="002E7999"/>
    <w:pPr>
      <w:widowControl/>
      <w:autoSpaceDE/>
      <w:autoSpaceDN/>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2E7999"/>
    <w:rPr>
      <w:sz w:val="20"/>
      <w:szCs w:val="20"/>
      <w:lang w:val="en-AU"/>
    </w:rPr>
  </w:style>
  <w:style w:type="character" w:styleId="FootnoteReference">
    <w:name w:val="footnote reference"/>
    <w:basedOn w:val="DefaultParagraphFont"/>
    <w:uiPriority w:val="99"/>
    <w:semiHidden/>
    <w:unhideWhenUsed/>
    <w:rsid w:val="002E7999"/>
    <w:rPr>
      <w:vertAlign w:val="superscript"/>
    </w:rPr>
  </w:style>
  <w:style w:type="paragraph" w:customStyle="1" w:styleId="m-8233402298788327287msolistparagraph">
    <w:name w:val="m_-8233402298788327287msolistparagraph"/>
    <w:basedOn w:val="Normal"/>
    <w:rsid w:val="00264BC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418071">
      <w:bodyDiv w:val="1"/>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nquiries@artibus.com.au" TargetMode="External"/><Relationship Id="rId18" Type="http://schemas.openxmlformats.org/officeDocument/2006/relationships/header" Target="header7.xml"/><Relationship Id="rId26" Type="http://schemas.openxmlformats.org/officeDocument/2006/relationships/header" Target="header12.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yperlink" Target="http://www.vba.vic.gov.au/"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yperlink" Target="http://www.artibus.com.au/" TargetMode="Externa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yperlink" Target="mailto:Jennifer.Mason@vba.vic.gov.au"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mbav.com.au/sites/default/files/20190712%20Master%20Builders%20submission%2C%20registration%20and%20licensing%20of%20building%20trades%2C%20Stage%201_FINAL_0.pdf" TargetMode="External"/><Relationship Id="rId1" Type="http://schemas.openxmlformats.org/officeDocument/2006/relationships/hyperlink" Target="https://hia.com.au/-/media/HIA-Website/Files/Publications/Member-Alerts/update-on-registration-and-licensing-of-trades-vic.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75C3-BA53-4701-8FA5-7A3364BF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58</Pages>
  <Words>13664</Words>
  <Characters>77890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14</cp:revision>
  <dcterms:created xsi:type="dcterms:W3CDTF">2019-11-08T06:17:00Z</dcterms:created>
  <dcterms:modified xsi:type="dcterms:W3CDTF">2019-11-14T01:17:00Z</dcterms:modified>
</cp:coreProperties>
</file>