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B7777" w14:textId="77777777" w:rsidR="0084389C" w:rsidRPr="00B82E2E" w:rsidRDefault="00612E2D" w:rsidP="00330A15">
      <w:pPr>
        <w:rPr>
          <w:b/>
          <w:sz w:val="44"/>
          <w:szCs w:val="32"/>
        </w:rPr>
      </w:pPr>
      <w:bookmarkStart w:id="0" w:name="_Toc496191378"/>
      <w:r w:rsidRPr="00B82E2E">
        <w:rPr>
          <w:b/>
          <w:sz w:val="44"/>
          <w:szCs w:val="32"/>
        </w:rPr>
        <w:t>Qualification</w:t>
      </w:r>
      <w:bookmarkEnd w:id="0"/>
      <w:r w:rsidR="006B6AAA" w:rsidRPr="00B82E2E">
        <w:rPr>
          <w:b/>
          <w:sz w:val="44"/>
          <w:szCs w:val="32"/>
        </w:rPr>
        <w:t xml:space="preserve"> </w:t>
      </w:r>
    </w:p>
    <w:p w14:paraId="00D2DEFC" w14:textId="77777777" w:rsidR="00AA0BA9" w:rsidRPr="00B82E2E" w:rsidRDefault="00AA0BA9" w:rsidP="00AA0BA9">
      <w:pPr>
        <w:rPr>
          <w:rFonts w:eastAsia="Times New Roman"/>
          <w:b/>
          <w:bCs/>
          <w:shd w:val="clear" w:color="auto" w:fill="FFFFFF"/>
        </w:rPr>
      </w:pPr>
      <w:r w:rsidRPr="00B82E2E">
        <w:rPr>
          <w:rFonts w:eastAsia="Times New Roman"/>
          <w:b/>
          <w:bCs/>
          <w:shd w:val="clear" w:color="auto" w:fill="FFFFFF"/>
        </w:rPr>
        <w:t>Modification History</w:t>
      </w:r>
    </w:p>
    <w:tbl>
      <w:tblPr>
        <w:tblStyle w:val="TableGrid"/>
        <w:tblW w:w="0" w:type="auto"/>
        <w:tblInd w:w="108" w:type="dxa"/>
        <w:tblLook w:val="04A0" w:firstRow="1" w:lastRow="0" w:firstColumn="1" w:lastColumn="0" w:noHBand="0" w:noVBand="1"/>
      </w:tblPr>
      <w:tblGrid>
        <w:gridCol w:w="1021"/>
        <w:gridCol w:w="7887"/>
      </w:tblGrid>
      <w:tr w:rsidR="00A3173B" w:rsidRPr="00B82E2E" w14:paraId="7DE18B71" w14:textId="77777777" w:rsidTr="00241A76">
        <w:tc>
          <w:tcPr>
            <w:tcW w:w="1021" w:type="dxa"/>
          </w:tcPr>
          <w:p w14:paraId="34C1195A" w14:textId="77777777" w:rsidR="00AA0BA9" w:rsidRPr="00B82E2E" w:rsidRDefault="00AA0BA9" w:rsidP="00682F8F">
            <w:pPr>
              <w:rPr>
                <w:rFonts w:eastAsia="Times New Roman"/>
                <w:b/>
                <w:shd w:val="clear" w:color="auto" w:fill="FFFFFF"/>
              </w:rPr>
            </w:pPr>
            <w:r w:rsidRPr="00B82E2E">
              <w:rPr>
                <w:rFonts w:eastAsia="Times New Roman"/>
                <w:b/>
                <w:shd w:val="clear" w:color="auto" w:fill="FFFFFF"/>
              </w:rPr>
              <w:t>Release</w:t>
            </w:r>
          </w:p>
        </w:tc>
        <w:tc>
          <w:tcPr>
            <w:tcW w:w="7887" w:type="dxa"/>
          </w:tcPr>
          <w:p w14:paraId="6EF66730" w14:textId="77777777" w:rsidR="00AA0BA9" w:rsidRPr="00B82E2E" w:rsidRDefault="00AA0BA9" w:rsidP="00682F8F">
            <w:pPr>
              <w:rPr>
                <w:rFonts w:eastAsia="Times New Roman"/>
                <w:b/>
                <w:shd w:val="clear" w:color="auto" w:fill="FFFFFF"/>
              </w:rPr>
            </w:pPr>
            <w:r w:rsidRPr="00B82E2E">
              <w:rPr>
                <w:rFonts w:eastAsia="Times New Roman"/>
                <w:b/>
                <w:shd w:val="clear" w:color="auto" w:fill="FFFFFF"/>
              </w:rPr>
              <w:t>Comments</w:t>
            </w:r>
          </w:p>
        </w:tc>
      </w:tr>
      <w:tr w:rsidR="003366AB" w:rsidRPr="00B82E2E" w14:paraId="5B5D9915" w14:textId="77777777" w:rsidTr="00241A76">
        <w:tc>
          <w:tcPr>
            <w:tcW w:w="1021" w:type="dxa"/>
          </w:tcPr>
          <w:p w14:paraId="50AF5EF8" w14:textId="7C383C16" w:rsidR="00AA0BA9" w:rsidRPr="00B82E2E" w:rsidRDefault="00B26C2F" w:rsidP="00682F8F">
            <w:pPr>
              <w:rPr>
                <w:rFonts w:eastAsia="Times New Roman"/>
                <w:shd w:val="clear" w:color="auto" w:fill="FFFFFF"/>
              </w:rPr>
            </w:pPr>
            <w:r>
              <w:rPr>
                <w:rFonts w:eastAsia="Times New Roman"/>
                <w:shd w:val="clear" w:color="auto" w:fill="FFFFFF"/>
              </w:rPr>
              <w:t>1</w:t>
            </w:r>
          </w:p>
        </w:tc>
        <w:tc>
          <w:tcPr>
            <w:tcW w:w="7887" w:type="dxa"/>
          </w:tcPr>
          <w:p w14:paraId="2BB6C548" w14:textId="77777777" w:rsidR="00B26C2F" w:rsidRPr="00B26C2F" w:rsidRDefault="00B26C2F" w:rsidP="00B26C2F">
            <w:pPr>
              <w:spacing w:after="0"/>
              <w:rPr>
                <w:rFonts w:eastAsia="Times New Roman"/>
                <w:shd w:val="clear" w:color="auto" w:fill="FFFFFF"/>
              </w:rPr>
            </w:pPr>
            <w:r w:rsidRPr="00B26C2F">
              <w:rPr>
                <w:rFonts w:eastAsia="Times New Roman"/>
                <w:shd w:val="clear" w:color="auto" w:fill="FFFFFF"/>
              </w:rPr>
              <w:t>Supersedes and replaces CPC30313 Certificate III in Concreting.</w:t>
            </w:r>
          </w:p>
          <w:p w14:paraId="1DBB3359" w14:textId="77777777" w:rsidR="00B26C2F" w:rsidRPr="00B26C2F" w:rsidRDefault="00B26C2F" w:rsidP="00B26C2F">
            <w:pPr>
              <w:spacing w:after="0"/>
              <w:rPr>
                <w:rFonts w:eastAsia="Times New Roman"/>
                <w:shd w:val="clear" w:color="auto" w:fill="FFFFFF"/>
              </w:rPr>
            </w:pPr>
            <w:r w:rsidRPr="00B26C2F">
              <w:rPr>
                <w:rFonts w:eastAsia="Times New Roman"/>
                <w:shd w:val="clear" w:color="auto" w:fill="FFFFFF"/>
              </w:rPr>
              <w:t>The unit of competency was updated to the Standards for Training Packages 2012.</w:t>
            </w:r>
          </w:p>
          <w:p w14:paraId="72DB1FBD" w14:textId="194C740C" w:rsidR="00AA0BA9" w:rsidRPr="00B82E2E" w:rsidRDefault="00B26C2F" w:rsidP="00B26C2F">
            <w:pPr>
              <w:spacing w:after="0"/>
              <w:rPr>
                <w:rFonts w:eastAsia="Times New Roman"/>
                <w:shd w:val="clear" w:color="auto" w:fill="FFFFFF"/>
              </w:rPr>
            </w:pPr>
            <w:r w:rsidRPr="00B26C2F">
              <w:rPr>
                <w:rFonts w:eastAsia="Times New Roman"/>
                <w:shd w:val="clear" w:color="auto" w:fill="FFFFFF"/>
              </w:rPr>
              <w:t>This version first released with CPC Construction, Plumbing and Services Training Package Version 4.0</w:t>
            </w:r>
            <w:r>
              <w:rPr>
                <w:rFonts w:eastAsia="Times New Roman"/>
                <w:shd w:val="clear" w:color="auto" w:fill="FFFFFF"/>
              </w:rPr>
              <w:t>.</w:t>
            </w:r>
          </w:p>
        </w:tc>
      </w:tr>
      <w:tr w:rsidR="00B26C2F" w:rsidRPr="00B82E2E" w14:paraId="3369B588" w14:textId="77777777" w:rsidTr="00241A76">
        <w:tc>
          <w:tcPr>
            <w:tcW w:w="1021" w:type="dxa"/>
          </w:tcPr>
          <w:p w14:paraId="2E0AA9EA" w14:textId="7965FB6B" w:rsidR="00B26C2F" w:rsidRDefault="00B26C2F" w:rsidP="00682F8F">
            <w:pPr>
              <w:rPr>
                <w:rFonts w:eastAsia="Times New Roman"/>
                <w:shd w:val="clear" w:color="auto" w:fill="FFFFFF"/>
              </w:rPr>
            </w:pPr>
            <w:r>
              <w:rPr>
                <w:rFonts w:eastAsia="Times New Roman"/>
                <w:shd w:val="clear" w:color="auto" w:fill="FFFFFF"/>
              </w:rPr>
              <w:t>2</w:t>
            </w:r>
          </w:p>
        </w:tc>
        <w:tc>
          <w:tcPr>
            <w:tcW w:w="7887" w:type="dxa"/>
          </w:tcPr>
          <w:p w14:paraId="0721EAEA" w14:textId="4594A104" w:rsidR="00B26C2F" w:rsidRDefault="00B26C2F" w:rsidP="00B26C2F">
            <w:pPr>
              <w:spacing w:after="0"/>
              <w:rPr>
                <w:rFonts w:eastAsia="Times New Roman"/>
                <w:shd w:val="clear" w:color="auto" w:fill="FFFFFF"/>
              </w:rPr>
            </w:pPr>
            <w:r>
              <w:rPr>
                <w:rFonts w:eastAsia="Times New Roman"/>
                <w:shd w:val="clear" w:color="auto" w:fill="FFFFFF"/>
              </w:rPr>
              <w:t>Supersedes and non-equivalent to CPC30318 Certificate III in Concreting.</w:t>
            </w:r>
          </w:p>
          <w:p w14:paraId="622322CD" w14:textId="2C29DB47" w:rsidR="00B26C2F" w:rsidRDefault="00B26C2F" w:rsidP="00B26C2F">
            <w:pPr>
              <w:spacing w:after="0"/>
              <w:rPr>
                <w:rFonts w:eastAsia="Times New Roman"/>
                <w:shd w:val="clear" w:color="auto" w:fill="FFFFFF"/>
              </w:rPr>
            </w:pPr>
            <w:r>
              <w:rPr>
                <w:rFonts w:eastAsia="Times New Roman"/>
                <w:shd w:val="clear" w:color="auto" w:fill="FFFFFF"/>
              </w:rPr>
              <w:t xml:space="preserve">New entry </w:t>
            </w:r>
            <w:r w:rsidR="00FC3ABE">
              <w:rPr>
                <w:rFonts w:eastAsia="Times New Roman"/>
                <w:shd w:val="clear" w:color="auto" w:fill="FFFFFF"/>
              </w:rPr>
              <w:t xml:space="preserve">and changed core </w:t>
            </w:r>
            <w:r>
              <w:rPr>
                <w:rFonts w:eastAsia="Times New Roman"/>
                <w:shd w:val="clear" w:color="auto" w:fill="FFFFFF"/>
              </w:rPr>
              <w:t>requirements.</w:t>
            </w:r>
          </w:p>
          <w:p w14:paraId="6A2548E0" w14:textId="74EF302F" w:rsidR="00B26C2F" w:rsidRPr="00B26C2F" w:rsidRDefault="00B26C2F" w:rsidP="00B26C2F">
            <w:pPr>
              <w:spacing w:after="0"/>
              <w:rPr>
                <w:rFonts w:eastAsia="Times New Roman"/>
                <w:shd w:val="clear" w:color="auto" w:fill="FFFFFF"/>
              </w:rPr>
            </w:pPr>
            <w:r w:rsidRPr="00B26C2F">
              <w:rPr>
                <w:rFonts w:eastAsia="Times New Roman"/>
                <w:shd w:val="clear" w:color="auto" w:fill="FFFFFF"/>
              </w:rPr>
              <w:t xml:space="preserve">This version first released with CPC Construction, Plumbing and Services Training Package Version </w:t>
            </w:r>
            <w:r>
              <w:rPr>
                <w:rFonts w:eastAsia="Times New Roman"/>
                <w:shd w:val="clear" w:color="auto" w:fill="FFFFFF"/>
              </w:rPr>
              <w:t>6</w:t>
            </w:r>
            <w:r w:rsidRPr="00B26C2F">
              <w:rPr>
                <w:rFonts w:eastAsia="Times New Roman"/>
                <w:shd w:val="clear" w:color="auto" w:fill="FFFFFF"/>
              </w:rPr>
              <w:t>.0</w:t>
            </w:r>
            <w:r>
              <w:rPr>
                <w:rFonts w:eastAsia="Times New Roman"/>
                <w:shd w:val="clear" w:color="auto" w:fill="FFFFFF"/>
              </w:rPr>
              <w:t>.</w:t>
            </w:r>
          </w:p>
        </w:tc>
      </w:tr>
    </w:tbl>
    <w:p w14:paraId="30C6AB8C" w14:textId="77777777" w:rsidR="00AA0BA9" w:rsidRPr="00B82E2E" w:rsidRDefault="00AA0BA9" w:rsidP="006B6AAA">
      <w:pPr>
        <w:rPr>
          <w:b/>
        </w:rPr>
      </w:pPr>
    </w:p>
    <w:p w14:paraId="50AFE96F" w14:textId="270A5CB3" w:rsidR="006B6AAA" w:rsidRPr="00B82E2E" w:rsidRDefault="00AA0BA9" w:rsidP="006B6AAA">
      <w:r w:rsidRPr="00B82E2E">
        <w:rPr>
          <w:b/>
        </w:rPr>
        <w:t>Qualification code</w:t>
      </w:r>
      <w:r w:rsidRPr="00B82E2E">
        <w:t xml:space="preserve"> </w:t>
      </w:r>
      <w:r w:rsidRPr="00B82E2E">
        <w:tab/>
      </w:r>
      <w:r w:rsidR="006E4F6B" w:rsidRPr="00B82E2E">
        <w:t>CPC3</w:t>
      </w:r>
      <w:r w:rsidR="00014F5E" w:rsidRPr="00B82E2E">
        <w:t>0320</w:t>
      </w:r>
    </w:p>
    <w:p w14:paraId="079B1D6C" w14:textId="53122D27" w:rsidR="00AA0BA9" w:rsidRPr="00B82E2E" w:rsidRDefault="00AA0BA9" w:rsidP="00612E2D">
      <w:r w:rsidRPr="00B82E2E">
        <w:rPr>
          <w:b/>
        </w:rPr>
        <w:t>Qualification title</w:t>
      </w:r>
      <w:r w:rsidRPr="00B82E2E">
        <w:t xml:space="preserve"> </w:t>
      </w:r>
      <w:r w:rsidRPr="00B82E2E">
        <w:tab/>
      </w:r>
      <w:r w:rsidR="006E4F6B" w:rsidRPr="00B82E2E">
        <w:t xml:space="preserve">Certificate III in </w:t>
      </w:r>
      <w:r w:rsidR="00014F5E" w:rsidRPr="00B82E2E">
        <w:t>Concreting</w:t>
      </w:r>
    </w:p>
    <w:p w14:paraId="64C46065" w14:textId="77777777" w:rsidR="00612E2D" w:rsidRPr="00B82E2E" w:rsidRDefault="00AA0BA9" w:rsidP="00612E2D">
      <w:pPr>
        <w:rPr>
          <w:b/>
          <w:bCs/>
        </w:rPr>
      </w:pPr>
      <w:r w:rsidRPr="00B82E2E">
        <w:rPr>
          <w:b/>
          <w:bCs/>
        </w:rPr>
        <w:t>Qualification description</w:t>
      </w:r>
    </w:p>
    <w:p w14:paraId="25C39BCC" w14:textId="77777777" w:rsidR="00014F5E" w:rsidRPr="00B82E2E" w:rsidRDefault="00014F5E" w:rsidP="00014F5E">
      <w:bookmarkStart w:id="1" w:name="O_661071"/>
      <w:bookmarkStart w:id="2" w:name="O_661072"/>
      <w:bookmarkEnd w:id="1"/>
      <w:bookmarkEnd w:id="2"/>
      <w:r w:rsidRPr="00B82E2E">
        <w:t>This is a qualification for concreters working in concreting operations on residential and commercial projects.</w:t>
      </w:r>
    </w:p>
    <w:p w14:paraId="5C3CB088" w14:textId="77777777" w:rsidR="00014F5E" w:rsidRPr="00B82E2E" w:rsidRDefault="00014F5E" w:rsidP="00014F5E">
      <w:r w:rsidRPr="00B82E2E">
        <w:t>Occupational titles include:</w:t>
      </w:r>
    </w:p>
    <w:p w14:paraId="1F4D3FEE" w14:textId="77777777" w:rsidR="00014F5E" w:rsidRPr="00B82E2E" w:rsidRDefault="00014F5E" w:rsidP="00014F5E">
      <w:pPr>
        <w:pStyle w:val="ListParagraph"/>
        <w:numPr>
          <w:ilvl w:val="0"/>
          <w:numId w:val="7"/>
        </w:numPr>
        <w:spacing w:before="120" w:after="120" w:line="259" w:lineRule="auto"/>
        <w:rPr>
          <w:sz w:val="22"/>
          <w:szCs w:val="22"/>
        </w:rPr>
      </w:pPr>
      <w:r w:rsidRPr="00B82E2E">
        <w:rPr>
          <w:sz w:val="22"/>
          <w:szCs w:val="22"/>
        </w:rPr>
        <w:t>concreter</w:t>
      </w:r>
    </w:p>
    <w:p w14:paraId="719A3DDD" w14:textId="77777777" w:rsidR="00014F5E" w:rsidRPr="00B82E2E" w:rsidRDefault="00014F5E" w:rsidP="00014F5E">
      <w:pPr>
        <w:pStyle w:val="ListParagraph"/>
        <w:numPr>
          <w:ilvl w:val="0"/>
          <w:numId w:val="7"/>
        </w:numPr>
        <w:spacing w:before="120" w:after="120" w:line="259" w:lineRule="auto"/>
        <w:rPr>
          <w:sz w:val="22"/>
          <w:szCs w:val="22"/>
        </w:rPr>
      </w:pPr>
      <w:r w:rsidRPr="00B82E2E">
        <w:rPr>
          <w:sz w:val="22"/>
          <w:szCs w:val="22"/>
        </w:rPr>
        <w:t>concrete tilt panel fabricator.</w:t>
      </w:r>
    </w:p>
    <w:p w14:paraId="45442E29" w14:textId="77777777" w:rsidR="00014F5E" w:rsidRPr="00B82E2E" w:rsidRDefault="00014F5E" w:rsidP="00014F5E">
      <w:r w:rsidRPr="00B82E2E">
        <w:t>This qualification has core unit of competency requirements that cover common skills for the construction industry, as well as a specialist field of work (i.e. concreting).</w:t>
      </w:r>
    </w:p>
    <w:p w14:paraId="63ABC3DE" w14:textId="77777777" w:rsidR="00014F5E" w:rsidRPr="00B82E2E" w:rsidRDefault="00014F5E" w:rsidP="00014F5E">
      <w:r w:rsidRPr="00B82E2E">
        <w:t>The construction industry strongly affirms that training and assessment leading to recognition of skills must be undertaken in an actual workplace or very closely simulated workplace environment, and this qualification requires all units of competency to be delivered in this context.</w:t>
      </w:r>
    </w:p>
    <w:p w14:paraId="56D40748" w14:textId="4F8607D8" w:rsidR="00AA0BA9" w:rsidRPr="00B82E2E" w:rsidRDefault="00014F5E" w:rsidP="00014F5E">
      <w:r w:rsidRPr="00B82E2E">
        <w:t>Licensing, legislative, regulatory or certification requirements apply to concreting in some states and territories.  For further information, check with the relevant regulatory authority.</w:t>
      </w:r>
    </w:p>
    <w:p w14:paraId="64E76F90" w14:textId="77777777" w:rsidR="00AA0BA9" w:rsidRPr="00B82E2E" w:rsidRDefault="00AA0BA9" w:rsidP="00612E2D">
      <w:pPr>
        <w:rPr>
          <w:b/>
          <w:bCs/>
        </w:rPr>
      </w:pPr>
      <w:r w:rsidRPr="00B82E2E">
        <w:rPr>
          <w:b/>
          <w:bCs/>
        </w:rPr>
        <w:t>Entry requirements</w:t>
      </w:r>
    </w:p>
    <w:p w14:paraId="1DAFDDA0" w14:textId="7DA97862" w:rsidR="00AA0BA9" w:rsidRPr="00B82E2E" w:rsidRDefault="00D61850" w:rsidP="00612E2D">
      <w:r>
        <w:t>CPCCWHS1001 Prepare to work safely in the construction industry</w:t>
      </w:r>
      <w:r w:rsidR="00AA0BA9" w:rsidRPr="00B82E2E">
        <w:t>.</w:t>
      </w:r>
    </w:p>
    <w:p w14:paraId="7ED615B1" w14:textId="77777777" w:rsidR="00612E2D" w:rsidRPr="00B82E2E" w:rsidRDefault="00AA0BA9" w:rsidP="00612E2D">
      <w:pPr>
        <w:rPr>
          <w:b/>
          <w:bCs/>
        </w:rPr>
      </w:pPr>
      <w:r w:rsidRPr="00B82E2E">
        <w:rPr>
          <w:b/>
          <w:bCs/>
        </w:rPr>
        <w:t>Packaging rules</w:t>
      </w:r>
      <w:r w:rsidR="003366AB" w:rsidRPr="00B82E2E">
        <w:rPr>
          <w:b/>
          <w:bCs/>
        </w:rPr>
        <w:t xml:space="preserve"> </w:t>
      </w:r>
    </w:p>
    <w:p w14:paraId="760B2DF2" w14:textId="77777777" w:rsidR="00AA0BA9" w:rsidRPr="00D61850" w:rsidRDefault="00AA0BA9" w:rsidP="000D61F7">
      <w:pPr>
        <w:pStyle w:val="BodyText"/>
        <w:spacing w:line="240" w:lineRule="auto"/>
      </w:pPr>
      <w:r w:rsidRPr="00D61850">
        <w:t>To achieve this qualification, competency must be demonstrated in:</w:t>
      </w:r>
    </w:p>
    <w:p w14:paraId="25EE867D" w14:textId="4851BF2E" w:rsidR="00AA0BA9" w:rsidRPr="00D61850" w:rsidRDefault="00C6522E" w:rsidP="000D61F7">
      <w:pPr>
        <w:numPr>
          <w:ilvl w:val="0"/>
          <w:numId w:val="4"/>
        </w:numPr>
        <w:spacing w:after="120" w:line="240" w:lineRule="auto"/>
        <w:ind w:hanging="357"/>
      </w:pPr>
      <w:bookmarkStart w:id="3" w:name="_Hlk14774805"/>
      <w:r w:rsidRPr="00D61850">
        <w:t xml:space="preserve">22 </w:t>
      </w:r>
      <w:r w:rsidR="00AA0BA9" w:rsidRPr="00D61850">
        <w:t>units of competency:</w:t>
      </w:r>
    </w:p>
    <w:p w14:paraId="4AAA40B4" w14:textId="519F5C5B" w:rsidR="00AA0BA9" w:rsidRPr="00D61850" w:rsidRDefault="00C6522E" w:rsidP="000D61F7">
      <w:pPr>
        <w:numPr>
          <w:ilvl w:val="1"/>
          <w:numId w:val="6"/>
        </w:numPr>
        <w:spacing w:after="120" w:line="240" w:lineRule="auto"/>
        <w:ind w:hanging="357"/>
      </w:pPr>
      <w:r w:rsidRPr="00D61850">
        <w:t xml:space="preserve">17 </w:t>
      </w:r>
      <w:r w:rsidR="00AA0BA9" w:rsidRPr="00D61850">
        <w:t>core units</w:t>
      </w:r>
    </w:p>
    <w:p w14:paraId="00810453" w14:textId="42BFBF00" w:rsidR="00AA0BA9" w:rsidRPr="00D61850" w:rsidRDefault="007B382A" w:rsidP="000D61F7">
      <w:pPr>
        <w:numPr>
          <w:ilvl w:val="1"/>
          <w:numId w:val="6"/>
        </w:numPr>
        <w:spacing w:after="120" w:line="240" w:lineRule="auto"/>
        <w:ind w:hanging="357"/>
      </w:pPr>
      <w:r w:rsidRPr="00D61850">
        <w:t>5</w:t>
      </w:r>
      <w:r w:rsidR="00AA0BA9" w:rsidRPr="00D61850">
        <w:t xml:space="preserve"> elective units.</w:t>
      </w:r>
    </w:p>
    <w:bookmarkEnd w:id="3"/>
    <w:p w14:paraId="708F89D7" w14:textId="49CE6719" w:rsidR="00AA0BA9" w:rsidRPr="00B82E2E" w:rsidRDefault="007B382A" w:rsidP="000D61F7">
      <w:pPr>
        <w:spacing w:after="120" w:line="240" w:lineRule="auto"/>
        <w:rPr>
          <w:rFonts w:cs="Calibri"/>
        </w:rPr>
      </w:pPr>
      <w:r w:rsidRPr="00B82E2E">
        <w:rPr>
          <w:rFonts w:cs="Calibri"/>
        </w:rPr>
        <w:t>For the elective units:</w:t>
      </w:r>
    </w:p>
    <w:p w14:paraId="46C6994E" w14:textId="79BAD4C3" w:rsidR="007B382A" w:rsidRPr="00B82E2E" w:rsidRDefault="007B382A" w:rsidP="000D61F7">
      <w:pPr>
        <w:numPr>
          <w:ilvl w:val="0"/>
          <w:numId w:val="4"/>
        </w:numPr>
        <w:spacing w:after="120" w:line="240" w:lineRule="auto"/>
        <w:ind w:hanging="357"/>
      </w:pPr>
      <w:r w:rsidRPr="00B82E2E">
        <w:t>a minimum of 3 units are to be selected from group A units listed below</w:t>
      </w:r>
    </w:p>
    <w:p w14:paraId="5A27A280" w14:textId="4D8C309F" w:rsidR="007B382A" w:rsidRPr="00B82E2E" w:rsidRDefault="007B382A" w:rsidP="000D61F7">
      <w:pPr>
        <w:numPr>
          <w:ilvl w:val="0"/>
          <w:numId w:val="4"/>
        </w:numPr>
        <w:spacing w:after="120" w:line="240" w:lineRule="auto"/>
        <w:ind w:hanging="357"/>
      </w:pPr>
      <w:r w:rsidRPr="00B82E2E">
        <w:lastRenderedPageBreak/>
        <w:t>the remaining 2 elective units may be selected from:</w:t>
      </w:r>
    </w:p>
    <w:p w14:paraId="4BF41343" w14:textId="6D6002C7" w:rsidR="007B382A" w:rsidRPr="00B82E2E" w:rsidRDefault="007B382A" w:rsidP="000D61F7">
      <w:pPr>
        <w:numPr>
          <w:ilvl w:val="1"/>
          <w:numId w:val="6"/>
        </w:numPr>
        <w:spacing w:after="120" w:line="240" w:lineRule="auto"/>
        <w:ind w:hanging="357"/>
      </w:pPr>
      <w:r w:rsidRPr="00B82E2E">
        <w:t>group A units not already selected</w:t>
      </w:r>
    </w:p>
    <w:p w14:paraId="697CE634" w14:textId="77777777" w:rsidR="007B382A" w:rsidRPr="00B82E2E" w:rsidRDefault="007B382A" w:rsidP="000D61F7">
      <w:pPr>
        <w:numPr>
          <w:ilvl w:val="1"/>
          <w:numId w:val="6"/>
        </w:numPr>
        <w:spacing w:after="120" w:line="240" w:lineRule="auto"/>
        <w:ind w:hanging="357"/>
      </w:pPr>
      <w:r w:rsidRPr="00B82E2E">
        <w:t>group B units listed below</w:t>
      </w:r>
    </w:p>
    <w:p w14:paraId="6D93C794" w14:textId="7C589266" w:rsidR="007B382A" w:rsidRPr="00B82E2E" w:rsidRDefault="007B382A" w:rsidP="000D61F7">
      <w:pPr>
        <w:numPr>
          <w:ilvl w:val="1"/>
          <w:numId w:val="6"/>
        </w:numPr>
        <w:spacing w:after="120" w:line="240" w:lineRule="auto"/>
        <w:ind w:hanging="357"/>
      </w:pPr>
      <w:r w:rsidRPr="00B82E2E">
        <w:t>other units packaged in a Certificate III or Certificate IV qualification in the CPC Construction, Plumbing and Services Training Package, CPC08 Construction, Plumbing and Services Training Package, or other current Training Package or accredited course provided they do not duplicate the outcomes of units already chosen for the qualification.</w:t>
      </w:r>
    </w:p>
    <w:p w14:paraId="4DA7E4F5" w14:textId="77777777" w:rsidR="00AA0BA9" w:rsidRPr="00B82E2E" w:rsidRDefault="00AA0BA9" w:rsidP="00AA0BA9">
      <w:pPr>
        <w:rPr>
          <w:b/>
          <w:bCs/>
        </w:rPr>
      </w:pPr>
      <w:r w:rsidRPr="00B82E2E">
        <w:rPr>
          <w:b/>
          <w:bCs/>
        </w:rPr>
        <w:t>Prerequisite units</w:t>
      </w:r>
    </w:p>
    <w:p w14:paraId="3D0766F1" w14:textId="2F5F5A3E" w:rsidR="00AA0BA9" w:rsidRPr="00B82E2E" w:rsidRDefault="00AA0BA9">
      <w:pPr>
        <w:rPr>
          <w:rFonts w:cs="Calibri"/>
        </w:rPr>
      </w:pPr>
      <w:r w:rsidRPr="00B82E2E">
        <w:rPr>
          <w:rFonts w:cs="Calibri"/>
        </w:rPr>
        <w:t xml:space="preserve">An asterisk (*) against a unit code below indicates that there is a prerequisite requirement that must be met. Prerequisite unit(s) </w:t>
      </w:r>
      <w:r w:rsidRPr="00B82E2E">
        <w:rPr>
          <w:rFonts w:cs="Calibri"/>
          <w:shd w:val="clear" w:color="auto" w:fill="FFFFFF"/>
        </w:rPr>
        <w:t>must be assessed before assessment of any unit of competency with an asterisk. Check the unit of competency for information on specific prerequisite</w:t>
      </w:r>
      <w:r w:rsidR="00B4464F" w:rsidRPr="00B82E2E">
        <w:rPr>
          <w:rFonts w:cs="Calibri"/>
          <w:shd w:val="clear" w:color="auto" w:fill="FFFFFF"/>
        </w:rPr>
        <w:t xml:space="preserve"> </w:t>
      </w:r>
      <w:r w:rsidRPr="00B82E2E">
        <w:rPr>
          <w:rFonts w:cs="Calibri"/>
        </w:rPr>
        <w:t>requirements. All prerequisite requirements are packaged in the qualification.</w:t>
      </w:r>
    </w:p>
    <w:p w14:paraId="60050085" w14:textId="77777777" w:rsidR="00AA0BA9" w:rsidRPr="00B82E2E" w:rsidRDefault="00AA0BA9">
      <w:pPr>
        <w:rPr>
          <w:b/>
        </w:rPr>
      </w:pPr>
      <w:r w:rsidRPr="00B82E2E">
        <w:rPr>
          <w:b/>
        </w:rPr>
        <w:t>Core units</w:t>
      </w:r>
    </w:p>
    <w:tbl>
      <w:tblPr>
        <w:tblStyle w:val="TableGrid"/>
        <w:tblW w:w="9493" w:type="dxa"/>
        <w:tblLook w:val="04A0" w:firstRow="1" w:lastRow="0" w:firstColumn="1" w:lastColumn="0" w:noHBand="0" w:noVBand="1"/>
      </w:tblPr>
      <w:tblGrid>
        <w:gridCol w:w="1571"/>
        <w:gridCol w:w="7922"/>
      </w:tblGrid>
      <w:tr w:rsidR="00BD46A3" w:rsidRPr="00B82E2E" w14:paraId="320D7B4A" w14:textId="77777777" w:rsidTr="00BD46A3">
        <w:tc>
          <w:tcPr>
            <w:tcW w:w="1571" w:type="dxa"/>
          </w:tcPr>
          <w:p w14:paraId="55280937" w14:textId="77777777" w:rsidR="00BD46A3" w:rsidRPr="001E085A" w:rsidRDefault="00BD46A3" w:rsidP="001157D2">
            <w:bookmarkStart w:id="4" w:name="O_661073"/>
            <w:bookmarkEnd w:id="4"/>
            <w:r w:rsidRPr="001E085A">
              <w:t>CPCCCA3002</w:t>
            </w:r>
          </w:p>
        </w:tc>
        <w:tc>
          <w:tcPr>
            <w:tcW w:w="7922" w:type="dxa"/>
          </w:tcPr>
          <w:p w14:paraId="7BF666C8" w14:textId="77777777" w:rsidR="00BD46A3" w:rsidRPr="001E085A" w:rsidRDefault="00BD46A3" w:rsidP="001157D2">
            <w:r w:rsidRPr="001E085A">
              <w:t>Carry out setting out</w:t>
            </w:r>
          </w:p>
        </w:tc>
      </w:tr>
      <w:tr w:rsidR="00BD46A3" w:rsidRPr="00B82E2E" w14:paraId="5E55B24F" w14:textId="77777777" w:rsidTr="00BD46A3">
        <w:tc>
          <w:tcPr>
            <w:tcW w:w="1571" w:type="dxa"/>
          </w:tcPr>
          <w:p w14:paraId="4A3FA68A" w14:textId="77777777" w:rsidR="00BD46A3" w:rsidRPr="00B82E2E" w:rsidRDefault="00BD46A3" w:rsidP="001157D2">
            <w:r w:rsidRPr="00B82E2E">
              <w:t>CPCCCA3028*</w:t>
            </w:r>
          </w:p>
        </w:tc>
        <w:tc>
          <w:tcPr>
            <w:tcW w:w="7922" w:type="dxa"/>
          </w:tcPr>
          <w:p w14:paraId="06E4E21D" w14:textId="77777777" w:rsidR="00BD46A3" w:rsidRPr="00B82E2E" w:rsidRDefault="00BD46A3" w:rsidP="001157D2">
            <w:r w:rsidRPr="00B82E2E">
              <w:t>Erect and dismantle formwork for footings and slabs on ground</w:t>
            </w:r>
          </w:p>
        </w:tc>
      </w:tr>
      <w:tr w:rsidR="00BD46A3" w:rsidRPr="00B82E2E" w14:paraId="6CC19FC7" w14:textId="77777777" w:rsidTr="00BD46A3">
        <w:tc>
          <w:tcPr>
            <w:tcW w:w="1571" w:type="dxa"/>
          </w:tcPr>
          <w:p w14:paraId="18A677EA" w14:textId="77777777" w:rsidR="00BD46A3" w:rsidRPr="00B82E2E" w:rsidRDefault="00BD46A3" w:rsidP="001157D2">
            <w:r w:rsidRPr="00B82E2E">
              <w:t>CPCCCM2001</w:t>
            </w:r>
          </w:p>
        </w:tc>
        <w:tc>
          <w:tcPr>
            <w:tcW w:w="7922" w:type="dxa"/>
          </w:tcPr>
          <w:p w14:paraId="4552FF1C" w14:textId="77777777" w:rsidR="00BD46A3" w:rsidRPr="00B82E2E" w:rsidRDefault="00BD46A3" w:rsidP="001157D2">
            <w:r w:rsidRPr="00B82E2E">
              <w:t>Read and interpret plans and specifications</w:t>
            </w:r>
          </w:p>
        </w:tc>
      </w:tr>
      <w:tr w:rsidR="00BD46A3" w:rsidRPr="00B82E2E" w14:paraId="72CD6478" w14:textId="77777777" w:rsidTr="00BD46A3">
        <w:tc>
          <w:tcPr>
            <w:tcW w:w="1571" w:type="dxa"/>
          </w:tcPr>
          <w:p w14:paraId="5B1B8802" w14:textId="77777777" w:rsidR="00BD46A3" w:rsidRPr="001E464D" w:rsidRDefault="00BD46A3" w:rsidP="001157D2">
            <w:r w:rsidRPr="001E464D">
              <w:t>CPCCCM2002</w:t>
            </w:r>
          </w:p>
        </w:tc>
        <w:tc>
          <w:tcPr>
            <w:tcW w:w="7922" w:type="dxa"/>
          </w:tcPr>
          <w:p w14:paraId="4A3D9229" w14:textId="77777777" w:rsidR="00BD46A3" w:rsidRPr="001E464D" w:rsidRDefault="00BD46A3" w:rsidP="001157D2">
            <w:r w:rsidRPr="001E464D">
              <w:t>Carry out excavation</w:t>
            </w:r>
          </w:p>
        </w:tc>
      </w:tr>
      <w:tr w:rsidR="00BD46A3" w:rsidRPr="00B82E2E" w14:paraId="0471CA5B" w14:textId="77777777" w:rsidTr="00BD46A3">
        <w:tc>
          <w:tcPr>
            <w:tcW w:w="1571" w:type="dxa"/>
          </w:tcPr>
          <w:p w14:paraId="4C94562A" w14:textId="77777777" w:rsidR="00BD46A3" w:rsidRPr="00B82E2E" w:rsidRDefault="00BD46A3" w:rsidP="001157D2">
            <w:r w:rsidRPr="00B82E2E">
              <w:t>CPCCOM1012*</w:t>
            </w:r>
          </w:p>
        </w:tc>
        <w:tc>
          <w:tcPr>
            <w:tcW w:w="7922" w:type="dxa"/>
          </w:tcPr>
          <w:p w14:paraId="71BA6BC9" w14:textId="77777777" w:rsidR="00BD46A3" w:rsidRPr="00B82E2E" w:rsidRDefault="00BD46A3" w:rsidP="001157D2">
            <w:r w:rsidRPr="00B82E2E">
              <w:t>Work effectively and sustainably in the construction industry</w:t>
            </w:r>
          </w:p>
        </w:tc>
      </w:tr>
      <w:tr w:rsidR="00BD46A3" w:rsidRPr="00B82E2E" w14:paraId="32D2D028" w14:textId="77777777" w:rsidTr="00BD46A3">
        <w:tc>
          <w:tcPr>
            <w:tcW w:w="1571" w:type="dxa"/>
          </w:tcPr>
          <w:p w14:paraId="1C6CAFB2" w14:textId="77777777" w:rsidR="00BD46A3" w:rsidRPr="00B82E2E" w:rsidRDefault="00BD46A3" w:rsidP="001157D2">
            <w:r w:rsidRPr="00B82E2E">
              <w:t>CPCCOM1013*</w:t>
            </w:r>
          </w:p>
        </w:tc>
        <w:tc>
          <w:tcPr>
            <w:tcW w:w="7922" w:type="dxa"/>
          </w:tcPr>
          <w:p w14:paraId="109D00B4" w14:textId="77777777" w:rsidR="00BD46A3" w:rsidRPr="00B82E2E" w:rsidRDefault="00BD46A3" w:rsidP="001157D2">
            <w:r w:rsidRPr="00B82E2E">
              <w:t>Plan and organise work</w:t>
            </w:r>
          </w:p>
        </w:tc>
      </w:tr>
      <w:tr w:rsidR="00BD46A3" w:rsidRPr="00B82E2E" w14:paraId="7BE50D48" w14:textId="77777777" w:rsidTr="00BD46A3">
        <w:tc>
          <w:tcPr>
            <w:tcW w:w="1571" w:type="dxa"/>
          </w:tcPr>
          <w:p w14:paraId="5C88509E" w14:textId="77777777" w:rsidR="00BD46A3" w:rsidRPr="00B82E2E" w:rsidRDefault="00BD46A3" w:rsidP="001157D2">
            <w:r w:rsidRPr="00B82E2E">
              <w:t>CPCCOM1014*</w:t>
            </w:r>
          </w:p>
        </w:tc>
        <w:tc>
          <w:tcPr>
            <w:tcW w:w="7922" w:type="dxa"/>
          </w:tcPr>
          <w:p w14:paraId="74899F2D" w14:textId="77777777" w:rsidR="00BD46A3" w:rsidRPr="00B82E2E" w:rsidRDefault="00BD46A3" w:rsidP="001157D2">
            <w:r w:rsidRPr="00B82E2E">
              <w:t>Conduct workplace communication</w:t>
            </w:r>
          </w:p>
        </w:tc>
      </w:tr>
      <w:tr w:rsidR="00BD46A3" w:rsidRPr="00B82E2E" w14:paraId="6126D0A2" w14:textId="77777777" w:rsidTr="00BD46A3">
        <w:tc>
          <w:tcPr>
            <w:tcW w:w="1571" w:type="dxa"/>
          </w:tcPr>
          <w:p w14:paraId="1D3B7F9D" w14:textId="77777777" w:rsidR="00BD46A3" w:rsidRPr="00B82E2E" w:rsidRDefault="00BD46A3" w:rsidP="001157D2">
            <w:r w:rsidRPr="00B82E2E">
              <w:t>CPCCOM1015</w:t>
            </w:r>
          </w:p>
        </w:tc>
        <w:tc>
          <w:tcPr>
            <w:tcW w:w="7922" w:type="dxa"/>
          </w:tcPr>
          <w:p w14:paraId="0E9B78A3" w14:textId="77777777" w:rsidR="00BD46A3" w:rsidRPr="00B82E2E" w:rsidRDefault="00BD46A3" w:rsidP="001157D2">
            <w:r w:rsidRPr="00B82E2E">
              <w:t>Carry out measurements and calculations</w:t>
            </w:r>
          </w:p>
        </w:tc>
      </w:tr>
      <w:tr w:rsidR="00BD46A3" w:rsidRPr="00B82E2E" w14:paraId="65D5A3AF" w14:textId="77777777" w:rsidTr="00BD46A3">
        <w:tc>
          <w:tcPr>
            <w:tcW w:w="1571" w:type="dxa"/>
          </w:tcPr>
          <w:p w14:paraId="291EC719" w14:textId="77777777" w:rsidR="00BD46A3" w:rsidRPr="00B82E2E" w:rsidRDefault="00BD46A3" w:rsidP="001157D2">
            <w:r>
              <w:t>CPCCOM3006</w:t>
            </w:r>
          </w:p>
        </w:tc>
        <w:tc>
          <w:tcPr>
            <w:tcW w:w="7922" w:type="dxa"/>
          </w:tcPr>
          <w:p w14:paraId="1CC8C14F" w14:textId="77777777" w:rsidR="00BD46A3" w:rsidRPr="00B82E2E" w:rsidRDefault="00BD46A3" w:rsidP="001157D2">
            <w:r>
              <w:t>Carry out levelling operations</w:t>
            </w:r>
          </w:p>
        </w:tc>
      </w:tr>
      <w:tr w:rsidR="00BD46A3" w:rsidRPr="00B82E2E" w14:paraId="0ECA42F0" w14:textId="77777777" w:rsidTr="00BD46A3">
        <w:tc>
          <w:tcPr>
            <w:tcW w:w="1571" w:type="dxa"/>
          </w:tcPr>
          <w:p w14:paraId="4FF55188" w14:textId="77777777" w:rsidR="00BD46A3" w:rsidRPr="00B82E2E" w:rsidRDefault="00BD46A3" w:rsidP="001157D2">
            <w:r w:rsidRPr="00B82E2E">
              <w:t>CPCCO</w:t>
            </w:r>
            <w:r>
              <w:t>N</w:t>
            </w:r>
            <w:r w:rsidRPr="00B82E2E">
              <w:t>2021*</w:t>
            </w:r>
          </w:p>
        </w:tc>
        <w:tc>
          <w:tcPr>
            <w:tcW w:w="7922" w:type="dxa"/>
          </w:tcPr>
          <w:p w14:paraId="1145A9E6" w14:textId="77777777" w:rsidR="00BD46A3" w:rsidRPr="00B82E2E" w:rsidRDefault="00BD46A3" w:rsidP="001157D2">
            <w:r w:rsidRPr="00B82E2E">
              <w:t>Handle concreting materials</w:t>
            </w:r>
          </w:p>
        </w:tc>
      </w:tr>
      <w:tr w:rsidR="00BD46A3" w:rsidRPr="00B82E2E" w14:paraId="6F231418" w14:textId="77777777" w:rsidTr="00BD46A3">
        <w:tc>
          <w:tcPr>
            <w:tcW w:w="1571" w:type="dxa"/>
          </w:tcPr>
          <w:p w14:paraId="0076A14C" w14:textId="77777777" w:rsidR="00BD46A3" w:rsidRPr="00B82E2E" w:rsidRDefault="00BD46A3" w:rsidP="001157D2">
            <w:r w:rsidRPr="00B82E2E">
              <w:t>CPCCO</w:t>
            </w:r>
            <w:r>
              <w:t>N</w:t>
            </w:r>
            <w:r w:rsidRPr="00B82E2E">
              <w:t>2022*</w:t>
            </w:r>
          </w:p>
        </w:tc>
        <w:tc>
          <w:tcPr>
            <w:tcW w:w="7922" w:type="dxa"/>
          </w:tcPr>
          <w:p w14:paraId="6216853F" w14:textId="77777777" w:rsidR="00BD46A3" w:rsidRPr="00B82E2E" w:rsidRDefault="00BD46A3" w:rsidP="001157D2">
            <w:r w:rsidRPr="00B82E2E">
              <w:t xml:space="preserve">Select, </w:t>
            </w:r>
            <w:r>
              <w:t xml:space="preserve">use </w:t>
            </w:r>
            <w:r w:rsidRPr="00B82E2E">
              <w:t xml:space="preserve">and maintain concreting plant, tools and equipment </w:t>
            </w:r>
          </w:p>
        </w:tc>
      </w:tr>
      <w:tr w:rsidR="00BD46A3" w:rsidRPr="00B82E2E" w14:paraId="0F01F213" w14:textId="77777777" w:rsidTr="00BD46A3">
        <w:tc>
          <w:tcPr>
            <w:tcW w:w="1571" w:type="dxa"/>
          </w:tcPr>
          <w:p w14:paraId="2FC6C4DF" w14:textId="77777777" w:rsidR="00BD46A3" w:rsidRPr="001E085A" w:rsidRDefault="00BD46A3" w:rsidP="001157D2">
            <w:r w:rsidRPr="00B82E2E">
              <w:t>CPCCO</w:t>
            </w:r>
            <w:r>
              <w:t>N</w:t>
            </w:r>
            <w:r w:rsidRPr="00B82E2E">
              <w:t>3035*</w:t>
            </w:r>
          </w:p>
        </w:tc>
        <w:tc>
          <w:tcPr>
            <w:tcW w:w="7922" w:type="dxa"/>
          </w:tcPr>
          <w:p w14:paraId="777B6511" w14:textId="3C7278D8" w:rsidR="00BD46A3" w:rsidRPr="001E085A" w:rsidRDefault="00BD46A3" w:rsidP="001157D2">
            <w:r>
              <w:t xml:space="preserve">Determine </w:t>
            </w:r>
            <w:r w:rsidRPr="00B82E2E">
              <w:t>concrete supply requirements</w:t>
            </w:r>
          </w:p>
        </w:tc>
      </w:tr>
      <w:tr w:rsidR="00BD46A3" w:rsidRPr="00B82E2E" w14:paraId="45D1021D" w14:textId="77777777" w:rsidTr="00BD46A3">
        <w:tc>
          <w:tcPr>
            <w:tcW w:w="1571" w:type="dxa"/>
          </w:tcPr>
          <w:p w14:paraId="58B0690B" w14:textId="77777777" w:rsidR="00BD46A3" w:rsidRPr="00B82E2E" w:rsidRDefault="00BD46A3" w:rsidP="001157D2">
            <w:r w:rsidRPr="00B82E2E">
              <w:t>CPCCO</w:t>
            </w:r>
            <w:r>
              <w:t>N</w:t>
            </w:r>
            <w:r w:rsidRPr="00B82E2E">
              <w:t>3041*</w:t>
            </w:r>
          </w:p>
        </w:tc>
        <w:tc>
          <w:tcPr>
            <w:tcW w:w="7922" w:type="dxa"/>
          </w:tcPr>
          <w:p w14:paraId="02BAA6F0" w14:textId="77777777" w:rsidR="00BD46A3" w:rsidRPr="00B82E2E" w:rsidRDefault="00BD46A3" w:rsidP="001157D2">
            <w:r w:rsidRPr="00B82E2E">
              <w:t>Place concrete</w:t>
            </w:r>
          </w:p>
        </w:tc>
      </w:tr>
      <w:tr w:rsidR="00BD46A3" w:rsidRPr="00B82E2E" w14:paraId="163B8763" w14:textId="77777777" w:rsidTr="00BD46A3">
        <w:tc>
          <w:tcPr>
            <w:tcW w:w="1571" w:type="dxa"/>
          </w:tcPr>
          <w:p w14:paraId="7E4AE4E1" w14:textId="77777777" w:rsidR="00BD46A3" w:rsidRPr="00B82E2E" w:rsidRDefault="00BD46A3" w:rsidP="001157D2">
            <w:r w:rsidRPr="00B82E2E">
              <w:t>CPCCO</w:t>
            </w:r>
            <w:r>
              <w:t>N</w:t>
            </w:r>
            <w:r w:rsidRPr="00B82E2E">
              <w:t>3042*</w:t>
            </w:r>
          </w:p>
        </w:tc>
        <w:tc>
          <w:tcPr>
            <w:tcW w:w="7922" w:type="dxa"/>
          </w:tcPr>
          <w:p w14:paraId="1A3B7D7B" w14:textId="77777777" w:rsidR="00BD46A3" w:rsidRPr="00B82E2E" w:rsidRDefault="00BD46A3" w:rsidP="001157D2">
            <w:r w:rsidRPr="00B82E2E">
              <w:t>Finish concrete</w:t>
            </w:r>
          </w:p>
        </w:tc>
      </w:tr>
      <w:tr w:rsidR="00BD46A3" w:rsidRPr="00B82E2E" w14:paraId="531E4C4C" w14:textId="77777777" w:rsidTr="00BD46A3">
        <w:tc>
          <w:tcPr>
            <w:tcW w:w="1571" w:type="dxa"/>
          </w:tcPr>
          <w:p w14:paraId="04C590B3" w14:textId="77777777" w:rsidR="00BD46A3" w:rsidRPr="00B82E2E" w:rsidRDefault="00BD46A3" w:rsidP="001157D2">
            <w:r w:rsidRPr="00B82E2E">
              <w:t>CPCCO</w:t>
            </w:r>
            <w:r>
              <w:t>N</w:t>
            </w:r>
            <w:r w:rsidRPr="00B82E2E">
              <w:t>3043*</w:t>
            </w:r>
          </w:p>
        </w:tc>
        <w:tc>
          <w:tcPr>
            <w:tcW w:w="7922" w:type="dxa"/>
          </w:tcPr>
          <w:p w14:paraId="2A4CCB31" w14:textId="77777777" w:rsidR="00BD46A3" w:rsidRPr="00B82E2E" w:rsidRDefault="00BD46A3" w:rsidP="001157D2">
            <w:r w:rsidRPr="00B82E2E">
              <w:t>Cure concrete</w:t>
            </w:r>
          </w:p>
        </w:tc>
      </w:tr>
      <w:tr w:rsidR="00BD46A3" w:rsidRPr="00B82E2E" w14:paraId="3067F815" w14:textId="77777777" w:rsidTr="00BD46A3">
        <w:tc>
          <w:tcPr>
            <w:tcW w:w="1571" w:type="dxa"/>
          </w:tcPr>
          <w:p w14:paraId="4C61CF8F" w14:textId="77777777" w:rsidR="00BD46A3" w:rsidRPr="00B82E2E" w:rsidRDefault="00BD46A3" w:rsidP="001157D2">
            <w:r w:rsidRPr="00B82E2E">
              <w:t>CPCCSF2004*</w:t>
            </w:r>
          </w:p>
        </w:tc>
        <w:tc>
          <w:tcPr>
            <w:tcW w:w="7922" w:type="dxa"/>
          </w:tcPr>
          <w:p w14:paraId="5F647385" w14:textId="77777777" w:rsidR="00BD46A3" w:rsidRPr="00B82E2E" w:rsidRDefault="00BD46A3" w:rsidP="001157D2">
            <w:r w:rsidRPr="00B82E2E">
              <w:t>Place and fix reinforcement materials</w:t>
            </w:r>
          </w:p>
        </w:tc>
      </w:tr>
      <w:tr w:rsidR="00BD46A3" w:rsidRPr="00B82E2E" w14:paraId="407C56FD" w14:textId="77777777" w:rsidTr="00BD46A3">
        <w:tc>
          <w:tcPr>
            <w:tcW w:w="1571" w:type="dxa"/>
          </w:tcPr>
          <w:p w14:paraId="1FA50DE1" w14:textId="77777777" w:rsidR="00BD46A3" w:rsidRPr="00B82E2E" w:rsidRDefault="00BD46A3" w:rsidP="001157D2">
            <w:r w:rsidRPr="00B82E2E">
              <w:t>CPCCWHS2001</w:t>
            </w:r>
          </w:p>
        </w:tc>
        <w:tc>
          <w:tcPr>
            <w:tcW w:w="7922" w:type="dxa"/>
          </w:tcPr>
          <w:p w14:paraId="1A1238D2" w14:textId="77777777" w:rsidR="00BD46A3" w:rsidRPr="00B82E2E" w:rsidRDefault="00BD46A3" w:rsidP="001157D2">
            <w:r w:rsidRPr="00B82E2E">
              <w:t>Apply WHS requirements, policies and procedures in the construction industry</w:t>
            </w:r>
          </w:p>
        </w:tc>
      </w:tr>
    </w:tbl>
    <w:p w14:paraId="687BB97F" w14:textId="58C78250" w:rsidR="00AA0BA9" w:rsidRPr="00B82E2E" w:rsidRDefault="00AA0BA9" w:rsidP="00D72405">
      <w:pPr>
        <w:keepNext/>
        <w:spacing w:before="120"/>
        <w:rPr>
          <w:b/>
        </w:rPr>
      </w:pPr>
      <w:r w:rsidRPr="00B82E2E">
        <w:rPr>
          <w:b/>
        </w:rPr>
        <w:lastRenderedPageBreak/>
        <w:t>Elective units</w:t>
      </w:r>
    </w:p>
    <w:p w14:paraId="5A7A263A" w14:textId="1EC51A7A" w:rsidR="00347495" w:rsidRPr="00B82E2E" w:rsidRDefault="00347495" w:rsidP="00347495">
      <w:pPr>
        <w:keepNext/>
        <w:rPr>
          <w:b/>
        </w:rPr>
      </w:pPr>
      <w:bookmarkStart w:id="5" w:name="_Hlk8832679"/>
      <w:r w:rsidRPr="00B82E2E">
        <w:rPr>
          <w:b/>
        </w:rPr>
        <w:t xml:space="preserve">Group A: </w:t>
      </w:r>
      <w:r w:rsidR="004646AD">
        <w:rPr>
          <w:b/>
        </w:rPr>
        <w:t xml:space="preserve">Specialist </w:t>
      </w:r>
      <w:r w:rsidRPr="00B82E2E">
        <w:rPr>
          <w:b/>
        </w:rPr>
        <w:t>elective units</w:t>
      </w:r>
    </w:p>
    <w:tbl>
      <w:tblPr>
        <w:tblStyle w:val="TableGrid"/>
        <w:tblW w:w="9493" w:type="dxa"/>
        <w:tblLook w:val="04A0" w:firstRow="1" w:lastRow="0" w:firstColumn="1" w:lastColumn="0" w:noHBand="0" w:noVBand="1"/>
      </w:tblPr>
      <w:tblGrid>
        <w:gridCol w:w="1631"/>
        <w:gridCol w:w="7862"/>
      </w:tblGrid>
      <w:tr w:rsidR="00BD46A3" w:rsidRPr="00B82E2E" w14:paraId="096CCA17" w14:textId="77777777" w:rsidTr="00BD46A3">
        <w:tc>
          <w:tcPr>
            <w:tcW w:w="1631" w:type="dxa"/>
          </w:tcPr>
          <w:bookmarkEnd w:id="5"/>
          <w:p w14:paraId="07412573" w14:textId="77777777" w:rsidR="00BD46A3" w:rsidRPr="00B82E2E" w:rsidRDefault="00BD46A3" w:rsidP="00AD70CB">
            <w:r w:rsidRPr="00B82E2E">
              <w:t>CPCCO</w:t>
            </w:r>
            <w:r>
              <w:t>N</w:t>
            </w:r>
            <w:r w:rsidRPr="00B82E2E">
              <w:t>3036*</w:t>
            </w:r>
          </w:p>
        </w:tc>
        <w:tc>
          <w:tcPr>
            <w:tcW w:w="7862" w:type="dxa"/>
          </w:tcPr>
          <w:p w14:paraId="69465071" w14:textId="77777777" w:rsidR="00BD46A3" w:rsidRPr="00B82E2E" w:rsidRDefault="00BD46A3" w:rsidP="00AD70CB">
            <w:r w:rsidRPr="00B82E2E">
              <w:t>Plan concrete work and brief team</w:t>
            </w:r>
          </w:p>
        </w:tc>
      </w:tr>
      <w:tr w:rsidR="00BD46A3" w:rsidRPr="00B82E2E" w14:paraId="458BBE09" w14:textId="77777777" w:rsidTr="00BD46A3">
        <w:tc>
          <w:tcPr>
            <w:tcW w:w="1631" w:type="dxa"/>
          </w:tcPr>
          <w:p w14:paraId="2D9187E8" w14:textId="77777777" w:rsidR="00BD46A3" w:rsidRPr="00B82E2E" w:rsidRDefault="00BD46A3" w:rsidP="00AD70CB">
            <w:r w:rsidRPr="00B82E2E">
              <w:t>CPCCO</w:t>
            </w:r>
            <w:r>
              <w:t>N</w:t>
            </w:r>
            <w:r w:rsidRPr="00B82E2E">
              <w:t>3044*</w:t>
            </w:r>
          </w:p>
        </w:tc>
        <w:tc>
          <w:tcPr>
            <w:tcW w:w="7862" w:type="dxa"/>
          </w:tcPr>
          <w:p w14:paraId="4317A7EC" w14:textId="77777777" w:rsidR="00BD46A3" w:rsidRPr="00B82E2E" w:rsidRDefault="00BD46A3" w:rsidP="00AD70CB">
            <w:r w:rsidRPr="00B82E2E">
              <w:t>Apply decorative finishes to concrete</w:t>
            </w:r>
          </w:p>
        </w:tc>
      </w:tr>
      <w:tr w:rsidR="00BD46A3" w:rsidRPr="00B82E2E" w14:paraId="0437A68D" w14:textId="77777777" w:rsidTr="00BD46A3">
        <w:tc>
          <w:tcPr>
            <w:tcW w:w="1631" w:type="dxa"/>
          </w:tcPr>
          <w:p w14:paraId="1D0643FA" w14:textId="77777777" w:rsidR="00BD46A3" w:rsidRPr="00B82E2E" w:rsidRDefault="00BD46A3" w:rsidP="00AD70CB">
            <w:r w:rsidRPr="00B82E2E">
              <w:t>CPCCO</w:t>
            </w:r>
            <w:r>
              <w:t>N</w:t>
            </w:r>
            <w:r w:rsidRPr="00B82E2E">
              <w:t>3046*</w:t>
            </w:r>
          </w:p>
        </w:tc>
        <w:tc>
          <w:tcPr>
            <w:tcW w:w="7862" w:type="dxa"/>
          </w:tcPr>
          <w:p w14:paraId="146A8618" w14:textId="77777777" w:rsidR="00BD46A3" w:rsidRPr="00B82E2E" w:rsidRDefault="00BD46A3" w:rsidP="00AD70CB">
            <w:r w:rsidRPr="00B82E2E">
              <w:t>Repair and rectify concrete</w:t>
            </w:r>
          </w:p>
        </w:tc>
      </w:tr>
      <w:tr w:rsidR="00BD46A3" w:rsidRPr="00B82E2E" w14:paraId="7A7E77B7" w14:textId="77777777" w:rsidTr="00BD46A3">
        <w:tc>
          <w:tcPr>
            <w:tcW w:w="1631" w:type="dxa"/>
          </w:tcPr>
          <w:p w14:paraId="65FD2F0F" w14:textId="77777777" w:rsidR="00BD46A3" w:rsidRPr="00B82E2E" w:rsidRDefault="00BD46A3" w:rsidP="00AD70CB">
            <w:r w:rsidRPr="00B82E2E">
              <w:t>CPCCO</w:t>
            </w:r>
            <w:r>
              <w:t>N</w:t>
            </w:r>
            <w:r w:rsidRPr="00B82E2E">
              <w:t>3047*</w:t>
            </w:r>
          </w:p>
        </w:tc>
        <w:tc>
          <w:tcPr>
            <w:tcW w:w="7862" w:type="dxa"/>
          </w:tcPr>
          <w:p w14:paraId="3D03495C" w14:textId="77777777" w:rsidR="00BD46A3" w:rsidRPr="00B82E2E" w:rsidRDefault="00BD46A3" w:rsidP="00AD70CB">
            <w:r>
              <w:t>Cut concrete</w:t>
            </w:r>
          </w:p>
        </w:tc>
      </w:tr>
      <w:tr w:rsidR="00BD46A3" w:rsidRPr="00B82E2E" w14:paraId="06E62589" w14:textId="77777777" w:rsidTr="00BD46A3">
        <w:tc>
          <w:tcPr>
            <w:tcW w:w="1631" w:type="dxa"/>
          </w:tcPr>
          <w:p w14:paraId="60C3A848" w14:textId="77777777" w:rsidR="00BD46A3" w:rsidRPr="00B82E2E" w:rsidRDefault="00BD46A3" w:rsidP="00AD70CB">
            <w:r w:rsidRPr="00B82E2E">
              <w:t>CPCCO</w:t>
            </w:r>
            <w:r>
              <w:t>N</w:t>
            </w:r>
            <w:r w:rsidRPr="00B82E2E">
              <w:t>3048*</w:t>
            </w:r>
          </w:p>
        </w:tc>
        <w:tc>
          <w:tcPr>
            <w:tcW w:w="7862" w:type="dxa"/>
          </w:tcPr>
          <w:p w14:paraId="4D1BB549" w14:textId="77777777" w:rsidR="00BD46A3" w:rsidRPr="00B82E2E" w:rsidRDefault="00BD46A3" w:rsidP="00AD70CB">
            <w:r w:rsidRPr="00B82E2E">
              <w:t>Construct tilt panels on site</w:t>
            </w:r>
          </w:p>
        </w:tc>
      </w:tr>
      <w:tr w:rsidR="00BD46A3" w:rsidRPr="00B82E2E" w14:paraId="5CCE174D" w14:textId="77777777" w:rsidTr="00BD46A3">
        <w:tc>
          <w:tcPr>
            <w:tcW w:w="1631" w:type="dxa"/>
          </w:tcPr>
          <w:p w14:paraId="463AA8B9" w14:textId="77777777" w:rsidR="00BD46A3" w:rsidRPr="00B82E2E" w:rsidRDefault="00BD46A3" w:rsidP="00AD70CB">
            <w:r w:rsidRPr="00B82E2E">
              <w:t>CPCCO</w:t>
            </w:r>
            <w:r>
              <w:t>N</w:t>
            </w:r>
            <w:r w:rsidRPr="00B82E2E">
              <w:t>3049*</w:t>
            </w:r>
          </w:p>
        </w:tc>
        <w:tc>
          <w:tcPr>
            <w:tcW w:w="7862" w:type="dxa"/>
          </w:tcPr>
          <w:p w14:paraId="5367A4A3" w14:textId="77777777" w:rsidR="00BD46A3" w:rsidRPr="00B82E2E" w:rsidRDefault="00BD46A3" w:rsidP="00AD70CB">
            <w:r w:rsidRPr="00B82E2E">
              <w:t>Apply and finish sprayed concrete</w:t>
            </w:r>
          </w:p>
        </w:tc>
      </w:tr>
      <w:tr w:rsidR="00BD46A3" w:rsidRPr="00B82E2E" w14:paraId="241F0F8D" w14:textId="77777777" w:rsidTr="00BD46A3">
        <w:tc>
          <w:tcPr>
            <w:tcW w:w="1631" w:type="dxa"/>
          </w:tcPr>
          <w:p w14:paraId="6960BCC9" w14:textId="77777777" w:rsidR="00BD46A3" w:rsidRPr="00B82E2E" w:rsidRDefault="00BD46A3" w:rsidP="00AD70CB">
            <w:r w:rsidRPr="00B82E2E">
              <w:t>CPCCO</w:t>
            </w:r>
            <w:r>
              <w:t>N</w:t>
            </w:r>
            <w:r w:rsidRPr="00B82E2E">
              <w:t>3050*</w:t>
            </w:r>
          </w:p>
        </w:tc>
        <w:tc>
          <w:tcPr>
            <w:tcW w:w="7862" w:type="dxa"/>
          </w:tcPr>
          <w:p w14:paraId="3F3766BA" w14:textId="77777777" w:rsidR="00BD46A3" w:rsidRPr="00B82E2E" w:rsidRDefault="00BD46A3" w:rsidP="00AD70CB">
            <w:r w:rsidRPr="00B82E2E">
              <w:t>Carry out high performance concreting</w:t>
            </w:r>
          </w:p>
        </w:tc>
      </w:tr>
      <w:tr w:rsidR="00BD46A3" w:rsidRPr="00B82E2E" w14:paraId="6A6B4F45" w14:textId="77777777" w:rsidTr="00BD46A3">
        <w:tc>
          <w:tcPr>
            <w:tcW w:w="1631" w:type="dxa"/>
          </w:tcPr>
          <w:p w14:paraId="56A44D18" w14:textId="77777777" w:rsidR="00BD46A3" w:rsidRPr="00B82E2E" w:rsidRDefault="00BD46A3" w:rsidP="00AD70CB">
            <w:r w:rsidRPr="00B82E2E">
              <w:t>CPCCO</w:t>
            </w:r>
            <w:r>
              <w:t>N</w:t>
            </w:r>
            <w:r w:rsidRPr="00B82E2E">
              <w:t>3051*</w:t>
            </w:r>
          </w:p>
        </w:tc>
        <w:tc>
          <w:tcPr>
            <w:tcW w:w="7862" w:type="dxa"/>
          </w:tcPr>
          <w:p w14:paraId="782E6662" w14:textId="77777777" w:rsidR="00BD46A3" w:rsidRPr="00B82E2E" w:rsidRDefault="00BD46A3" w:rsidP="00AD70CB">
            <w:r w:rsidRPr="00B82E2E">
              <w:t>Conduct off-form vertical concrete operations</w:t>
            </w:r>
          </w:p>
        </w:tc>
      </w:tr>
      <w:tr w:rsidR="00BD46A3" w:rsidRPr="00B82E2E" w14:paraId="2EDC519F" w14:textId="77777777" w:rsidTr="00BD46A3">
        <w:tc>
          <w:tcPr>
            <w:tcW w:w="1631" w:type="dxa"/>
          </w:tcPr>
          <w:p w14:paraId="31CD04E0" w14:textId="77777777" w:rsidR="00BD46A3" w:rsidRPr="00B01239" w:rsidRDefault="00BD46A3" w:rsidP="00AD70CB">
            <w:r w:rsidRPr="00B01239">
              <w:t>CPCCO</w:t>
            </w:r>
            <w:r>
              <w:t>N</w:t>
            </w:r>
            <w:r w:rsidRPr="00B01239">
              <w:t>3052*</w:t>
            </w:r>
          </w:p>
        </w:tc>
        <w:tc>
          <w:tcPr>
            <w:tcW w:w="7862" w:type="dxa"/>
          </w:tcPr>
          <w:p w14:paraId="4F13C5EC" w14:textId="43559D7C" w:rsidR="00BD46A3" w:rsidRPr="00E171E9" w:rsidRDefault="00BD46A3" w:rsidP="00AD70CB">
            <w:r w:rsidRPr="00E171E9">
              <w:t>Conduct concrete pump operations</w:t>
            </w:r>
          </w:p>
        </w:tc>
      </w:tr>
      <w:tr w:rsidR="00BD46A3" w:rsidRPr="00B82E2E" w14:paraId="5002F7B2" w14:textId="77777777" w:rsidTr="00BD46A3">
        <w:tc>
          <w:tcPr>
            <w:tcW w:w="1631" w:type="dxa"/>
          </w:tcPr>
          <w:p w14:paraId="55340DDD" w14:textId="77777777" w:rsidR="00BD46A3" w:rsidRPr="008C0043" w:rsidRDefault="00BD46A3" w:rsidP="00667670">
            <w:r w:rsidRPr="008C0043">
              <w:t>CPCCO</w:t>
            </w:r>
            <w:r>
              <w:t>N</w:t>
            </w:r>
            <w:r w:rsidRPr="008C0043">
              <w:t>3053*</w:t>
            </w:r>
          </w:p>
        </w:tc>
        <w:tc>
          <w:tcPr>
            <w:tcW w:w="7862" w:type="dxa"/>
          </w:tcPr>
          <w:p w14:paraId="4904AD9A" w14:textId="77777777" w:rsidR="00BD46A3" w:rsidRPr="008C0043" w:rsidRDefault="00BD46A3" w:rsidP="00667670">
            <w:r w:rsidRPr="008C0043">
              <w:t>Slump-test concrete</w:t>
            </w:r>
          </w:p>
        </w:tc>
      </w:tr>
      <w:tr w:rsidR="00BD46A3" w:rsidRPr="00B82E2E" w14:paraId="321AD5A5" w14:textId="77777777" w:rsidTr="00BD46A3">
        <w:tc>
          <w:tcPr>
            <w:tcW w:w="1631" w:type="dxa"/>
          </w:tcPr>
          <w:p w14:paraId="1CE53F7C" w14:textId="77777777" w:rsidR="00BD46A3" w:rsidRPr="00B82E2E" w:rsidRDefault="00BD46A3" w:rsidP="00AD70CB">
            <w:r w:rsidRPr="00B82E2E">
              <w:t>CPCCO</w:t>
            </w:r>
            <w:r>
              <w:t>N</w:t>
            </w:r>
            <w:r w:rsidRPr="00B82E2E">
              <w:t>3055*</w:t>
            </w:r>
          </w:p>
        </w:tc>
        <w:tc>
          <w:tcPr>
            <w:tcW w:w="7862" w:type="dxa"/>
          </w:tcPr>
          <w:p w14:paraId="21C12707" w14:textId="77777777" w:rsidR="00BD46A3" w:rsidRPr="00B82E2E" w:rsidRDefault="00BD46A3" w:rsidP="00AD70CB">
            <w:r w:rsidRPr="00B82E2E">
              <w:t>Install topping slabs</w:t>
            </w:r>
          </w:p>
        </w:tc>
      </w:tr>
    </w:tbl>
    <w:p w14:paraId="59B99F4B" w14:textId="77777777" w:rsidR="00347495" w:rsidRPr="00B82E2E" w:rsidRDefault="00347495" w:rsidP="00347495">
      <w:pPr>
        <w:keepNext/>
        <w:rPr>
          <w:b/>
        </w:rPr>
      </w:pPr>
      <w:r w:rsidRPr="00B82E2E">
        <w:rPr>
          <w:b/>
        </w:rPr>
        <w:t>Group B: General elective units</w:t>
      </w:r>
    </w:p>
    <w:tbl>
      <w:tblPr>
        <w:tblStyle w:val="TableGrid"/>
        <w:tblW w:w="9493" w:type="dxa"/>
        <w:tblLook w:val="04A0" w:firstRow="1" w:lastRow="0" w:firstColumn="1" w:lastColumn="0" w:noHBand="0" w:noVBand="1"/>
      </w:tblPr>
      <w:tblGrid>
        <w:gridCol w:w="1687"/>
        <w:gridCol w:w="7806"/>
      </w:tblGrid>
      <w:tr w:rsidR="00866CB0" w:rsidRPr="00B82E2E" w14:paraId="7ED3A0C1" w14:textId="77777777" w:rsidTr="00BD46A3">
        <w:tc>
          <w:tcPr>
            <w:tcW w:w="1687" w:type="dxa"/>
          </w:tcPr>
          <w:p w14:paraId="4D82E42F" w14:textId="77777777" w:rsidR="00866CB0" w:rsidRPr="00B82E2E" w:rsidRDefault="00866CB0" w:rsidP="005A6EDD">
            <w:r w:rsidRPr="00B82E2E">
              <w:t>CPCCCM2007*</w:t>
            </w:r>
          </w:p>
        </w:tc>
        <w:tc>
          <w:tcPr>
            <w:tcW w:w="7806" w:type="dxa"/>
          </w:tcPr>
          <w:p w14:paraId="3178B565" w14:textId="77777777" w:rsidR="00866CB0" w:rsidRPr="00B82E2E" w:rsidRDefault="00866CB0" w:rsidP="005A6EDD">
            <w:r w:rsidRPr="00B82E2E">
              <w:t>Use explosive power tools</w:t>
            </w:r>
          </w:p>
        </w:tc>
      </w:tr>
      <w:tr w:rsidR="00866CB0" w:rsidRPr="00B82E2E" w14:paraId="6107A122" w14:textId="77777777" w:rsidTr="00BD46A3">
        <w:tc>
          <w:tcPr>
            <w:tcW w:w="1687" w:type="dxa"/>
          </w:tcPr>
          <w:p w14:paraId="17CB0DBE" w14:textId="77777777" w:rsidR="00866CB0" w:rsidRPr="00B82E2E" w:rsidRDefault="00866CB0" w:rsidP="005A6EDD">
            <w:r w:rsidRPr="00B82E2E">
              <w:t>CPCCCM2008*</w:t>
            </w:r>
          </w:p>
        </w:tc>
        <w:tc>
          <w:tcPr>
            <w:tcW w:w="7806" w:type="dxa"/>
          </w:tcPr>
          <w:p w14:paraId="63DAEECA" w14:textId="77777777" w:rsidR="00866CB0" w:rsidRPr="00B82E2E" w:rsidRDefault="00866CB0" w:rsidP="005A6EDD">
            <w:r w:rsidRPr="00B82E2E">
              <w:t xml:space="preserve">Erect and dismantle restricted height scaffolding </w:t>
            </w:r>
          </w:p>
        </w:tc>
      </w:tr>
      <w:tr w:rsidR="00866CB0" w:rsidRPr="00B82E2E" w14:paraId="5E487DF4" w14:textId="77777777" w:rsidTr="00BD46A3">
        <w:tc>
          <w:tcPr>
            <w:tcW w:w="1687" w:type="dxa"/>
          </w:tcPr>
          <w:p w14:paraId="7CBD88D0" w14:textId="77777777" w:rsidR="00866CB0" w:rsidRPr="007A01D2" w:rsidRDefault="00866CB0" w:rsidP="00667670">
            <w:r w:rsidRPr="00332BBB">
              <w:t>CPCCCM2012*</w:t>
            </w:r>
          </w:p>
        </w:tc>
        <w:tc>
          <w:tcPr>
            <w:tcW w:w="7806" w:type="dxa"/>
          </w:tcPr>
          <w:p w14:paraId="0E36903F" w14:textId="77777777" w:rsidR="00866CB0" w:rsidRPr="007A01D2" w:rsidRDefault="00866CB0" w:rsidP="00667670">
            <w:r w:rsidRPr="00332BBB">
              <w:t>Work safely at heights</w:t>
            </w:r>
          </w:p>
        </w:tc>
      </w:tr>
      <w:tr w:rsidR="00866CB0" w:rsidRPr="00B82E2E" w14:paraId="334F435F" w14:textId="77777777" w:rsidTr="00BD46A3">
        <w:tc>
          <w:tcPr>
            <w:tcW w:w="1687" w:type="dxa"/>
          </w:tcPr>
          <w:p w14:paraId="1E14D4E8" w14:textId="77777777" w:rsidR="00866CB0" w:rsidRPr="00E25F68" w:rsidRDefault="00866CB0" w:rsidP="007A01D2">
            <w:r w:rsidRPr="00E25F68">
              <w:t>CPCCLBM3001</w:t>
            </w:r>
          </w:p>
        </w:tc>
        <w:tc>
          <w:tcPr>
            <w:tcW w:w="7806" w:type="dxa"/>
          </w:tcPr>
          <w:p w14:paraId="203884E7" w14:textId="77777777" w:rsidR="00866CB0" w:rsidRPr="00E25F68" w:rsidRDefault="00866CB0" w:rsidP="007A01D2">
            <w:r w:rsidRPr="00E25F68">
              <w:t xml:space="preserve">Licence to operate a concrete placing boom </w:t>
            </w:r>
          </w:p>
        </w:tc>
      </w:tr>
      <w:tr w:rsidR="00866CB0" w:rsidRPr="00B82E2E" w14:paraId="5A230919" w14:textId="77777777" w:rsidTr="00BD46A3">
        <w:tc>
          <w:tcPr>
            <w:tcW w:w="1687" w:type="dxa"/>
          </w:tcPr>
          <w:p w14:paraId="02D868DC" w14:textId="77777777" w:rsidR="00866CB0" w:rsidRPr="00B82E2E" w:rsidRDefault="00866CB0" w:rsidP="005A6EDD">
            <w:r w:rsidRPr="00B82E2E">
              <w:t>CPCC</w:t>
            </w:r>
            <w:r>
              <w:t>O</w:t>
            </w:r>
            <w:r w:rsidRPr="00B82E2E">
              <w:t>M1016</w:t>
            </w:r>
            <w:r>
              <w:t>*</w:t>
            </w:r>
          </w:p>
        </w:tc>
        <w:tc>
          <w:tcPr>
            <w:tcW w:w="7806" w:type="dxa"/>
          </w:tcPr>
          <w:p w14:paraId="433B6F20" w14:textId="77777777" w:rsidR="00866CB0" w:rsidRPr="00B82E2E" w:rsidRDefault="00866CB0" w:rsidP="005A6EDD">
            <w:r w:rsidRPr="00B82E2E">
              <w:t>Identify requirements f</w:t>
            </w:r>
            <w:bookmarkStart w:id="6" w:name="_GoBack"/>
            <w:bookmarkEnd w:id="6"/>
            <w:r w:rsidRPr="00B82E2E">
              <w:t>or safe</w:t>
            </w:r>
            <w:r>
              <w:t xml:space="preserve"> precast and</w:t>
            </w:r>
            <w:r w:rsidRPr="00B82E2E">
              <w:t xml:space="preserve"> tilt-up work</w:t>
            </w:r>
          </w:p>
        </w:tc>
      </w:tr>
      <w:tr w:rsidR="00866CB0" w:rsidRPr="00B82E2E" w14:paraId="63AC975F" w14:textId="77777777" w:rsidTr="00BD46A3">
        <w:tc>
          <w:tcPr>
            <w:tcW w:w="1687" w:type="dxa"/>
          </w:tcPr>
          <w:p w14:paraId="0D20F933" w14:textId="77777777" w:rsidR="00866CB0" w:rsidRPr="00B01239" w:rsidRDefault="00866CB0" w:rsidP="00667670">
            <w:r w:rsidRPr="00B01239">
              <w:t>CPCCO</w:t>
            </w:r>
            <w:r>
              <w:t>N</w:t>
            </w:r>
            <w:r w:rsidRPr="00B01239">
              <w:t>3054*</w:t>
            </w:r>
          </w:p>
        </w:tc>
        <w:tc>
          <w:tcPr>
            <w:tcW w:w="7806" w:type="dxa"/>
          </w:tcPr>
          <w:p w14:paraId="4504C955" w14:textId="77777777" w:rsidR="00866CB0" w:rsidRPr="00B01239" w:rsidRDefault="00866CB0" w:rsidP="00667670">
            <w:r w:rsidRPr="00B01239">
              <w:t>Operate concrete agitator trucks</w:t>
            </w:r>
          </w:p>
        </w:tc>
      </w:tr>
      <w:tr w:rsidR="00866CB0" w:rsidRPr="00B82E2E" w14:paraId="5B91DA82" w14:textId="77777777" w:rsidTr="00BD46A3">
        <w:tc>
          <w:tcPr>
            <w:tcW w:w="1687" w:type="dxa"/>
          </w:tcPr>
          <w:p w14:paraId="6F37FB04" w14:textId="77777777" w:rsidR="00866CB0" w:rsidRPr="00B82E2E" w:rsidRDefault="00866CB0" w:rsidP="007A01D2">
            <w:r w:rsidRPr="00B82E2E">
              <w:t>CPCCSF2003*</w:t>
            </w:r>
          </w:p>
        </w:tc>
        <w:tc>
          <w:tcPr>
            <w:tcW w:w="7806" w:type="dxa"/>
          </w:tcPr>
          <w:p w14:paraId="51A5AAAF" w14:textId="77777777" w:rsidR="00866CB0" w:rsidRPr="00B82E2E" w:rsidRDefault="00866CB0" w:rsidP="007A01D2">
            <w:r w:rsidRPr="00B82E2E">
              <w:t>Cut and bend materials using oxy-LPG equipment</w:t>
            </w:r>
          </w:p>
        </w:tc>
      </w:tr>
      <w:tr w:rsidR="00866CB0" w:rsidRPr="00B82E2E" w14:paraId="4D648475" w14:textId="77777777" w:rsidTr="00BD46A3">
        <w:tc>
          <w:tcPr>
            <w:tcW w:w="1687" w:type="dxa"/>
          </w:tcPr>
          <w:p w14:paraId="05788C64" w14:textId="77777777" w:rsidR="00866CB0" w:rsidRPr="00B82E2E" w:rsidRDefault="00866CB0" w:rsidP="00A16178">
            <w:r w:rsidRPr="00B82E2E">
              <w:t>CPCCSF3001*</w:t>
            </w:r>
          </w:p>
        </w:tc>
        <w:tc>
          <w:tcPr>
            <w:tcW w:w="7806" w:type="dxa"/>
          </w:tcPr>
          <w:p w14:paraId="7CAE7FA9" w14:textId="77777777" w:rsidR="00866CB0" w:rsidRPr="00B82E2E" w:rsidRDefault="00866CB0" w:rsidP="00A16178">
            <w:r w:rsidRPr="00B82E2E">
              <w:t>Apply reinforcement schedule</w:t>
            </w:r>
          </w:p>
        </w:tc>
      </w:tr>
    </w:tbl>
    <w:p w14:paraId="1942425B" w14:textId="45D724D7" w:rsidR="00612E2D" w:rsidRPr="00B82E2E" w:rsidRDefault="00AA0BA9" w:rsidP="00555AF7">
      <w:pPr>
        <w:spacing w:before="120"/>
        <w:rPr>
          <w:b/>
          <w:bCs/>
        </w:rPr>
      </w:pPr>
      <w:r w:rsidRPr="00B82E2E">
        <w:rPr>
          <w:b/>
          <w:bCs/>
        </w:rPr>
        <w:t>Qualification mapping information</w:t>
      </w:r>
    </w:p>
    <w:p w14:paraId="1DF865D1" w14:textId="2549D814" w:rsidR="008710D4" w:rsidRPr="00B82E2E" w:rsidRDefault="00AA0BA9" w:rsidP="00612E2D">
      <w:pPr>
        <w:rPr>
          <w:b/>
          <w:bCs/>
        </w:rPr>
      </w:pPr>
      <w:r w:rsidRPr="00B82E2E">
        <w:t xml:space="preserve">Supersedes and is </w:t>
      </w:r>
      <w:r w:rsidR="00D7049E">
        <w:t>non-</w:t>
      </w:r>
      <w:r w:rsidRPr="00B82E2E">
        <w:t xml:space="preserve">equivalent to </w:t>
      </w:r>
      <w:r w:rsidR="00DA01BE" w:rsidRPr="00B82E2E">
        <w:t>CPC30318 Certificate III in Concreting</w:t>
      </w:r>
      <w:r w:rsidRPr="00B82E2E">
        <w:t>.</w:t>
      </w:r>
    </w:p>
    <w:p w14:paraId="5D66C4B6" w14:textId="77777777" w:rsidR="00612E2D" w:rsidRPr="00B82E2E" w:rsidRDefault="00AA0BA9" w:rsidP="00612E2D">
      <w:pPr>
        <w:rPr>
          <w:b/>
          <w:bCs/>
          <w:sz w:val="21"/>
          <w:szCs w:val="21"/>
        </w:rPr>
      </w:pPr>
      <w:bookmarkStart w:id="7" w:name="O_661075"/>
      <w:bookmarkEnd w:id="7"/>
      <w:r w:rsidRPr="00B82E2E">
        <w:rPr>
          <w:b/>
          <w:bCs/>
          <w:sz w:val="21"/>
          <w:szCs w:val="21"/>
        </w:rPr>
        <w:t>Links</w:t>
      </w:r>
    </w:p>
    <w:p w14:paraId="4A956663" w14:textId="46B11997" w:rsidR="00612E2D" w:rsidRPr="00342D03" w:rsidRDefault="00612E2D" w:rsidP="00612E2D">
      <w:pPr>
        <w:pStyle w:val="BodyText"/>
      </w:pPr>
      <w:r w:rsidRPr="00B82E2E">
        <w:t>An Implementation Guide to this Training Package is available at:</w:t>
      </w:r>
      <w:r w:rsidR="00DA01BE" w:rsidRPr="00B82E2E">
        <w:t xml:space="preserve">  </w:t>
      </w:r>
      <w:hyperlink r:id="rId8" w:history="1">
        <w:r w:rsidR="00DA01BE" w:rsidRPr="00B82E2E">
          <w:rPr>
            <w:rStyle w:val="Hyperlink"/>
          </w:rPr>
          <w:t>https://vetnet.education.gov.au/Pages/TrainingDocs.aspx?q=7e15fa6a-68b8-4097-b099-030a5569b1ad</w:t>
        </w:r>
      </w:hyperlink>
      <w:r w:rsidR="00DA01BE">
        <w:rPr>
          <w:rStyle w:val="Hyperlink"/>
        </w:rPr>
        <w:t xml:space="preserve"> </w:t>
      </w:r>
    </w:p>
    <w:sectPr w:rsidR="00612E2D" w:rsidRPr="00342D0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37328" w14:textId="77777777" w:rsidR="005D44C0" w:rsidRDefault="005D44C0" w:rsidP="00B26C2F">
      <w:pPr>
        <w:spacing w:after="0" w:line="240" w:lineRule="auto"/>
      </w:pPr>
      <w:r>
        <w:separator/>
      </w:r>
    </w:p>
  </w:endnote>
  <w:endnote w:type="continuationSeparator" w:id="0">
    <w:p w14:paraId="6CA26A96" w14:textId="77777777" w:rsidR="005D44C0" w:rsidRDefault="005D44C0" w:rsidP="00B2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765EF" w14:textId="77777777" w:rsidR="005D44C0" w:rsidRDefault="005D44C0" w:rsidP="00B26C2F">
      <w:pPr>
        <w:spacing w:after="0" w:line="240" w:lineRule="auto"/>
      </w:pPr>
      <w:r>
        <w:separator/>
      </w:r>
    </w:p>
  </w:footnote>
  <w:footnote w:type="continuationSeparator" w:id="0">
    <w:p w14:paraId="6D271C3D" w14:textId="77777777" w:rsidR="005D44C0" w:rsidRDefault="005D44C0" w:rsidP="00B2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168187"/>
      <w:docPartObj>
        <w:docPartGallery w:val="Watermarks"/>
        <w:docPartUnique/>
      </w:docPartObj>
    </w:sdtPr>
    <w:sdtEndPr/>
    <w:sdtContent>
      <w:p w14:paraId="598BD70B" w14:textId="67D65B21" w:rsidR="00B26C2F" w:rsidRDefault="005D44C0">
        <w:pPr>
          <w:pStyle w:val="Header"/>
        </w:pPr>
        <w:r>
          <w:rPr>
            <w:noProof/>
          </w:rPr>
          <w:pict w14:anchorId="25C99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7AA"/>
    <w:multiLevelType w:val="hybridMultilevel"/>
    <w:tmpl w:val="F7B8D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091E4C"/>
    <w:multiLevelType w:val="hybridMultilevel"/>
    <w:tmpl w:val="25E4E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B1987"/>
    <w:multiLevelType w:val="hybridMultilevel"/>
    <w:tmpl w:val="EFC4B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5" w15:restartNumberingAfterBreak="0">
    <w:nsid w:val="4EC80D9E"/>
    <w:multiLevelType w:val="hybridMultilevel"/>
    <w:tmpl w:val="947CFC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221B3"/>
    <w:multiLevelType w:val="hybridMultilevel"/>
    <w:tmpl w:val="0EB21C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A9"/>
    <w:rsid w:val="00014F5E"/>
    <w:rsid w:val="00016A14"/>
    <w:rsid w:val="0002005D"/>
    <w:rsid w:val="000230B1"/>
    <w:rsid w:val="0003443F"/>
    <w:rsid w:val="00043C8C"/>
    <w:rsid w:val="00063A4F"/>
    <w:rsid w:val="00065594"/>
    <w:rsid w:val="00073597"/>
    <w:rsid w:val="00093556"/>
    <w:rsid w:val="000B56FB"/>
    <w:rsid w:val="000B6792"/>
    <w:rsid w:val="000C36F5"/>
    <w:rsid w:val="000C3CAC"/>
    <w:rsid w:val="000D1203"/>
    <w:rsid w:val="000D35EA"/>
    <w:rsid w:val="000D61F7"/>
    <w:rsid w:val="001157D2"/>
    <w:rsid w:val="00125D5C"/>
    <w:rsid w:val="00131BFF"/>
    <w:rsid w:val="00145EC0"/>
    <w:rsid w:val="00152DD6"/>
    <w:rsid w:val="00154F65"/>
    <w:rsid w:val="001958B6"/>
    <w:rsid w:val="001C3869"/>
    <w:rsid w:val="001D0CFD"/>
    <w:rsid w:val="001D21EC"/>
    <w:rsid w:val="001E085A"/>
    <w:rsid w:val="001E464D"/>
    <w:rsid w:val="001E773F"/>
    <w:rsid w:val="001F42E9"/>
    <w:rsid w:val="00214CA8"/>
    <w:rsid w:val="002214A9"/>
    <w:rsid w:val="0023356A"/>
    <w:rsid w:val="00234F9C"/>
    <w:rsid w:val="00241A76"/>
    <w:rsid w:val="00244E02"/>
    <w:rsid w:val="002461F1"/>
    <w:rsid w:val="0025022E"/>
    <w:rsid w:val="00275118"/>
    <w:rsid w:val="00295A0A"/>
    <w:rsid w:val="002A4CCA"/>
    <w:rsid w:val="002B20CA"/>
    <w:rsid w:val="002B7A54"/>
    <w:rsid w:val="00300FAF"/>
    <w:rsid w:val="00305B78"/>
    <w:rsid w:val="00330A15"/>
    <w:rsid w:val="0033132A"/>
    <w:rsid w:val="00332BBB"/>
    <w:rsid w:val="003366AB"/>
    <w:rsid w:val="0034549D"/>
    <w:rsid w:val="00347495"/>
    <w:rsid w:val="00353472"/>
    <w:rsid w:val="003A3758"/>
    <w:rsid w:val="003A59C6"/>
    <w:rsid w:val="003B6B4E"/>
    <w:rsid w:val="003C5FE7"/>
    <w:rsid w:val="003F15B7"/>
    <w:rsid w:val="003F598B"/>
    <w:rsid w:val="003F5AD6"/>
    <w:rsid w:val="00414B7A"/>
    <w:rsid w:val="00441D12"/>
    <w:rsid w:val="00443B9D"/>
    <w:rsid w:val="004517A1"/>
    <w:rsid w:val="004646AD"/>
    <w:rsid w:val="0049719B"/>
    <w:rsid w:val="004A759A"/>
    <w:rsid w:val="004B2329"/>
    <w:rsid w:val="004C078E"/>
    <w:rsid w:val="004D1A3E"/>
    <w:rsid w:val="004F5211"/>
    <w:rsid w:val="005044FA"/>
    <w:rsid w:val="0053341E"/>
    <w:rsid w:val="0053760F"/>
    <w:rsid w:val="00544D37"/>
    <w:rsid w:val="00546A95"/>
    <w:rsid w:val="00546FFF"/>
    <w:rsid w:val="00555AF7"/>
    <w:rsid w:val="00556807"/>
    <w:rsid w:val="00562E22"/>
    <w:rsid w:val="00586961"/>
    <w:rsid w:val="00590D96"/>
    <w:rsid w:val="005D44C0"/>
    <w:rsid w:val="005D5D68"/>
    <w:rsid w:val="005D5EA2"/>
    <w:rsid w:val="005E0B84"/>
    <w:rsid w:val="00612E2D"/>
    <w:rsid w:val="0061722E"/>
    <w:rsid w:val="00622403"/>
    <w:rsid w:val="00662C07"/>
    <w:rsid w:val="0067115A"/>
    <w:rsid w:val="006773E5"/>
    <w:rsid w:val="00696BED"/>
    <w:rsid w:val="006A037A"/>
    <w:rsid w:val="006B6AAA"/>
    <w:rsid w:val="006C1E5D"/>
    <w:rsid w:val="006D159E"/>
    <w:rsid w:val="006D3416"/>
    <w:rsid w:val="006D7DC8"/>
    <w:rsid w:val="006E4F6B"/>
    <w:rsid w:val="007176F9"/>
    <w:rsid w:val="00733C24"/>
    <w:rsid w:val="007707BE"/>
    <w:rsid w:val="007742DC"/>
    <w:rsid w:val="00780C4D"/>
    <w:rsid w:val="007A01D2"/>
    <w:rsid w:val="007A62CF"/>
    <w:rsid w:val="007B382A"/>
    <w:rsid w:val="007B42D7"/>
    <w:rsid w:val="007D58C3"/>
    <w:rsid w:val="00805366"/>
    <w:rsid w:val="00810FDB"/>
    <w:rsid w:val="00812EF3"/>
    <w:rsid w:val="0084389C"/>
    <w:rsid w:val="0084611A"/>
    <w:rsid w:val="0085667F"/>
    <w:rsid w:val="00866CB0"/>
    <w:rsid w:val="008710D4"/>
    <w:rsid w:val="00875452"/>
    <w:rsid w:val="00886716"/>
    <w:rsid w:val="00893F8F"/>
    <w:rsid w:val="008B22CC"/>
    <w:rsid w:val="008C0043"/>
    <w:rsid w:val="008C324F"/>
    <w:rsid w:val="008D2406"/>
    <w:rsid w:val="008D2B3F"/>
    <w:rsid w:val="008D45D8"/>
    <w:rsid w:val="008E1C77"/>
    <w:rsid w:val="008F464F"/>
    <w:rsid w:val="009048DA"/>
    <w:rsid w:val="009051F5"/>
    <w:rsid w:val="00911D6C"/>
    <w:rsid w:val="00920F6C"/>
    <w:rsid w:val="0095571A"/>
    <w:rsid w:val="00955DB4"/>
    <w:rsid w:val="00957FAA"/>
    <w:rsid w:val="00970FCD"/>
    <w:rsid w:val="009A0215"/>
    <w:rsid w:val="009A114E"/>
    <w:rsid w:val="009A5941"/>
    <w:rsid w:val="009B0D05"/>
    <w:rsid w:val="009B5888"/>
    <w:rsid w:val="009E57C5"/>
    <w:rsid w:val="009F73A8"/>
    <w:rsid w:val="00A16178"/>
    <w:rsid w:val="00A17ABB"/>
    <w:rsid w:val="00A25F52"/>
    <w:rsid w:val="00A268AD"/>
    <w:rsid w:val="00A3173B"/>
    <w:rsid w:val="00A44BBB"/>
    <w:rsid w:val="00A50FE6"/>
    <w:rsid w:val="00A5238A"/>
    <w:rsid w:val="00A632DB"/>
    <w:rsid w:val="00A76819"/>
    <w:rsid w:val="00A8419C"/>
    <w:rsid w:val="00AA0BA9"/>
    <w:rsid w:val="00AB2869"/>
    <w:rsid w:val="00AC54CA"/>
    <w:rsid w:val="00AC6DC2"/>
    <w:rsid w:val="00AD70CB"/>
    <w:rsid w:val="00AD7458"/>
    <w:rsid w:val="00B01239"/>
    <w:rsid w:val="00B14181"/>
    <w:rsid w:val="00B157D2"/>
    <w:rsid w:val="00B26C2F"/>
    <w:rsid w:val="00B30ABC"/>
    <w:rsid w:val="00B417BB"/>
    <w:rsid w:val="00B4464F"/>
    <w:rsid w:val="00B44654"/>
    <w:rsid w:val="00B64154"/>
    <w:rsid w:val="00B82E2E"/>
    <w:rsid w:val="00B86382"/>
    <w:rsid w:val="00BA3DA0"/>
    <w:rsid w:val="00BC0D53"/>
    <w:rsid w:val="00BD46A3"/>
    <w:rsid w:val="00BE0CC1"/>
    <w:rsid w:val="00BE3D0A"/>
    <w:rsid w:val="00C10081"/>
    <w:rsid w:val="00C416D5"/>
    <w:rsid w:val="00C42495"/>
    <w:rsid w:val="00C55874"/>
    <w:rsid w:val="00C60B8B"/>
    <w:rsid w:val="00C64AE3"/>
    <w:rsid w:val="00C6522E"/>
    <w:rsid w:val="00C770E3"/>
    <w:rsid w:val="00C96DF9"/>
    <w:rsid w:val="00CA44A4"/>
    <w:rsid w:val="00CB1D12"/>
    <w:rsid w:val="00CC0B26"/>
    <w:rsid w:val="00CD528A"/>
    <w:rsid w:val="00CE0739"/>
    <w:rsid w:val="00CF5DEB"/>
    <w:rsid w:val="00CF753C"/>
    <w:rsid w:val="00D61850"/>
    <w:rsid w:val="00D7049E"/>
    <w:rsid w:val="00D72405"/>
    <w:rsid w:val="00D81B65"/>
    <w:rsid w:val="00DA01BE"/>
    <w:rsid w:val="00DC19EB"/>
    <w:rsid w:val="00DD1F09"/>
    <w:rsid w:val="00DD74C0"/>
    <w:rsid w:val="00DE6A37"/>
    <w:rsid w:val="00DF41ED"/>
    <w:rsid w:val="00E171E9"/>
    <w:rsid w:val="00E25F68"/>
    <w:rsid w:val="00E30509"/>
    <w:rsid w:val="00E378A7"/>
    <w:rsid w:val="00E40E22"/>
    <w:rsid w:val="00E442C0"/>
    <w:rsid w:val="00E530A4"/>
    <w:rsid w:val="00E6083E"/>
    <w:rsid w:val="00E741FB"/>
    <w:rsid w:val="00EA46A4"/>
    <w:rsid w:val="00EC0E67"/>
    <w:rsid w:val="00EC1FFA"/>
    <w:rsid w:val="00EC6591"/>
    <w:rsid w:val="00F17D63"/>
    <w:rsid w:val="00F374C2"/>
    <w:rsid w:val="00F420A3"/>
    <w:rsid w:val="00F42149"/>
    <w:rsid w:val="00F70322"/>
    <w:rsid w:val="00F712DA"/>
    <w:rsid w:val="00FC0F52"/>
    <w:rsid w:val="00FC3ABE"/>
    <w:rsid w:val="00FD6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B4617D"/>
  <w15:docId w15:val="{4F0A20B6-3C4C-1A48-BBF8-6A5D06AD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sdException w:name="Smart Link Error" w:semiHidden="1" w:unhideWhenUsed="1"/>
  </w:latentStyles>
  <w:style w:type="paragraph" w:default="1" w:styleId="Normal">
    <w:name w:val="Normal"/>
    <w:qFormat/>
    <w:rsid w:val="00612E2D"/>
    <w:pPr>
      <w:spacing w:after="160" w:line="259" w:lineRule="auto"/>
    </w:pPr>
    <w:rPr>
      <w:sz w:val="22"/>
      <w:szCs w:val="22"/>
    </w:rPr>
  </w:style>
  <w:style w:type="paragraph" w:styleId="Heading2">
    <w:name w:val="heading 2"/>
    <w:basedOn w:val="Normal"/>
    <w:next w:val="Normal"/>
    <w:link w:val="Heading2Char"/>
    <w:autoRedefine/>
    <w:uiPriority w:val="9"/>
    <w:qFormat/>
    <w:rsid w:val="00612E2D"/>
    <w:pPr>
      <w:keepNext/>
      <w:keepLines/>
      <w:spacing w:before="40"/>
      <w:jc w:val="both"/>
      <w:outlineLvl w:val="1"/>
    </w:pPr>
    <w:rPr>
      <w:rFonts w:ascii="Calibri Light" w:eastAsia="Yu Gothic Light" w:hAnsi="Calibri Light"/>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12E2D"/>
    <w:rPr>
      <w:rFonts w:ascii="Calibri Light" w:eastAsia="Yu Gothic Light" w:hAnsi="Calibri Light" w:cs="Times New Roman"/>
      <w:b/>
      <w:sz w:val="32"/>
      <w:szCs w:val="26"/>
    </w:rPr>
  </w:style>
  <w:style w:type="character" w:styleId="Hyperlink">
    <w:name w:val="Hyperlink"/>
    <w:uiPriority w:val="99"/>
    <w:unhideWhenUsed/>
    <w:rsid w:val="00612E2D"/>
    <w:rPr>
      <w:color w:val="1F3864"/>
      <w:u w:val="single"/>
    </w:rPr>
  </w:style>
  <w:style w:type="table" w:customStyle="1" w:styleId="GridTable1Light-Accent31">
    <w:name w:val="Grid Table 1 Light - Accent 31"/>
    <w:basedOn w:val="TableNormal"/>
    <w:uiPriority w:val="46"/>
    <w:rsid w:val="00612E2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odyText">
    <w:name w:val="Body Text"/>
    <w:basedOn w:val="Normal"/>
    <w:link w:val="BodyTextChar"/>
    <w:uiPriority w:val="99"/>
    <w:unhideWhenUsed/>
    <w:rsid w:val="00612E2D"/>
    <w:pPr>
      <w:spacing w:after="120"/>
    </w:pPr>
  </w:style>
  <w:style w:type="character" w:customStyle="1" w:styleId="BodyTextChar">
    <w:name w:val="Body Text Char"/>
    <w:link w:val="BodyText"/>
    <w:uiPriority w:val="99"/>
    <w:rsid w:val="00612E2D"/>
    <w:rPr>
      <w:rFonts w:ascii="Calibri" w:hAnsi="Calibri"/>
    </w:rPr>
  </w:style>
  <w:style w:type="paragraph" w:styleId="ListBullet">
    <w:name w:val="List Bullet"/>
    <w:basedOn w:val="Normal"/>
    <w:rsid w:val="00612E2D"/>
    <w:pPr>
      <w:keepNext/>
      <w:keepLines/>
      <w:numPr>
        <w:numId w:val="1"/>
      </w:numPr>
      <w:spacing w:before="40" w:after="40" w:line="240" w:lineRule="auto"/>
      <w:contextualSpacing/>
    </w:pPr>
    <w:rPr>
      <w:rFonts w:ascii="Times New Roman" w:eastAsia="Times New Roman" w:hAnsi="Times New Roman"/>
      <w:sz w:val="24"/>
    </w:rPr>
  </w:style>
  <w:style w:type="paragraph" w:styleId="ListBullet2">
    <w:name w:val="List Bullet 2"/>
    <w:basedOn w:val="Normal"/>
    <w:rsid w:val="00612E2D"/>
    <w:pPr>
      <w:keepNext/>
      <w:keepLines/>
      <w:numPr>
        <w:numId w:val="2"/>
      </w:numPr>
      <w:spacing w:before="60" w:after="60" w:line="240" w:lineRule="auto"/>
      <w:contextualSpacing/>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8D45D8"/>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8D45D8"/>
    <w:rPr>
      <w:rFonts w:ascii="Times New Roman" w:hAnsi="Times New Roman" w:cs="Times New Roman"/>
      <w:sz w:val="18"/>
      <w:szCs w:val="18"/>
    </w:rPr>
  </w:style>
  <w:style w:type="character" w:styleId="CommentReference">
    <w:name w:val="annotation reference"/>
    <w:uiPriority w:val="99"/>
    <w:semiHidden/>
    <w:unhideWhenUsed/>
    <w:rsid w:val="00B157D2"/>
    <w:rPr>
      <w:sz w:val="18"/>
      <w:szCs w:val="18"/>
    </w:rPr>
  </w:style>
  <w:style w:type="paragraph" w:styleId="CommentText">
    <w:name w:val="annotation text"/>
    <w:basedOn w:val="Normal"/>
    <w:link w:val="CommentTextChar"/>
    <w:uiPriority w:val="99"/>
    <w:semiHidden/>
    <w:unhideWhenUsed/>
    <w:rsid w:val="00B157D2"/>
    <w:pPr>
      <w:spacing w:line="240" w:lineRule="auto"/>
    </w:pPr>
    <w:rPr>
      <w:sz w:val="24"/>
      <w:szCs w:val="24"/>
    </w:rPr>
  </w:style>
  <w:style w:type="character" w:customStyle="1" w:styleId="CommentTextChar">
    <w:name w:val="Comment Text Char"/>
    <w:link w:val="CommentText"/>
    <w:uiPriority w:val="99"/>
    <w:semiHidden/>
    <w:rsid w:val="00B157D2"/>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B157D2"/>
    <w:rPr>
      <w:b/>
      <w:bCs/>
      <w:sz w:val="20"/>
      <w:szCs w:val="20"/>
    </w:rPr>
  </w:style>
  <w:style w:type="character" w:customStyle="1" w:styleId="CommentSubjectChar">
    <w:name w:val="Comment Subject Char"/>
    <w:link w:val="CommentSubject"/>
    <w:uiPriority w:val="99"/>
    <w:semiHidden/>
    <w:rsid w:val="00B157D2"/>
    <w:rPr>
      <w:rFonts w:ascii="Calibri" w:hAnsi="Calibri"/>
      <w:b/>
      <w:bCs/>
      <w:sz w:val="20"/>
      <w:szCs w:val="20"/>
    </w:rPr>
  </w:style>
  <w:style w:type="table" w:customStyle="1" w:styleId="GridTable4-Accent31">
    <w:name w:val="Grid Table 4 - Accent 31"/>
    <w:basedOn w:val="TableNormal"/>
    <w:uiPriority w:val="49"/>
    <w:rsid w:val="008710D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31">
    <w:name w:val="List Table 4 - Accent 31"/>
    <w:basedOn w:val="TableNormal"/>
    <w:uiPriority w:val="49"/>
    <w:rsid w:val="00CB1D1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basedOn w:val="TableNormal"/>
    <w:uiPriority w:val="39"/>
    <w:rsid w:val="00CB1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AA0BA9"/>
    <w:pPr>
      <w:spacing w:after="0" w:line="240" w:lineRule="auto"/>
      <w:ind w:left="720"/>
      <w:contextualSpacing/>
    </w:pPr>
    <w:rPr>
      <w:sz w:val="24"/>
      <w:szCs w:val="24"/>
      <w:lang w:val="en-GB"/>
    </w:r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qFormat/>
    <w:locked/>
    <w:rsid w:val="00AA0BA9"/>
    <w:rPr>
      <w:sz w:val="24"/>
      <w:szCs w:val="24"/>
      <w:lang w:val="en-GB"/>
    </w:rPr>
  </w:style>
  <w:style w:type="paragraph" w:styleId="Header">
    <w:name w:val="header"/>
    <w:basedOn w:val="Normal"/>
    <w:link w:val="HeaderChar"/>
    <w:uiPriority w:val="99"/>
    <w:unhideWhenUsed/>
    <w:rsid w:val="00B26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C2F"/>
    <w:rPr>
      <w:sz w:val="22"/>
      <w:szCs w:val="22"/>
    </w:rPr>
  </w:style>
  <w:style w:type="paragraph" w:styleId="Footer">
    <w:name w:val="footer"/>
    <w:basedOn w:val="Normal"/>
    <w:link w:val="FooterChar"/>
    <w:uiPriority w:val="99"/>
    <w:unhideWhenUsed/>
    <w:rsid w:val="00B26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C2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vetnet.education.gov.au/Pages/TrainingDocs.aspx?q=7e15fa6a-68b8-4097-b099-030a5569b1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14675-7CFB-4292-9CC5-0AFEC31E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Barragan</dc:creator>
  <cp:keywords/>
  <dc:description/>
  <cp:lastModifiedBy>Michelle Mulhall</cp:lastModifiedBy>
  <cp:revision>62</cp:revision>
  <cp:lastPrinted>2019-08-14T05:23:00Z</cp:lastPrinted>
  <dcterms:created xsi:type="dcterms:W3CDTF">2019-09-26T02:29:00Z</dcterms:created>
  <dcterms:modified xsi:type="dcterms:W3CDTF">2019-10-16T02:48:00Z</dcterms:modified>
</cp:coreProperties>
</file>