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57691" w14:textId="1D046245" w:rsidR="00F4162F" w:rsidRDefault="00E73F14">
      <w:pPr>
        <w:rPr>
          <w:color w:val="A6A6A6" w:themeColor="background1" w:themeShade="A6"/>
          <w:sz w:val="32"/>
        </w:rPr>
      </w:pPr>
      <w:r>
        <w:rPr>
          <w:rFonts w:asciiTheme="majorHAnsi" w:hAnsiTheme="majorHAnsi"/>
          <w:b/>
          <w:noProof/>
          <w:color w:val="A6A6A6" w:themeColor="background1" w:themeShade="A6"/>
          <w:sz w:val="32"/>
          <w:szCs w:val="32"/>
          <w:lang w:val="en-GB" w:eastAsia="en-GB"/>
        </w:rPr>
        <w:drawing>
          <wp:inline distT="0" distB="0" distL="0" distR="0" wp14:anchorId="4C3AB4CD" wp14:editId="4F53650F">
            <wp:extent cx="2480553" cy="107662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 Logo with ta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74334" cy="111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1FC4" w14:textId="4272F2B0" w:rsidR="00D84328" w:rsidRPr="00D84328" w:rsidRDefault="00D23C67" w:rsidP="00D84328">
      <w:pPr>
        <w:shd w:val="clear" w:color="auto" w:fill="A6A6A6" w:themeFill="background1" w:themeFillShade="A6"/>
        <w:rPr>
          <w:color w:val="FFFFFF" w:themeColor="background1"/>
          <w:sz w:val="36"/>
        </w:rPr>
      </w:pPr>
      <w:r>
        <w:rPr>
          <w:color w:val="FFFFFF" w:themeColor="background1"/>
          <w:sz w:val="32"/>
        </w:rPr>
        <w:t xml:space="preserve">Shopfitting Qualification </w:t>
      </w:r>
      <w:r w:rsidR="00FA2167">
        <w:rPr>
          <w:color w:val="FFFFFF" w:themeColor="background1"/>
          <w:sz w:val="32"/>
        </w:rPr>
        <w:t>Project Brief</w:t>
      </w:r>
      <w:r w:rsidR="000D2680">
        <w:rPr>
          <w:color w:val="FFFFFF" w:themeColor="background1"/>
          <w:sz w:val="32"/>
        </w:rPr>
        <w:t xml:space="preserve">              </w:t>
      </w:r>
      <w:r>
        <w:rPr>
          <w:color w:val="FFFFFF" w:themeColor="background1"/>
          <w:sz w:val="36"/>
        </w:rPr>
        <w:t xml:space="preserve">        September 2019</w:t>
      </w:r>
    </w:p>
    <w:p w14:paraId="26204E8A" w14:textId="693863D4" w:rsidR="00D84328" w:rsidRDefault="00D84328">
      <w:pPr>
        <w:rPr>
          <w:color w:val="A6A6A6" w:themeColor="background1" w:themeShade="A6"/>
          <w:sz w:val="32"/>
        </w:rPr>
      </w:pPr>
    </w:p>
    <w:p w14:paraId="4BD4E902" w14:textId="1985B7EE" w:rsidR="00D84328" w:rsidRPr="0037611C" w:rsidRDefault="00D84328" w:rsidP="0037611C">
      <w:pPr>
        <w:pStyle w:val="Heading1"/>
      </w:pPr>
      <w:r w:rsidRPr="0037611C">
        <w:t xml:space="preserve">Project Scope </w:t>
      </w:r>
    </w:p>
    <w:p w14:paraId="281917F8" w14:textId="4A3B4987" w:rsidR="00622216" w:rsidRPr="00046A30" w:rsidRDefault="00EA21D1" w:rsidP="00622216">
      <w:pPr>
        <w:rPr>
          <w:lang w:val="en-AU"/>
        </w:rPr>
      </w:pPr>
      <w:r>
        <w:rPr>
          <w:lang w:val="en-AU"/>
        </w:rPr>
        <w:t>Review and update</w:t>
      </w:r>
      <w:r w:rsidR="00622216">
        <w:rPr>
          <w:lang w:val="en-AU"/>
        </w:rPr>
        <w:t xml:space="preserve"> the shopfitting qualification and units of competency to align with current vocational outcomes and address emerging industry trends, technology, new building methods up </w:t>
      </w:r>
      <w:r w:rsidR="00682319">
        <w:rPr>
          <w:lang w:val="en-AU"/>
        </w:rPr>
        <w:t xml:space="preserve">to date shopfitting information and industry </w:t>
      </w:r>
      <w:r w:rsidR="00622216">
        <w:rPr>
          <w:lang w:val="en-AU"/>
        </w:rPr>
        <w:t>requirements.</w:t>
      </w:r>
    </w:p>
    <w:p w14:paraId="65B94036" w14:textId="77777777" w:rsidR="00622216" w:rsidRDefault="00622216" w:rsidP="00622216">
      <w:pPr>
        <w:rPr>
          <w:lang w:val="en-AU"/>
        </w:rPr>
      </w:pPr>
    </w:p>
    <w:p w14:paraId="1EFE1186" w14:textId="36C228FC" w:rsidR="00D260BB" w:rsidRDefault="00D260BB" w:rsidP="00622216">
      <w:pPr>
        <w:rPr>
          <w:lang w:val="en-AU"/>
        </w:rPr>
      </w:pPr>
      <w:r>
        <w:rPr>
          <w:lang w:val="en-AU"/>
        </w:rPr>
        <w:t xml:space="preserve">Develop a </w:t>
      </w:r>
      <w:r w:rsidR="00C47AF7">
        <w:rPr>
          <w:lang w:val="en-AU"/>
        </w:rPr>
        <w:t>national stake</w:t>
      </w:r>
      <w:r>
        <w:rPr>
          <w:lang w:val="en-AU"/>
        </w:rPr>
        <w:t xml:space="preserve">holder </w:t>
      </w:r>
      <w:r w:rsidR="00C47AF7">
        <w:rPr>
          <w:lang w:val="en-AU"/>
        </w:rPr>
        <w:t xml:space="preserve">contact list, </w:t>
      </w:r>
      <w:r w:rsidR="002B51B9">
        <w:rPr>
          <w:lang w:val="en-AU"/>
        </w:rPr>
        <w:t>engagement activities and processes, capture and collate details of stakeholder suggestions, feedback, recommendations.</w:t>
      </w:r>
    </w:p>
    <w:p w14:paraId="71391AB3" w14:textId="77777777" w:rsidR="002B51B9" w:rsidRDefault="002B51B9" w:rsidP="00622216">
      <w:pPr>
        <w:rPr>
          <w:lang w:val="en-AU"/>
        </w:rPr>
      </w:pPr>
    </w:p>
    <w:p w14:paraId="51AB0B03" w14:textId="7C23358C" w:rsidR="002B51B9" w:rsidRDefault="00BE15F9" w:rsidP="00622216">
      <w:pPr>
        <w:rPr>
          <w:lang w:val="en-AU"/>
        </w:rPr>
      </w:pPr>
      <w:r>
        <w:rPr>
          <w:lang w:val="en-AU"/>
        </w:rPr>
        <w:t xml:space="preserve">Maintain accurate records of </w:t>
      </w:r>
      <w:r w:rsidR="00366E5A">
        <w:rPr>
          <w:lang w:val="en-AU"/>
        </w:rPr>
        <w:t xml:space="preserve">stakeholder </w:t>
      </w:r>
      <w:r>
        <w:rPr>
          <w:lang w:val="en-AU"/>
        </w:rPr>
        <w:t>consultations, discussions</w:t>
      </w:r>
      <w:r w:rsidR="005C09CD">
        <w:rPr>
          <w:lang w:val="en-AU"/>
        </w:rPr>
        <w:t xml:space="preserve"> and</w:t>
      </w:r>
      <w:r w:rsidR="00441B02">
        <w:rPr>
          <w:lang w:val="en-AU"/>
        </w:rPr>
        <w:t xml:space="preserve"> </w:t>
      </w:r>
      <w:r w:rsidR="00C0518D">
        <w:rPr>
          <w:lang w:val="en-AU"/>
        </w:rPr>
        <w:t xml:space="preserve">actions </w:t>
      </w:r>
      <w:r w:rsidR="005C09CD">
        <w:rPr>
          <w:lang w:val="en-AU"/>
        </w:rPr>
        <w:t>or</w:t>
      </w:r>
      <w:r w:rsidR="00905266">
        <w:rPr>
          <w:lang w:val="en-AU"/>
        </w:rPr>
        <w:t xml:space="preserve"> </w:t>
      </w:r>
      <w:r w:rsidR="00441B02">
        <w:rPr>
          <w:lang w:val="en-AU"/>
        </w:rPr>
        <w:t xml:space="preserve">issues requiring resolution, </w:t>
      </w:r>
      <w:r w:rsidR="00905266">
        <w:rPr>
          <w:lang w:val="en-AU"/>
        </w:rPr>
        <w:t>which contribute to the outcome of the project.</w:t>
      </w:r>
    </w:p>
    <w:p w14:paraId="5069FE0F" w14:textId="77777777" w:rsidR="00441B02" w:rsidRDefault="00441B02" w:rsidP="00622216">
      <w:pPr>
        <w:rPr>
          <w:lang w:val="en-AU"/>
        </w:rPr>
      </w:pPr>
    </w:p>
    <w:p w14:paraId="0D445F5E" w14:textId="43F29AD5" w:rsidR="00441B02" w:rsidRPr="00F07940" w:rsidRDefault="00520F99" w:rsidP="00622216">
      <w:pPr>
        <w:rPr>
          <w:lang w:val="en-AU"/>
        </w:rPr>
      </w:pPr>
      <w:r>
        <w:rPr>
          <w:lang w:val="en-AU"/>
        </w:rPr>
        <w:t xml:space="preserve">Transition components to comply with the </w:t>
      </w:r>
      <w:r>
        <w:rPr>
          <w:i/>
          <w:lang w:val="en-AU"/>
        </w:rPr>
        <w:t>Stand</w:t>
      </w:r>
      <w:r w:rsidR="00F07940">
        <w:rPr>
          <w:i/>
          <w:lang w:val="en-AU"/>
        </w:rPr>
        <w:t>ards for Training Packages 2012</w:t>
      </w:r>
      <w:r w:rsidR="00F07940">
        <w:rPr>
          <w:lang w:val="en-AU"/>
        </w:rPr>
        <w:t xml:space="preserve"> and present Case for Endorsement for submission to Australian Industry and Skills Committee (</w:t>
      </w:r>
      <w:proofErr w:type="spellStart"/>
      <w:r w:rsidR="00F07940">
        <w:rPr>
          <w:lang w:val="en-AU"/>
        </w:rPr>
        <w:t>AISC</w:t>
      </w:r>
      <w:proofErr w:type="spellEnd"/>
      <w:r w:rsidR="00F07940">
        <w:rPr>
          <w:lang w:val="en-AU"/>
        </w:rPr>
        <w:t xml:space="preserve">) </w:t>
      </w:r>
    </w:p>
    <w:p w14:paraId="77BDF94D" w14:textId="77777777" w:rsidR="00520F99" w:rsidRPr="00520F99" w:rsidRDefault="00520F99" w:rsidP="00622216">
      <w:pPr>
        <w:rPr>
          <w:lang w:val="en-AU"/>
        </w:rPr>
      </w:pPr>
    </w:p>
    <w:p w14:paraId="2A656B96" w14:textId="77777777" w:rsidR="00C13A61" w:rsidRPr="00D84328" w:rsidRDefault="00C13A61" w:rsidP="00D84328">
      <w:pPr>
        <w:rPr>
          <w:lang w:val="en-AU"/>
        </w:rPr>
      </w:pPr>
    </w:p>
    <w:p w14:paraId="1AB5C03D" w14:textId="7D54A574" w:rsidR="00D84328" w:rsidRDefault="003928B2" w:rsidP="0037611C">
      <w:pPr>
        <w:pStyle w:val="Heading1"/>
      </w:pPr>
      <w:bookmarkStart w:id="0" w:name="_Toc475695374"/>
      <w:bookmarkStart w:id="1" w:name="_Toc475695482"/>
      <w:bookmarkStart w:id="2" w:name="_Toc475972867"/>
      <w:bookmarkStart w:id="3" w:name="_Toc475972963"/>
      <w:bookmarkStart w:id="4" w:name="_Toc482092938"/>
      <w:bookmarkStart w:id="5" w:name="_Toc485194391"/>
      <w:bookmarkStart w:id="6" w:name="_Toc497142357"/>
      <w:bookmarkStart w:id="7" w:name="_Toc498336450"/>
      <w:bookmarkStart w:id="8" w:name="_Toc522023262"/>
      <w:r w:rsidRPr="004763B0">
        <w:t xml:space="preserve">Project </w:t>
      </w:r>
      <w:r w:rsidR="00D84328" w:rsidRPr="004763B0">
        <w:t>Summary</w:t>
      </w:r>
    </w:p>
    <w:p w14:paraId="61A40BAE" w14:textId="32C0BCBE" w:rsidR="00622216" w:rsidRDefault="00357632" w:rsidP="00622216">
      <w:pPr>
        <w:rPr>
          <w:lang w:val="en-AU"/>
        </w:rPr>
      </w:pPr>
      <w:r>
        <w:rPr>
          <w:lang w:val="en-AU"/>
        </w:rPr>
        <w:t>This project will undertake the following activities:</w:t>
      </w:r>
    </w:p>
    <w:p w14:paraId="2EC766D5" w14:textId="715F9AB2" w:rsidR="00357632" w:rsidRDefault="001754A7" w:rsidP="00357632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 xml:space="preserve">research, collect and </w:t>
      </w:r>
      <w:r w:rsidR="00357632">
        <w:rPr>
          <w:lang w:val="en-AU"/>
        </w:rPr>
        <w:t xml:space="preserve">compile </w:t>
      </w:r>
      <w:r>
        <w:rPr>
          <w:lang w:val="en-AU"/>
        </w:rPr>
        <w:t>trade and training data</w:t>
      </w:r>
    </w:p>
    <w:p w14:paraId="798EABBE" w14:textId="200977BE" w:rsidR="001754A7" w:rsidRDefault="001754A7" w:rsidP="00357632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>schedule and participate in national consultation with stakeholders</w:t>
      </w:r>
    </w:p>
    <w:p w14:paraId="7BBE9679" w14:textId="2BD0BD07" w:rsidR="001754A7" w:rsidRDefault="001754A7" w:rsidP="00357632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>compile gathered information and prepare components for validation</w:t>
      </w:r>
    </w:p>
    <w:p w14:paraId="44815F6E" w14:textId="57A465A3" w:rsidR="001754A7" w:rsidRPr="00357632" w:rsidRDefault="001754A7" w:rsidP="00357632">
      <w:pPr>
        <w:pStyle w:val="ListParagraph"/>
        <w:numPr>
          <w:ilvl w:val="0"/>
          <w:numId w:val="28"/>
        </w:numPr>
        <w:rPr>
          <w:lang w:val="en-AU"/>
        </w:rPr>
      </w:pPr>
      <w:r>
        <w:rPr>
          <w:lang w:val="en-AU"/>
        </w:rPr>
        <w:t>review and complete documentation for endorsement</w:t>
      </w:r>
    </w:p>
    <w:p w14:paraId="664572BA" w14:textId="44C242EF" w:rsidR="003928B2" w:rsidRDefault="004763B0" w:rsidP="0037611C">
      <w:pPr>
        <w:pStyle w:val="Heading1"/>
      </w:pPr>
      <w:r>
        <w:t>Key points</w:t>
      </w:r>
    </w:p>
    <w:p w14:paraId="528999E7" w14:textId="14A99FCD" w:rsidR="0013067B" w:rsidRPr="0013067B" w:rsidRDefault="0013067B" w:rsidP="0013067B">
      <w:pPr>
        <w:pStyle w:val="ListParagraph"/>
        <w:numPr>
          <w:ilvl w:val="0"/>
          <w:numId w:val="27"/>
        </w:numPr>
        <w:rPr>
          <w:lang w:val="en-AU"/>
        </w:rPr>
      </w:pPr>
      <w:bookmarkStart w:id="9" w:name="O_661071"/>
      <w:bookmarkStart w:id="10" w:name="O_661072"/>
      <w:bookmarkStart w:id="11" w:name="O_661073"/>
      <w:bookmarkStart w:id="12" w:name="O_66107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13067B">
        <w:rPr>
          <w:lang w:val="en-AU"/>
        </w:rPr>
        <w:t>As there is no Technical Advisory Group being established for this project a small team of Subject Matter Experts (SME) will be established to advise and provide input into key aspects of drafting this qualification prior to industry consultation.</w:t>
      </w:r>
    </w:p>
    <w:p w14:paraId="23817A93" w14:textId="0023FE45" w:rsidR="00AB57E6" w:rsidRPr="0013067B" w:rsidRDefault="0013067B" w:rsidP="0013067B">
      <w:pPr>
        <w:pStyle w:val="ListParagraph"/>
        <w:numPr>
          <w:ilvl w:val="0"/>
          <w:numId w:val="27"/>
        </w:numPr>
        <w:rPr>
          <w:lang w:val="en-AU"/>
        </w:rPr>
      </w:pPr>
      <w:r w:rsidRPr="0013067B">
        <w:rPr>
          <w:lang w:val="en-AU"/>
        </w:rPr>
        <w:t>The Project Manager will source and invite experienced stakeholders to join the group.</w:t>
      </w:r>
    </w:p>
    <w:p w14:paraId="2ED971D8" w14:textId="77777777" w:rsidR="007B2213" w:rsidRDefault="007B2213" w:rsidP="007C0564">
      <w:pPr>
        <w:rPr>
          <w:b/>
          <w:sz w:val="28"/>
        </w:rPr>
      </w:pPr>
    </w:p>
    <w:p w14:paraId="24DB2850" w14:textId="7574E350" w:rsidR="000A7BB8" w:rsidRDefault="00AB57E6" w:rsidP="009E36A3">
      <w:pPr>
        <w:pStyle w:val="Heading1"/>
      </w:pPr>
      <w:r w:rsidRPr="000A7BB8">
        <w:t>Consultation P</w:t>
      </w:r>
      <w:r w:rsidR="000D2680">
        <w:t>rogress</w:t>
      </w:r>
    </w:p>
    <w:p w14:paraId="7D8D6C73" w14:textId="1156D97F" w:rsidR="000A7BB8" w:rsidRDefault="000A7BB8" w:rsidP="000D2680">
      <w:r w:rsidRPr="005E5B10">
        <w:t xml:space="preserve">The key engagement methods </w:t>
      </w:r>
      <w:r w:rsidR="000D2680">
        <w:t>undertaken to date are:</w:t>
      </w:r>
    </w:p>
    <w:p w14:paraId="4BE293E9" w14:textId="4E512304" w:rsidR="000D2680" w:rsidRDefault="000D2680" w:rsidP="000D2680"/>
    <w:p w14:paraId="19B93456" w14:textId="60B8DEB7" w:rsidR="000D2680" w:rsidRDefault="0013067B" w:rsidP="007B2213">
      <w:pPr>
        <w:pStyle w:val="ListParagraph"/>
        <w:numPr>
          <w:ilvl w:val="0"/>
          <w:numId w:val="26"/>
        </w:numPr>
      </w:pPr>
      <w:r>
        <w:t>draft qualification structure and confirm inclusion of units of competency (with input from SME)</w:t>
      </w:r>
    </w:p>
    <w:p w14:paraId="025CA257" w14:textId="735476AE" w:rsidR="0013067B" w:rsidRDefault="0013067B" w:rsidP="007B2213">
      <w:pPr>
        <w:pStyle w:val="ListParagraph"/>
        <w:numPr>
          <w:ilvl w:val="0"/>
          <w:numId w:val="26"/>
        </w:numPr>
      </w:pPr>
      <w:r>
        <w:t xml:space="preserve">notify, invite and engage with industry representatives, employers, training providers, </w:t>
      </w:r>
      <w:proofErr w:type="spellStart"/>
      <w:r w:rsidR="006D4069">
        <w:t>STAs</w:t>
      </w:r>
      <w:proofErr w:type="spellEnd"/>
      <w:r w:rsidR="006D4069">
        <w:t xml:space="preserve"> and other associated stakeholders</w:t>
      </w:r>
    </w:p>
    <w:p w14:paraId="4FF7DFE0" w14:textId="142D5BF3" w:rsidR="006D4069" w:rsidRDefault="00ED7015" w:rsidP="007B2213">
      <w:pPr>
        <w:pStyle w:val="ListParagraph"/>
        <w:numPr>
          <w:ilvl w:val="0"/>
          <w:numId w:val="26"/>
        </w:numPr>
      </w:pPr>
      <w:r>
        <w:t xml:space="preserve">conduct national </w:t>
      </w:r>
      <w:r w:rsidR="00AF23CB">
        <w:t xml:space="preserve">face-to-face </w:t>
      </w:r>
      <w:r>
        <w:t>forums</w:t>
      </w:r>
    </w:p>
    <w:p w14:paraId="157A47BE" w14:textId="3CDA0CE4" w:rsidR="00ED7015" w:rsidRDefault="00ED7015" w:rsidP="007B2213">
      <w:pPr>
        <w:pStyle w:val="ListParagraph"/>
        <w:numPr>
          <w:ilvl w:val="0"/>
          <w:numId w:val="26"/>
        </w:numPr>
      </w:pPr>
      <w:r>
        <w:t xml:space="preserve">publish information </w:t>
      </w:r>
      <w:r w:rsidR="007E4201">
        <w:t>on web site</w:t>
      </w:r>
      <w:r w:rsidR="00AF23CB">
        <w:t xml:space="preserve"> and seek online feedback</w:t>
      </w:r>
    </w:p>
    <w:p w14:paraId="656A5F62" w14:textId="2B2D39F1" w:rsidR="00AF23CB" w:rsidRDefault="00AF23CB" w:rsidP="007B2213">
      <w:pPr>
        <w:pStyle w:val="ListParagraph"/>
        <w:numPr>
          <w:ilvl w:val="0"/>
          <w:numId w:val="26"/>
        </w:numPr>
      </w:pPr>
      <w:r>
        <w:t>conduct online surveys</w:t>
      </w:r>
    </w:p>
    <w:p w14:paraId="674501FE" w14:textId="05FF3FBE" w:rsidR="007E4201" w:rsidRDefault="00A50BD5" w:rsidP="007B2213">
      <w:pPr>
        <w:pStyle w:val="ListParagraph"/>
        <w:numPr>
          <w:ilvl w:val="0"/>
          <w:numId w:val="26"/>
        </w:numPr>
      </w:pPr>
      <w:r>
        <w:t>facilitate</w:t>
      </w:r>
      <w:r w:rsidR="007E4201">
        <w:t xml:space="preserve"> online </w:t>
      </w:r>
      <w:r>
        <w:t>forums</w:t>
      </w:r>
    </w:p>
    <w:p w14:paraId="37151B48" w14:textId="77777777" w:rsidR="000A7BB8" w:rsidRPr="000A7BB8" w:rsidRDefault="000A7BB8" w:rsidP="000A7BB8">
      <w:pPr>
        <w:rPr>
          <w:lang w:val="en-AU"/>
        </w:rPr>
      </w:pPr>
    </w:p>
    <w:p w14:paraId="3382240A" w14:textId="5A3314DF" w:rsidR="00AB57E6" w:rsidRDefault="000A7BB8" w:rsidP="000A7BB8">
      <w:pPr>
        <w:pStyle w:val="Heading1"/>
      </w:pPr>
      <w:r w:rsidRPr="000A7BB8">
        <w:lastRenderedPageBreak/>
        <w:t>Project Timeline</w:t>
      </w:r>
    </w:p>
    <w:p w14:paraId="74B49596" w14:textId="4EDB8EE2" w:rsidR="001E56B4" w:rsidRDefault="001E56B4" w:rsidP="001E56B4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7"/>
        <w:gridCol w:w="3189"/>
      </w:tblGrid>
      <w:tr w:rsidR="001E56B4" w14:paraId="737646F7" w14:textId="77777777" w:rsidTr="009E36A3">
        <w:tc>
          <w:tcPr>
            <w:tcW w:w="1129" w:type="dxa"/>
          </w:tcPr>
          <w:p w14:paraId="4AE60DB0" w14:textId="29AC9B4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1</w:t>
            </w:r>
          </w:p>
        </w:tc>
        <w:tc>
          <w:tcPr>
            <w:tcW w:w="5247" w:type="dxa"/>
          </w:tcPr>
          <w:p w14:paraId="76A7FA6B" w14:textId="227F119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Project commencement</w:t>
            </w:r>
          </w:p>
        </w:tc>
        <w:tc>
          <w:tcPr>
            <w:tcW w:w="3189" w:type="dxa"/>
          </w:tcPr>
          <w:p w14:paraId="253EC0C7" w14:textId="6C46AE06" w:rsidR="001E56B4" w:rsidRDefault="0023331F" w:rsidP="001E56B4">
            <w:pPr>
              <w:rPr>
                <w:lang w:val="en-AU"/>
              </w:rPr>
            </w:pPr>
            <w:r>
              <w:rPr>
                <w:lang w:val="en-AU"/>
              </w:rPr>
              <w:t xml:space="preserve">23 </w:t>
            </w:r>
            <w:r w:rsidR="001E56B4">
              <w:rPr>
                <w:lang w:val="en-AU"/>
              </w:rPr>
              <w:t>September 2018</w:t>
            </w:r>
          </w:p>
        </w:tc>
      </w:tr>
      <w:tr w:rsidR="001E56B4" w14:paraId="53AFD137" w14:textId="77777777" w:rsidTr="009E36A3">
        <w:tc>
          <w:tcPr>
            <w:tcW w:w="1129" w:type="dxa"/>
          </w:tcPr>
          <w:p w14:paraId="1B8D662C" w14:textId="18F1C705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2</w:t>
            </w:r>
          </w:p>
        </w:tc>
        <w:tc>
          <w:tcPr>
            <w:tcW w:w="5247" w:type="dxa"/>
          </w:tcPr>
          <w:p w14:paraId="1A9563F4" w14:textId="6C224B1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Round 1 of industry consultation and training package development</w:t>
            </w:r>
          </w:p>
        </w:tc>
        <w:tc>
          <w:tcPr>
            <w:tcW w:w="3189" w:type="dxa"/>
          </w:tcPr>
          <w:p w14:paraId="7028436E" w14:textId="3E2DBA6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October 2018</w:t>
            </w:r>
          </w:p>
        </w:tc>
      </w:tr>
      <w:tr w:rsidR="001E56B4" w14:paraId="720C0A98" w14:textId="77777777" w:rsidTr="009E36A3">
        <w:tc>
          <w:tcPr>
            <w:tcW w:w="1129" w:type="dxa"/>
          </w:tcPr>
          <w:p w14:paraId="1AFA075F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04F97991" w14:textId="2697C217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Round 2 of industry consultation and training package development</w:t>
            </w:r>
          </w:p>
        </w:tc>
        <w:tc>
          <w:tcPr>
            <w:tcW w:w="3189" w:type="dxa"/>
          </w:tcPr>
          <w:p w14:paraId="71B97009" w14:textId="26B01ADE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November 2018 – January 2019</w:t>
            </w:r>
          </w:p>
        </w:tc>
      </w:tr>
      <w:tr w:rsidR="001E56B4" w14:paraId="2FE36251" w14:textId="77777777" w:rsidTr="009E36A3">
        <w:tc>
          <w:tcPr>
            <w:tcW w:w="1129" w:type="dxa"/>
          </w:tcPr>
          <w:p w14:paraId="52FF56D7" w14:textId="0306E276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3</w:t>
            </w:r>
          </w:p>
        </w:tc>
        <w:tc>
          <w:tcPr>
            <w:tcW w:w="5247" w:type="dxa"/>
          </w:tcPr>
          <w:p w14:paraId="28B3460E" w14:textId="7251DDAC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Validation consultation</w:t>
            </w:r>
          </w:p>
        </w:tc>
        <w:tc>
          <w:tcPr>
            <w:tcW w:w="3189" w:type="dxa"/>
          </w:tcPr>
          <w:p w14:paraId="009359A9" w14:textId="2726D91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January 2019</w:t>
            </w:r>
          </w:p>
        </w:tc>
      </w:tr>
      <w:tr w:rsidR="001E56B4" w14:paraId="5F8B50A4" w14:textId="77777777" w:rsidTr="009E36A3">
        <w:tc>
          <w:tcPr>
            <w:tcW w:w="1129" w:type="dxa"/>
          </w:tcPr>
          <w:p w14:paraId="413F8090" w14:textId="7DA668E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4</w:t>
            </w:r>
          </w:p>
        </w:tc>
        <w:tc>
          <w:tcPr>
            <w:tcW w:w="5247" w:type="dxa"/>
          </w:tcPr>
          <w:p w14:paraId="3C33F010" w14:textId="4DD42A71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Quality assurance phase</w:t>
            </w:r>
          </w:p>
        </w:tc>
        <w:tc>
          <w:tcPr>
            <w:tcW w:w="3189" w:type="dxa"/>
          </w:tcPr>
          <w:p w14:paraId="2F8D6C95" w14:textId="38EC5DC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February – March 2019</w:t>
            </w:r>
          </w:p>
        </w:tc>
      </w:tr>
      <w:tr w:rsidR="001E56B4" w14:paraId="736F1F50" w14:textId="77777777" w:rsidTr="009E36A3">
        <w:tc>
          <w:tcPr>
            <w:tcW w:w="1129" w:type="dxa"/>
          </w:tcPr>
          <w:p w14:paraId="7EA18C79" w14:textId="2BAB5998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Stage 5</w:t>
            </w:r>
          </w:p>
        </w:tc>
        <w:tc>
          <w:tcPr>
            <w:tcW w:w="5247" w:type="dxa"/>
          </w:tcPr>
          <w:p w14:paraId="1697098D" w14:textId="02B9A7E0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STA endorsement</w:t>
            </w:r>
          </w:p>
        </w:tc>
        <w:tc>
          <w:tcPr>
            <w:tcW w:w="3189" w:type="dxa"/>
          </w:tcPr>
          <w:p w14:paraId="3B5628FC" w14:textId="3ED584A4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April 2109</w:t>
            </w:r>
          </w:p>
        </w:tc>
      </w:tr>
      <w:tr w:rsidR="001E56B4" w14:paraId="115EEE87" w14:textId="77777777" w:rsidTr="009E36A3">
        <w:tc>
          <w:tcPr>
            <w:tcW w:w="1129" w:type="dxa"/>
          </w:tcPr>
          <w:p w14:paraId="0911431E" w14:textId="77777777" w:rsidR="001E56B4" w:rsidRDefault="001E56B4" w:rsidP="001E56B4">
            <w:pPr>
              <w:rPr>
                <w:lang w:val="en-AU"/>
              </w:rPr>
            </w:pPr>
          </w:p>
        </w:tc>
        <w:tc>
          <w:tcPr>
            <w:tcW w:w="5247" w:type="dxa"/>
          </w:tcPr>
          <w:p w14:paraId="76487D88" w14:textId="5783AC0F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Case for Endorsement submitted to Department of Education and Training</w:t>
            </w:r>
          </w:p>
        </w:tc>
        <w:tc>
          <w:tcPr>
            <w:tcW w:w="3189" w:type="dxa"/>
          </w:tcPr>
          <w:p w14:paraId="5604CDFB" w14:textId="538DB68D" w:rsidR="001E56B4" w:rsidRDefault="001E56B4" w:rsidP="001E56B4">
            <w:pPr>
              <w:rPr>
                <w:lang w:val="en-AU"/>
              </w:rPr>
            </w:pPr>
            <w:r>
              <w:rPr>
                <w:lang w:val="en-AU"/>
              </w:rPr>
              <w:t>May 2019</w:t>
            </w:r>
          </w:p>
        </w:tc>
      </w:tr>
    </w:tbl>
    <w:p w14:paraId="58054373" w14:textId="77777777" w:rsidR="001E56B4" w:rsidRPr="001E56B4" w:rsidRDefault="001E56B4" w:rsidP="001E56B4">
      <w:pPr>
        <w:rPr>
          <w:lang w:val="en-AU"/>
        </w:rPr>
      </w:pPr>
    </w:p>
    <w:p w14:paraId="017E750A" w14:textId="77777777" w:rsidR="00742278" w:rsidRDefault="000A7BB8" w:rsidP="000A7BB8">
      <w:pPr>
        <w:rPr>
          <w:lang w:val="en-AU"/>
        </w:rPr>
      </w:pPr>
      <w:r>
        <w:rPr>
          <w:lang w:val="en-AU"/>
        </w:rPr>
        <w:tab/>
      </w:r>
    </w:p>
    <w:p w14:paraId="5BBBE745" w14:textId="77777777" w:rsidR="00742278" w:rsidRDefault="00742278" w:rsidP="000A7BB8">
      <w:pPr>
        <w:rPr>
          <w:lang w:val="en-AU"/>
        </w:rPr>
      </w:pPr>
    </w:p>
    <w:p w14:paraId="7F140AD3" w14:textId="77777777" w:rsidR="00742278" w:rsidRDefault="00742278" w:rsidP="000A7BB8">
      <w:pPr>
        <w:rPr>
          <w:lang w:val="en-AU"/>
        </w:rPr>
      </w:pPr>
    </w:p>
    <w:p w14:paraId="239E502B" w14:textId="77777777" w:rsidR="00742278" w:rsidRDefault="00742278" w:rsidP="000A7BB8">
      <w:pPr>
        <w:rPr>
          <w:lang w:val="en-AU"/>
        </w:rPr>
      </w:pPr>
    </w:p>
    <w:p w14:paraId="54552BBB" w14:textId="3EF04BF2" w:rsidR="000A7BB8" w:rsidRDefault="000A7BB8" w:rsidP="000A7BB8">
      <w:pPr>
        <w:rPr>
          <w:lang w:val="en-AU"/>
        </w:rPr>
      </w:pPr>
      <w:r>
        <w:rPr>
          <w:lang w:val="en-AU"/>
        </w:rPr>
        <w:tab/>
      </w:r>
    </w:p>
    <w:p w14:paraId="53701D18" w14:textId="49C7B1F2" w:rsidR="007B2213" w:rsidRPr="0037611C" w:rsidRDefault="007B2213" w:rsidP="007B2213">
      <w:pPr>
        <w:rPr>
          <w:color w:val="2F5496" w:themeColor="accent1" w:themeShade="BF"/>
          <w:sz w:val="28"/>
        </w:rPr>
      </w:pPr>
      <w:bookmarkStart w:id="13" w:name="_Toc497142359"/>
      <w:bookmarkStart w:id="14" w:name="_Toc498336451"/>
      <w:r>
        <w:rPr>
          <w:color w:val="2F5496" w:themeColor="accent1" w:themeShade="BF"/>
          <w:sz w:val="28"/>
        </w:rPr>
        <w:t xml:space="preserve">Draft </w:t>
      </w:r>
      <w:r w:rsidRPr="0037611C">
        <w:rPr>
          <w:color w:val="2F5496" w:themeColor="accent1" w:themeShade="BF"/>
          <w:sz w:val="28"/>
        </w:rPr>
        <w:t>Qualification mapping</w:t>
      </w:r>
      <w:bookmarkEnd w:id="13"/>
      <w:bookmarkEnd w:id="14"/>
    </w:p>
    <w:p w14:paraId="0F18FF88" w14:textId="77777777" w:rsidR="007B2213" w:rsidRPr="00716C59" w:rsidRDefault="007B2213" w:rsidP="007B2213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9634" w:type="dxa"/>
        <w:tblLook w:val="04A0" w:firstRow="1" w:lastRow="0" w:firstColumn="1" w:lastColumn="0" w:noHBand="0" w:noVBand="1"/>
      </w:tblPr>
      <w:tblGrid>
        <w:gridCol w:w="2405"/>
        <w:gridCol w:w="2693"/>
        <w:gridCol w:w="3119"/>
        <w:gridCol w:w="1417"/>
      </w:tblGrid>
      <w:tr w:rsidR="007B2213" w14:paraId="779A964D" w14:textId="77777777" w:rsidTr="0085684F">
        <w:tc>
          <w:tcPr>
            <w:tcW w:w="2405" w:type="dxa"/>
            <w:vAlign w:val="center"/>
          </w:tcPr>
          <w:p w14:paraId="4D0FC7C4" w14:textId="77777777" w:rsidR="007B2213" w:rsidRPr="006F060B" w:rsidRDefault="007B2213" w:rsidP="0085684F">
            <w:pPr>
              <w:rPr>
                <w:b/>
              </w:rPr>
            </w:pPr>
            <w:r>
              <w:rPr>
                <w:b/>
              </w:rPr>
              <w:t>CPC Construction, Plumbing and Services</w:t>
            </w:r>
            <w:r w:rsidRPr="006F060B">
              <w:rPr>
                <w:b/>
              </w:rPr>
              <w:t xml:space="preserve"> Training Package</w:t>
            </w:r>
          </w:p>
        </w:tc>
        <w:tc>
          <w:tcPr>
            <w:tcW w:w="2693" w:type="dxa"/>
            <w:vAlign w:val="center"/>
          </w:tcPr>
          <w:p w14:paraId="716F8F5B" w14:textId="3F9982E6" w:rsidR="007B2213" w:rsidRPr="006F060B" w:rsidRDefault="00723E8F" w:rsidP="0085684F">
            <w:pPr>
              <w:rPr>
                <w:b/>
              </w:rPr>
            </w:pPr>
            <w:r>
              <w:rPr>
                <w:b/>
              </w:rPr>
              <w:t>CPC</w:t>
            </w:r>
            <w:r w:rsidR="007B2213">
              <w:rPr>
                <w:b/>
              </w:rPr>
              <w:t xml:space="preserve"> Construction, Plumbing and Services</w:t>
            </w:r>
            <w:r w:rsidR="007B2213" w:rsidRPr="006F060B">
              <w:rPr>
                <w:b/>
              </w:rPr>
              <w:t xml:space="preserve"> Training Package</w:t>
            </w:r>
          </w:p>
        </w:tc>
        <w:tc>
          <w:tcPr>
            <w:tcW w:w="3119" w:type="dxa"/>
            <w:vAlign w:val="center"/>
          </w:tcPr>
          <w:p w14:paraId="5FDB7823" w14:textId="77777777" w:rsidR="007B2213" w:rsidRPr="006F060B" w:rsidRDefault="007B2213" w:rsidP="0085684F">
            <w:pPr>
              <w:rPr>
                <w:b/>
              </w:rPr>
            </w:pPr>
            <w:r w:rsidRPr="006F060B">
              <w:rPr>
                <w:b/>
              </w:rPr>
              <w:t>Comments</w:t>
            </w:r>
          </w:p>
        </w:tc>
        <w:tc>
          <w:tcPr>
            <w:tcW w:w="1417" w:type="dxa"/>
            <w:vAlign w:val="center"/>
          </w:tcPr>
          <w:p w14:paraId="019CCE14" w14:textId="77777777" w:rsidR="007B2213" w:rsidRPr="006F060B" w:rsidRDefault="007B2213" w:rsidP="0085684F">
            <w:pPr>
              <w:rPr>
                <w:b/>
              </w:rPr>
            </w:pPr>
            <w:r>
              <w:rPr>
                <w:b/>
              </w:rPr>
              <w:t xml:space="preserve">Anticipated </w:t>
            </w:r>
            <w:r w:rsidRPr="006F060B">
              <w:rPr>
                <w:b/>
              </w:rPr>
              <w:t>Equivalent statement</w:t>
            </w:r>
          </w:p>
        </w:tc>
      </w:tr>
      <w:tr w:rsidR="007B2213" w14:paraId="74372E95" w14:textId="77777777" w:rsidTr="0085684F">
        <w:tc>
          <w:tcPr>
            <w:tcW w:w="2405" w:type="dxa"/>
            <w:vAlign w:val="center"/>
          </w:tcPr>
          <w:p w14:paraId="0084FB4B" w14:textId="4C60F263" w:rsidR="007B2213" w:rsidRPr="006104F5" w:rsidRDefault="007B2213" w:rsidP="0085684F">
            <w:pPr>
              <w:rPr>
                <w:rFonts w:eastAsia="Times New Roman"/>
                <w:lang w:eastAsia="en-AU"/>
              </w:rPr>
            </w:pPr>
            <w:r w:rsidRPr="006104F5">
              <w:rPr>
                <w:rFonts w:eastAsia="Times New Roman"/>
                <w:lang w:eastAsia="en-AU"/>
              </w:rPr>
              <w:t>CP</w:t>
            </w:r>
            <w:r w:rsidR="005716FB">
              <w:rPr>
                <w:rFonts w:eastAsia="Times New Roman"/>
                <w:lang w:eastAsia="en-AU"/>
              </w:rPr>
              <w:t>C</w:t>
            </w:r>
            <w:r w:rsidR="00C404DA">
              <w:rPr>
                <w:rFonts w:eastAsia="Times New Roman"/>
                <w:lang w:eastAsia="en-AU"/>
              </w:rPr>
              <w:t>30116</w:t>
            </w:r>
            <w:r w:rsidRPr="006104F5">
              <w:rPr>
                <w:rFonts w:eastAsia="Times New Roman"/>
                <w:lang w:eastAsia="en-AU"/>
              </w:rPr>
              <w:t xml:space="preserve"> Certificate III</w:t>
            </w:r>
            <w:r w:rsidR="00C404DA">
              <w:rPr>
                <w:rFonts w:eastAsia="Times New Roman"/>
                <w:lang w:eastAsia="en-AU"/>
              </w:rPr>
              <w:t xml:space="preserve"> in Shopfitting</w:t>
            </w:r>
            <w:r w:rsidRPr="006104F5">
              <w:rPr>
                <w:rFonts w:eastAsia="Times New Roman"/>
                <w:lang w:eastAsia="en-AU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08A919E2" w14:textId="5464F73D" w:rsidR="007B2213" w:rsidRPr="00C762A3" w:rsidRDefault="00ED7B16" w:rsidP="0085684F">
            <w:pPr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CPC3X</w:t>
            </w:r>
            <w:r w:rsidR="0088054D">
              <w:rPr>
                <w:rFonts w:eastAsia="Times New Roman"/>
                <w:lang w:eastAsia="en-AU"/>
              </w:rPr>
              <w:t>X20</w:t>
            </w:r>
            <w:r w:rsidR="007B2213">
              <w:rPr>
                <w:rFonts w:eastAsia="Times New Roman"/>
                <w:lang w:eastAsia="en-AU"/>
              </w:rPr>
              <w:t xml:space="preserve"> Certificate III </w:t>
            </w:r>
            <w:r w:rsidR="0088054D">
              <w:rPr>
                <w:rFonts w:eastAsia="Times New Roman"/>
                <w:lang w:eastAsia="en-AU"/>
              </w:rPr>
              <w:t>in Shopfitting</w:t>
            </w:r>
          </w:p>
        </w:tc>
        <w:tc>
          <w:tcPr>
            <w:tcW w:w="3119" w:type="dxa"/>
            <w:vAlign w:val="center"/>
          </w:tcPr>
          <w:p w14:paraId="5A5297F7" w14:textId="4961F44B" w:rsidR="007B2213" w:rsidRPr="00DE540D" w:rsidRDefault="007B2213" w:rsidP="0085684F">
            <w:pPr>
              <w:rPr>
                <w:lang w:val="en-AU"/>
              </w:rPr>
            </w:pPr>
            <w:r>
              <w:rPr>
                <w:lang w:val="en-AU"/>
              </w:rPr>
              <w:t xml:space="preserve">Superseded and is equivalent to </w:t>
            </w:r>
            <w:r w:rsidR="00ED7B16">
              <w:rPr>
                <w:rFonts w:eastAsia="Times New Roman"/>
                <w:lang w:eastAsia="en-AU"/>
              </w:rPr>
              <w:t>CPC30116</w:t>
            </w:r>
            <w:r>
              <w:rPr>
                <w:rFonts w:eastAsia="Times New Roman"/>
                <w:lang w:eastAsia="en-AU"/>
              </w:rPr>
              <w:t xml:space="preserve"> Certificate III </w:t>
            </w:r>
            <w:r w:rsidR="00ED7B16">
              <w:rPr>
                <w:rFonts w:eastAsia="Times New Roman"/>
                <w:lang w:eastAsia="en-AU"/>
              </w:rPr>
              <w:t>in Shopfitting</w:t>
            </w:r>
          </w:p>
        </w:tc>
        <w:tc>
          <w:tcPr>
            <w:tcW w:w="1417" w:type="dxa"/>
            <w:vAlign w:val="center"/>
          </w:tcPr>
          <w:p w14:paraId="2D9CD229" w14:textId="77777777" w:rsidR="007B2213" w:rsidRPr="00C762A3" w:rsidRDefault="007B2213" w:rsidP="0085684F">
            <w:pPr>
              <w:jc w:val="center"/>
              <w:rPr>
                <w:rFonts w:eastAsia="Times New Roman"/>
                <w:lang w:eastAsia="en-AU"/>
              </w:rPr>
            </w:pPr>
            <w:r>
              <w:rPr>
                <w:rFonts w:eastAsia="Times New Roman"/>
                <w:lang w:eastAsia="en-AU"/>
              </w:rPr>
              <w:t>E</w:t>
            </w:r>
          </w:p>
        </w:tc>
      </w:tr>
    </w:tbl>
    <w:p w14:paraId="3665C2A8" w14:textId="733084ED" w:rsidR="000A7BB8" w:rsidRDefault="000A7BB8" w:rsidP="000A7BB8">
      <w:pPr>
        <w:rPr>
          <w:lang w:val="en-AU"/>
        </w:rPr>
      </w:pPr>
    </w:p>
    <w:p w14:paraId="27686CFD" w14:textId="6C29E72C" w:rsidR="007B2213" w:rsidRDefault="007B2213" w:rsidP="000A7BB8">
      <w:pPr>
        <w:rPr>
          <w:lang w:val="en-AU"/>
        </w:rPr>
      </w:pPr>
    </w:p>
    <w:p w14:paraId="0AA76EA4" w14:textId="4A50BF93" w:rsidR="007B2213" w:rsidRPr="0037611C" w:rsidRDefault="007B2213" w:rsidP="007B2213">
      <w:pPr>
        <w:rPr>
          <w:color w:val="2F5496" w:themeColor="accent1" w:themeShade="BF"/>
          <w:sz w:val="28"/>
        </w:rPr>
      </w:pPr>
      <w:r>
        <w:rPr>
          <w:color w:val="2F5496" w:themeColor="accent1" w:themeShade="BF"/>
          <w:sz w:val="28"/>
        </w:rPr>
        <w:t xml:space="preserve">Draft </w:t>
      </w:r>
      <w:r w:rsidRPr="0037611C">
        <w:rPr>
          <w:color w:val="2F5496" w:themeColor="accent1" w:themeShade="BF"/>
          <w:sz w:val="28"/>
        </w:rPr>
        <w:t>Units of competency mapping</w:t>
      </w:r>
    </w:p>
    <w:p w14:paraId="544C3795" w14:textId="77777777" w:rsidR="007B2213" w:rsidRPr="00716C59" w:rsidRDefault="007B2213" w:rsidP="007B2213">
      <w:pPr>
        <w:rPr>
          <w:b/>
          <w:color w:val="3B3838" w:themeColor="background2" w:themeShade="40"/>
          <w:sz w:val="24"/>
        </w:rPr>
      </w:pPr>
    </w:p>
    <w:tbl>
      <w:tblPr>
        <w:tblStyle w:val="TableGridLight1"/>
        <w:tblW w:w="5000" w:type="pct"/>
        <w:tblLook w:val="04A0" w:firstRow="1" w:lastRow="0" w:firstColumn="1" w:lastColumn="0" w:noHBand="0" w:noVBand="1"/>
      </w:tblPr>
      <w:tblGrid>
        <w:gridCol w:w="2401"/>
        <w:gridCol w:w="2711"/>
        <w:gridCol w:w="3101"/>
        <w:gridCol w:w="1352"/>
      </w:tblGrid>
      <w:tr w:rsidR="007B2213" w:rsidRPr="00E505E3" w14:paraId="4D21AECB" w14:textId="77777777" w:rsidTr="0085684F">
        <w:trPr>
          <w:tblHeader/>
        </w:trPr>
        <w:tc>
          <w:tcPr>
            <w:tcW w:w="1255" w:type="pct"/>
          </w:tcPr>
          <w:p w14:paraId="0AFD3D34" w14:textId="77777777" w:rsidR="007B2213" w:rsidRPr="00E505E3" w:rsidRDefault="007B2213" w:rsidP="0085684F">
            <w:pPr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szCs w:val="22"/>
              </w:rPr>
              <w:t>CPC Construction, Plumbing and Services Training Package</w:t>
            </w:r>
          </w:p>
        </w:tc>
        <w:tc>
          <w:tcPr>
            <w:tcW w:w="1417" w:type="pct"/>
          </w:tcPr>
          <w:p w14:paraId="3021A0D9" w14:textId="00F6904A" w:rsidR="007B2213" w:rsidRPr="00E505E3" w:rsidRDefault="00ED7B16" w:rsidP="0085684F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>
              <w:rPr>
                <w:b/>
                <w:szCs w:val="22"/>
              </w:rPr>
              <w:t>CPC</w:t>
            </w:r>
            <w:r w:rsidR="007B2213" w:rsidRPr="00E505E3">
              <w:rPr>
                <w:b/>
                <w:szCs w:val="22"/>
              </w:rPr>
              <w:t xml:space="preserve"> Construction, Plumbing and Services Training Package</w:t>
            </w:r>
          </w:p>
        </w:tc>
        <w:tc>
          <w:tcPr>
            <w:tcW w:w="1621" w:type="pct"/>
          </w:tcPr>
          <w:p w14:paraId="15247E13" w14:textId="77777777" w:rsidR="007B2213" w:rsidRPr="00E505E3" w:rsidRDefault="007B2213" w:rsidP="0085684F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 w:rsidRPr="00E505E3">
              <w:rPr>
                <w:b/>
                <w:color w:val="000000" w:themeColor="text1"/>
                <w:szCs w:val="22"/>
              </w:rPr>
              <w:t>Comments</w:t>
            </w:r>
          </w:p>
        </w:tc>
        <w:tc>
          <w:tcPr>
            <w:tcW w:w="707" w:type="pct"/>
          </w:tcPr>
          <w:p w14:paraId="34055F31" w14:textId="77777777" w:rsidR="007B2213" w:rsidRPr="00E505E3" w:rsidRDefault="007B2213" w:rsidP="0085684F">
            <w:pPr>
              <w:spacing w:before="40" w:after="40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 xml:space="preserve">Anticipated </w:t>
            </w:r>
            <w:r w:rsidRPr="00E505E3">
              <w:rPr>
                <w:b/>
                <w:color w:val="000000" w:themeColor="text1"/>
                <w:szCs w:val="22"/>
              </w:rPr>
              <w:t>Equivalent statement</w:t>
            </w:r>
          </w:p>
        </w:tc>
      </w:tr>
      <w:tr w:rsidR="009D6A57" w:rsidRPr="00E505E3" w14:paraId="1FC46037" w14:textId="77777777" w:rsidTr="00BA614E">
        <w:tc>
          <w:tcPr>
            <w:tcW w:w="1255" w:type="pct"/>
          </w:tcPr>
          <w:p w14:paraId="203B9357" w14:textId="35A149D5" w:rsidR="009D6A57" w:rsidRPr="00E505E3" w:rsidRDefault="009D6A57" w:rsidP="00BA614E">
            <w:pPr>
              <w:rPr>
                <w:bCs/>
                <w:szCs w:val="22"/>
                <w:lang w:eastAsia="en-AU"/>
              </w:rPr>
            </w:pPr>
            <w:bookmarkStart w:id="15" w:name="_Hlk13482655"/>
            <w:r w:rsidRPr="00837103">
              <w:rPr>
                <w:bCs/>
                <w:szCs w:val="22"/>
              </w:rPr>
              <w:t>CPCCSH3001</w:t>
            </w:r>
            <w:bookmarkEnd w:id="15"/>
            <w:r>
              <w:rPr>
                <w:bCs/>
                <w:szCs w:val="22"/>
              </w:rPr>
              <w:t xml:space="preserve"> </w:t>
            </w:r>
            <w:r w:rsidRPr="00837103">
              <w:rPr>
                <w:bCs/>
                <w:szCs w:val="22"/>
              </w:rPr>
              <w:t>Fabricate shopfitting components using CNC machines</w:t>
            </w:r>
          </w:p>
        </w:tc>
        <w:tc>
          <w:tcPr>
            <w:tcW w:w="1417" w:type="pct"/>
          </w:tcPr>
          <w:p w14:paraId="2890322B" w14:textId="57D4C162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bCs/>
                <w:szCs w:val="22"/>
              </w:rPr>
              <w:t xml:space="preserve">CPCCSH3XXX </w:t>
            </w:r>
            <w:r w:rsidRPr="00837103">
              <w:rPr>
                <w:bCs/>
                <w:szCs w:val="22"/>
              </w:rPr>
              <w:t>Fabricate shopfitting components using CNC machines</w:t>
            </w:r>
          </w:p>
        </w:tc>
        <w:tc>
          <w:tcPr>
            <w:tcW w:w="1621" w:type="pct"/>
          </w:tcPr>
          <w:p w14:paraId="3EE172FD" w14:textId="0E119A34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="00BA614E" w:rsidRPr="00837103">
              <w:rPr>
                <w:bCs/>
                <w:szCs w:val="22"/>
              </w:rPr>
              <w:t>CPCCSH3001</w:t>
            </w:r>
            <w:r w:rsidR="00BA614E">
              <w:rPr>
                <w:bCs/>
                <w:szCs w:val="22"/>
              </w:rPr>
              <w:t xml:space="preserve"> </w:t>
            </w:r>
            <w:r w:rsidR="00BA614E" w:rsidRPr="00837103">
              <w:rPr>
                <w:bCs/>
                <w:szCs w:val="22"/>
              </w:rPr>
              <w:t>Fabricate shopfitting components using CNC machines</w:t>
            </w:r>
          </w:p>
          <w:p w14:paraId="6A0525CE" w14:textId="330C5C66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  <w:tc>
          <w:tcPr>
            <w:tcW w:w="707" w:type="pct"/>
          </w:tcPr>
          <w:p w14:paraId="62883E21" w14:textId="77777777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</w:tc>
      </w:tr>
      <w:tr w:rsidR="009D6A57" w:rsidRPr="00E505E3" w14:paraId="0B2F639C" w14:textId="77777777" w:rsidTr="00BA614E">
        <w:tc>
          <w:tcPr>
            <w:tcW w:w="1255" w:type="pct"/>
          </w:tcPr>
          <w:p w14:paraId="4BABEADB" w14:textId="04428F49" w:rsidR="009D6A57" w:rsidRPr="00E505E3" w:rsidRDefault="009D6A57" w:rsidP="00BA614E">
            <w:pPr>
              <w:rPr>
                <w:bCs/>
                <w:szCs w:val="22"/>
                <w:lang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CPCCHS3002</w:t>
            </w:r>
            <w:r w:rsidRPr="00E505E3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Fabricate and assemble shopfront structures</w:t>
            </w:r>
          </w:p>
        </w:tc>
        <w:tc>
          <w:tcPr>
            <w:tcW w:w="1417" w:type="pct"/>
          </w:tcPr>
          <w:p w14:paraId="1D5DBB56" w14:textId="6613A370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CPCCHS3XXX</w:t>
            </w:r>
            <w:r w:rsidRPr="00E505E3">
              <w:rPr>
                <w:rFonts w:cs="Calibri"/>
                <w:color w:val="000000"/>
                <w:szCs w:val="22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Fabricate and assemble shopfront structures</w:t>
            </w:r>
          </w:p>
        </w:tc>
        <w:tc>
          <w:tcPr>
            <w:tcW w:w="1621" w:type="pct"/>
          </w:tcPr>
          <w:p w14:paraId="09A8EFA0" w14:textId="660387A6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>
              <w:rPr>
                <w:color w:val="000000"/>
                <w:szCs w:val="22"/>
                <w:lang w:eastAsia="en-AU"/>
              </w:rPr>
              <w:t xml:space="preserve">Supersedes and is </w:t>
            </w:r>
            <w:r w:rsidRPr="00E505E3">
              <w:rPr>
                <w:color w:val="000000"/>
                <w:szCs w:val="22"/>
                <w:lang w:eastAsia="en-AU"/>
              </w:rPr>
              <w:t xml:space="preserve">equivalent to </w:t>
            </w:r>
            <w:r w:rsidR="00BA614E"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CPCCHS3002</w:t>
            </w:r>
            <w:r w:rsidR="00BA614E" w:rsidRPr="00E505E3">
              <w:rPr>
                <w:rFonts w:cs="Calibri"/>
                <w:color w:val="000000"/>
                <w:szCs w:val="22"/>
              </w:rPr>
              <w:t xml:space="preserve"> </w:t>
            </w:r>
            <w:r w:rsidR="00BA614E"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Fabricate and assemble shopfront structures</w:t>
            </w:r>
          </w:p>
        </w:tc>
        <w:tc>
          <w:tcPr>
            <w:tcW w:w="707" w:type="pct"/>
          </w:tcPr>
          <w:p w14:paraId="087FA53C" w14:textId="77777777" w:rsidR="009D6A57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E505E3">
              <w:rPr>
                <w:color w:val="000000"/>
                <w:szCs w:val="22"/>
                <w:lang w:eastAsia="en-AU"/>
              </w:rPr>
              <w:t>E</w:t>
            </w:r>
          </w:p>
          <w:p w14:paraId="30FD944F" w14:textId="77777777" w:rsidR="009D6A57" w:rsidRPr="00E505E3" w:rsidRDefault="009D6A57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36693997" w14:textId="77777777" w:rsidTr="00BA614E">
        <w:tc>
          <w:tcPr>
            <w:tcW w:w="1255" w:type="pct"/>
          </w:tcPr>
          <w:p w14:paraId="0A95AB4E" w14:textId="530C7B20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CPCCHS3003 Assemble and install shopfront structures</w:t>
            </w:r>
          </w:p>
        </w:tc>
        <w:tc>
          <w:tcPr>
            <w:tcW w:w="1417" w:type="pct"/>
          </w:tcPr>
          <w:p w14:paraId="2AD9947F" w14:textId="1E7ECD06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CPCCHS3XXX Assemble and install shopfront structures</w:t>
            </w:r>
          </w:p>
        </w:tc>
        <w:tc>
          <w:tcPr>
            <w:tcW w:w="1621" w:type="pct"/>
          </w:tcPr>
          <w:p w14:paraId="782298B6" w14:textId="29A7395A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C0285E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CPCCHS3003 Assemble and install shopfront structures</w:t>
            </w:r>
          </w:p>
        </w:tc>
        <w:tc>
          <w:tcPr>
            <w:tcW w:w="707" w:type="pct"/>
          </w:tcPr>
          <w:p w14:paraId="62497062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2E1BFAEF" w14:textId="77777777" w:rsidTr="00BA614E">
        <w:tc>
          <w:tcPr>
            <w:tcW w:w="1255" w:type="pct"/>
          </w:tcPr>
          <w:p w14:paraId="33904A99" w14:textId="6218B787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CPCCSH3004 Assemble internal shopfitting units and prepare for transport</w:t>
            </w:r>
          </w:p>
        </w:tc>
        <w:tc>
          <w:tcPr>
            <w:tcW w:w="1417" w:type="pct"/>
          </w:tcPr>
          <w:p w14:paraId="418AAF6A" w14:textId="7A4F13AD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Assemble internal shopfitting units and prepare for transport</w:t>
            </w:r>
          </w:p>
        </w:tc>
        <w:tc>
          <w:tcPr>
            <w:tcW w:w="1621" w:type="pct"/>
          </w:tcPr>
          <w:p w14:paraId="00785B90" w14:textId="6A3EAA9F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C0285E">
              <w:rPr>
                <w:color w:val="000000"/>
                <w:szCs w:val="22"/>
                <w:lang w:eastAsia="en-AU"/>
              </w:rPr>
              <w:t>Supersedes and is equivalent to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CPCCSH3004 Assemble internal shopfitting units and prepare for transport</w:t>
            </w:r>
            <w:r w:rsidRPr="00C0285E">
              <w:rPr>
                <w:color w:val="000000"/>
                <w:szCs w:val="22"/>
                <w:lang w:eastAsia="en-AU"/>
              </w:rPr>
              <w:t xml:space="preserve"> </w:t>
            </w:r>
          </w:p>
        </w:tc>
        <w:tc>
          <w:tcPr>
            <w:tcW w:w="707" w:type="pct"/>
          </w:tcPr>
          <w:p w14:paraId="245D65ED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6CE6DD29" w14:textId="77777777" w:rsidTr="00BA614E">
        <w:tc>
          <w:tcPr>
            <w:tcW w:w="1255" w:type="pct"/>
          </w:tcPr>
          <w:p w14:paraId="2904432F" w14:textId="4EA471C1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lastRenderedPageBreak/>
              <w:t>CPCCSH3005 Apply and trim decorative additions to shopfittings and components</w:t>
            </w:r>
          </w:p>
        </w:tc>
        <w:tc>
          <w:tcPr>
            <w:tcW w:w="1417" w:type="pct"/>
          </w:tcPr>
          <w:p w14:paraId="23922091" w14:textId="552D57A1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Apply and trim decorative additions to shopfittings and components</w:t>
            </w:r>
          </w:p>
        </w:tc>
        <w:tc>
          <w:tcPr>
            <w:tcW w:w="1621" w:type="pct"/>
          </w:tcPr>
          <w:p w14:paraId="37F820E2" w14:textId="0AEE4D56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C0285E">
              <w:rPr>
                <w:color w:val="000000"/>
                <w:szCs w:val="22"/>
                <w:lang w:eastAsia="en-AU"/>
              </w:rPr>
              <w:t>Supersedes and is equivalent to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CPCCSH3005 Apply and trim decorative additions to shopfittings and components</w:t>
            </w:r>
            <w:r w:rsidRPr="00C0285E">
              <w:rPr>
                <w:color w:val="000000"/>
                <w:szCs w:val="22"/>
                <w:lang w:eastAsia="en-AU"/>
              </w:rPr>
              <w:t xml:space="preserve"> </w:t>
            </w:r>
          </w:p>
        </w:tc>
        <w:tc>
          <w:tcPr>
            <w:tcW w:w="707" w:type="pct"/>
          </w:tcPr>
          <w:p w14:paraId="45125F82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2E2CF1E0" w14:textId="77777777" w:rsidTr="00BA614E">
        <w:tc>
          <w:tcPr>
            <w:tcW w:w="1255" w:type="pct"/>
          </w:tcPr>
          <w:p w14:paraId="670608E7" w14:textId="42A924FD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CPCCSH3006 Prepare shopfitting and surfaces and apply liquid finishes</w:t>
            </w:r>
          </w:p>
        </w:tc>
        <w:tc>
          <w:tcPr>
            <w:tcW w:w="1417" w:type="pct"/>
          </w:tcPr>
          <w:p w14:paraId="6D907CC1" w14:textId="3418389B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Prepare shopfitting and surfaces and apply liquid finishes</w:t>
            </w:r>
          </w:p>
        </w:tc>
        <w:tc>
          <w:tcPr>
            <w:tcW w:w="1621" w:type="pct"/>
          </w:tcPr>
          <w:p w14:paraId="5B0EE090" w14:textId="65362607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034B42">
              <w:rPr>
                <w:color w:val="000000"/>
                <w:szCs w:val="22"/>
                <w:lang w:eastAsia="en-AU"/>
              </w:rPr>
              <w:t>Supersedes and is equivalent to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 xml:space="preserve"> </w:t>
            </w: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CPCCSH3006 Prepare shopfitting and surfaces and apply liquid finishes</w:t>
            </w:r>
            <w:r w:rsidRPr="00034B42">
              <w:rPr>
                <w:color w:val="000000"/>
                <w:szCs w:val="22"/>
                <w:lang w:eastAsia="en-AU"/>
              </w:rPr>
              <w:t xml:space="preserve"> </w:t>
            </w:r>
          </w:p>
        </w:tc>
        <w:tc>
          <w:tcPr>
            <w:tcW w:w="707" w:type="pct"/>
          </w:tcPr>
          <w:p w14:paraId="64C9D63E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4EA27B07" w14:textId="77777777" w:rsidTr="00BA614E">
        <w:tc>
          <w:tcPr>
            <w:tcW w:w="1255" w:type="pct"/>
          </w:tcPr>
          <w:p w14:paraId="4151FB39" w14:textId="1947F5CE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CPCCSH3007 Install prefabricated internal shopfitting units</w:t>
            </w:r>
          </w:p>
        </w:tc>
        <w:tc>
          <w:tcPr>
            <w:tcW w:w="1417" w:type="pct"/>
          </w:tcPr>
          <w:p w14:paraId="011F8889" w14:textId="62BB3CE3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Install prefabricated internal shopfitting units</w:t>
            </w:r>
          </w:p>
        </w:tc>
        <w:tc>
          <w:tcPr>
            <w:tcW w:w="1621" w:type="pct"/>
          </w:tcPr>
          <w:p w14:paraId="31C5A68B" w14:textId="53A8C532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034B42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="001A63DA"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CPCCSH3007 Install prefabricated internal shopfitting units</w:t>
            </w:r>
          </w:p>
        </w:tc>
        <w:tc>
          <w:tcPr>
            <w:tcW w:w="707" w:type="pct"/>
          </w:tcPr>
          <w:p w14:paraId="0692F3E0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65DBFF72" w14:textId="77777777" w:rsidTr="00BA614E">
        <w:tc>
          <w:tcPr>
            <w:tcW w:w="1255" w:type="pct"/>
          </w:tcPr>
          <w:p w14:paraId="4CA8FCBD" w14:textId="5B7D56FE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CPCCSH3008 Install internal shop walls and fixtures</w:t>
            </w:r>
          </w:p>
        </w:tc>
        <w:tc>
          <w:tcPr>
            <w:tcW w:w="1417" w:type="pct"/>
          </w:tcPr>
          <w:p w14:paraId="09F4C1DE" w14:textId="79354C65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Install internal shop walls and fixtures</w:t>
            </w:r>
          </w:p>
        </w:tc>
        <w:tc>
          <w:tcPr>
            <w:tcW w:w="1621" w:type="pct"/>
          </w:tcPr>
          <w:p w14:paraId="0DBE2802" w14:textId="482666B5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034B42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="001A63DA"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CPCCSH3008 Install internal shop walls and fixtures</w:t>
            </w:r>
          </w:p>
        </w:tc>
        <w:tc>
          <w:tcPr>
            <w:tcW w:w="707" w:type="pct"/>
          </w:tcPr>
          <w:p w14:paraId="53119DB5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72D7E10B" w14:textId="77777777" w:rsidTr="00BA614E">
        <w:tc>
          <w:tcPr>
            <w:tcW w:w="1255" w:type="pct"/>
          </w:tcPr>
          <w:p w14:paraId="2CB8CB42" w14:textId="0483E04C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CPCCSH3009 Demolish shopfronts and bulkheads</w:t>
            </w:r>
          </w:p>
        </w:tc>
        <w:tc>
          <w:tcPr>
            <w:tcW w:w="1417" w:type="pct"/>
          </w:tcPr>
          <w:p w14:paraId="485A7BD7" w14:textId="583D3663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Demolish shopfronts and bulkheads</w:t>
            </w:r>
          </w:p>
        </w:tc>
        <w:tc>
          <w:tcPr>
            <w:tcW w:w="1621" w:type="pct"/>
          </w:tcPr>
          <w:p w14:paraId="524DD147" w14:textId="38D47568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034B42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="001A63DA"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CPCCSH3009 Demolish shopfronts and bulkheads</w:t>
            </w:r>
          </w:p>
        </w:tc>
        <w:tc>
          <w:tcPr>
            <w:tcW w:w="707" w:type="pct"/>
          </w:tcPr>
          <w:p w14:paraId="0E627965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  <w:tr w:rsidR="00BA614E" w:rsidRPr="00E505E3" w14:paraId="05ECA46D" w14:textId="77777777" w:rsidTr="00BA614E">
        <w:tc>
          <w:tcPr>
            <w:tcW w:w="1255" w:type="pct"/>
          </w:tcPr>
          <w:p w14:paraId="53867A91" w14:textId="749C273A" w:rsidR="00BA614E" w:rsidRDefault="00BA614E" w:rsidP="00BA614E">
            <w:pPr>
              <w:rPr>
                <w:rFonts w:eastAsiaTheme="minorEastAsia"/>
                <w:color w:val="000000" w:themeColor="text1"/>
                <w:szCs w:val="22"/>
                <w:lang w:val="en-AU" w:eastAsia="en-AU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CPCCSH3010 Prepare shop floors for new coverings</w:t>
            </w:r>
          </w:p>
        </w:tc>
        <w:tc>
          <w:tcPr>
            <w:tcW w:w="1417" w:type="pct"/>
          </w:tcPr>
          <w:p w14:paraId="6918E397" w14:textId="5518B2E0" w:rsidR="00BA614E" w:rsidRPr="00E505E3" w:rsidRDefault="00BA614E" w:rsidP="00BA614E">
            <w:pPr>
              <w:spacing w:before="40" w:after="40"/>
              <w:rPr>
                <w:rFonts w:cs="Calibri"/>
                <w:color w:val="000000"/>
                <w:szCs w:val="22"/>
              </w:rPr>
            </w:pPr>
            <w:r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CPCCSH3XXX Prepare shop floors for new coverings</w:t>
            </w:r>
          </w:p>
        </w:tc>
        <w:tc>
          <w:tcPr>
            <w:tcW w:w="1621" w:type="pct"/>
          </w:tcPr>
          <w:p w14:paraId="7AE00CAA" w14:textId="30542ECF" w:rsidR="00BA614E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  <w:r w:rsidRPr="00034B42">
              <w:rPr>
                <w:color w:val="000000"/>
                <w:szCs w:val="22"/>
                <w:lang w:eastAsia="en-AU"/>
              </w:rPr>
              <w:t xml:space="preserve">Supersedes and is equivalent to </w:t>
            </w:r>
            <w:r w:rsidR="001A63DA">
              <w:rPr>
                <w:rFonts w:eastAsiaTheme="minorEastAsia"/>
                <w:color w:val="000000" w:themeColor="text1"/>
                <w:szCs w:val="22"/>
                <w:lang w:val="en-AU" w:eastAsia="en-AU"/>
              </w:rPr>
              <w:t>CPCCSH3010 Prepare shop floors for new coverings</w:t>
            </w:r>
          </w:p>
        </w:tc>
        <w:tc>
          <w:tcPr>
            <w:tcW w:w="707" w:type="pct"/>
          </w:tcPr>
          <w:p w14:paraId="0052DCC8" w14:textId="77777777" w:rsidR="00BA614E" w:rsidRPr="00E505E3" w:rsidRDefault="00BA614E" w:rsidP="00BA614E">
            <w:pPr>
              <w:spacing w:before="40" w:after="40"/>
              <w:rPr>
                <w:color w:val="000000"/>
                <w:szCs w:val="22"/>
                <w:lang w:eastAsia="en-AU"/>
              </w:rPr>
            </w:pPr>
          </w:p>
        </w:tc>
      </w:tr>
    </w:tbl>
    <w:p w14:paraId="1E9664D8" w14:textId="77777777" w:rsidR="007B2213" w:rsidRPr="000A7BB8" w:rsidRDefault="007B2213" w:rsidP="000A7BB8">
      <w:pPr>
        <w:rPr>
          <w:lang w:val="en-AU"/>
        </w:rPr>
      </w:pPr>
      <w:bookmarkStart w:id="16" w:name="_GoBack"/>
      <w:bookmarkEnd w:id="16"/>
    </w:p>
    <w:sectPr w:rsidR="007B2213" w:rsidRPr="000A7BB8" w:rsidSect="00933E5B">
      <w:footerReference w:type="default" r:id="rId9"/>
      <w:pgSz w:w="11900" w:h="16840"/>
      <w:pgMar w:top="1134" w:right="11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EF12E7" w14:textId="77777777" w:rsidR="00366AD7" w:rsidRDefault="00366AD7" w:rsidP="00D84328">
      <w:r>
        <w:separator/>
      </w:r>
    </w:p>
  </w:endnote>
  <w:endnote w:type="continuationSeparator" w:id="0">
    <w:p w14:paraId="16AD7F3A" w14:textId="77777777" w:rsidR="00366AD7" w:rsidRDefault="00366AD7" w:rsidP="00D8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A85B1" w14:textId="7FED3B53" w:rsidR="007C0564" w:rsidRPr="007C0564" w:rsidRDefault="00742278" w:rsidP="00E73F14">
    <w:pPr>
      <w:pStyle w:val="Footer"/>
      <w:rPr>
        <w:color w:val="000000" w:themeColor="text1"/>
        <w:sz w:val="18"/>
      </w:rPr>
    </w:pPr>
    <w:r>
      <w:rPr>
        <w:color w:val="000000" w:themeColor="text1"/>
        <w:sz w:val="18"/>
      </w:rPr>
      <w:t xml:space="preserve">Project Brief 2 </w:t>
    </w:r>
    <w:r w:rsidR="00E73F14">
      <w:rPr>
        <w:color w:val="000000" w:themeColor="text1"/>
        <w:sz w:val="18"/>
      </w:rPr>
      <w:tab/>
    </w:r>
    <w:r w:rsidR="00E73F14">
      <w:rPr>
        <w:color w:val="000000" w:themeColor="text1"/>
        <w:sz w:val="18"/>
      </w:rPr>
      <w:tab/>
      <w:t xml:space="preserve"> </w:t>
    </w:r>
    <w:r w:rsidR="007C0564" w:rsidRPr="007C0564">
      <w:rPr>
        <w:color w:val="000000" w:themeColor="text1"/>
        <w:sz w:val="18"/>
      </w:rPr>
      <w:t xml:space="preserve">Page </w:t>
    </w:r>
    <w:r w:rsidR="007C0564">
      <w:rPr>
        <w:color w:val="000000" w:themeColor="text1"/>
        <w:sz w:val="18"/>
      </w:rPr>
      <w:t xml:space="preserve">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PAGE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6B6954">
      <w:rPr>
        <w:noProof/>
        <w:color w:val="000000" w:themeColor="text1"/>
        <w:sz w:val="18"/>
      </w:rPr>
      <w:t>3</w:t>
    </w:r>
    <w:r w:rsidR="007C0564" w:rsidRPr="007C0564">
      <w:rPr>
        <w:color w:val="000000" w:themeColor="text1"/>
        <w:sz w:val="18"/>
      </w:rPr>
      <w:fldChar w:fldCharType="end"/>
    </w:r>
    <w:r w:rsidR="007C0564" w:rsidRPr="007C0564">
      <w:rPr>
        <w:color w:val="000000" w:themeColor="text1"/>
        <w:sz w:val="18"/>
      </w:rPr>
      <w:t xml:space="preserve"> of </w:t>
    </w:r>
    <w:r w:rsidR="007C0564" w:rsidRPr="007C0564">
      <w:rPr>
        <w:color w:val="000000" w:themeColor="text1"/>
        <w:sz w:val="18"/>
      </w:rPr>
      <w:fldChar w:fldCharType="begin"/>
    </w:r>
    <w:r w:rsidR="007C0564" w:rsidRPr="007C0564">
      <w:rPr>
        <w:color w:val="000000" w:themeColor="text1"/>
        <w:sz w:val="18"/>
      </w:rPr>
      <w:instrText xml:space="preserve"> NUMPAGES  \* Arabic  \* MERGEFORMAT </w:instrText>
    </w:r>
    <w:r w:rsidR="007C0564" w:rsidRPr="007C0564">
      <w:rPr>
        <w:color w:val="000000" w:themeColor="text1"/>
        <w:sz w:val="18"/>
      </w:rPr>
      <w:fldChar w:fldCharType="separate"/>
    </w:r>
    <w:r w:rsidR="006B6954">
      <w:rPr>
        <w:noProof/>
        <w:color w:val="000000" w:themeColor="text1"/>
        <w:sz w:val="18"/>
      </w:rPr>
      <w:t>3</w:t>
    </w:r>
    <w:r w:rsidR="007C0564" w:rsidRPr="007C0564">
      <w:rPr>
        <w:color w:val="000000" w:themeColor="text1"/>
        <w:sz w:val="18"/>
      </w:rPr>
      <w:fldChar w:fldCharType="end"/>
    </w:r>
  </w:p>
  <w:p w14:paraId="1B1E28E5" w14:textId="77777777" w:rsidR="007C0564" w:rsidRDefault="007C05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A98AD" w14:textId="77777777" w:rsidR="00366AD7" w:rsidRDefault="00366AD7" w:rsidP="00D84328">
      <w:r>
        <w:separator/>
      </w:r>
    </w:p>
  </w:footnote>
  <w:footnote w:type="continuationSeparator" w:id="0">
    <w:p w14:paraId="656B3633" w14:textId="77777777" w:rsidR="00366AD7" w:rsidRDefault="00366AD7" w:rsidP="00D8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16FB"/>
    <w:multiLevelType w:val="hybridMultilevel"/>
    <w:tmpl w:val="B484BAD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15FB9"/>
    <w:multiLevelType w:val="hybridMultilevel"/>
    <w:tmpl w:val="09A0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34574"/>
    <w:multiLevelType w:val="hybridMultilevel"/>
    <w:tmpl w:val="B4A47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93CE0"/>
    <w:multiLevelType w:val="hybridMultilevel"/>
    <w:tmpl w:val="5C7C8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F7176"/>
    <w:multiLevelType w:val="multilevel"/>
    <w:tmpl w:val="39EECC1E"/>
    <w:styleLink w:val="Artibuslist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51144"/>
    <w:multiLevelType w:val="hybridMultilevel"/>
    <w:tmpl w:val="0AA84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634EA"/>
    <w:multiLevelType w:val="hybridMultilevel"/>
    <w:tmpl w:val="62FE0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1000F9"/>
    <w:multiLevelType w:val="hybridMultilevel"/>
    <w:tmpl w:val="FF167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42E32"/>
    <w:multiLevelType w:val="multilevel"/>
    <w:tmpl w:val="EBF0D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4620CE"/>
    <w:multiLevelType w:val="hybridMultilevel"/>
    <w:tmpl w:val="B3E4D482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845DBE"/>
    <w:multiLevelType w:val="hybridMultilevel"/>
    <w:tmpl w:val="CDBC5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57F6D"/>
    <w:multiLevelType w:val="hybridMultilevel"/>
    <w:tmpl w:val="A55C4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A3984"/>
    <w:multiLevelType w:val="hybridMultilevel"/>
    <w:tmpl w:val="947E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93595"/>
    <w:multiLevelType w:val="hybridMultilevel"/>
    <w:tmpl w:val="8E4E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03631"/>
    <w:multiLevelType w:val="hybridMultilevel"/>
    <w:tmpl w:val="8A14BB9C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9406B"/>
    <w:multiLevelType w:val="hybridMultilevel"/>
    <w:tmpl w:val="08B42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47EE8"/>
    <w:multiLevelType w:val="hybridMultilevel"/>
    <w:tmpl w:val="9EDAB9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428D2"/>
    <w:multiLevelType w:val="multilevel"/>
    <w:tmpl w:val="39EECC1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593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A77CD"/>
    <w:multiLevelType w:val="hybridMultilevel"/>
    <w:tmpl w:val="98B28B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A6394"/>
    <w:multiLevelType w:val="hybridMultilevel"/>
    <w:tmpl w:val="EB802376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D2B"/>
    <w:multiLevelType w:val="hybridMultilevel"/>
    <w:tmpl w:val="E8EAFB36"/>
    <w:lvl w:ilvl="0" w:tplc="B0B46728">
      <w:start w:val="19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D31779E"/>
    <w:multiLevelType w:val="multilevel"/>
    <w:tmpl w:val="7B7E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D3481D"/>
    <w:multiLevelType w:val="hybridMultilevel"/>
    <w:tmpl w:val="C2747FFC"/>
    <w:lvl w:ilvl="0" w:tplc="468CDE96">
      <w:start w:val="17"/>
      <w:numFmt w:val="bullet"/>
      <w:lvlText w:val="-"/>
      <w:lvlJc w:val="left"/>
      <w:pPr>
        <w:ind w:left="760" w:hanging="360"/>
      </w:pPr>
      <w:rPr>
        <w:rFonts w:ascii="Calibri" w:eastAsia="Times New Roman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6A7C6668"/>
    <w:multiLevelType w:val="hybridMultilevel"/>
    <w:tmpl w:val="BFA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34C37"/>
    <w:multiLevelType w:val="hybridMultilevel"/>
    <w:tmpl w:val="4ECC4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98698C"/>
    <w:multiLevelType w:val="hybridMultilevel"/>
    <w:tmpl w:val="BB089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C6D68"/>
    <w:multiLevelType w:val="hybridMultilevel"/>
    <w:tmpl w:val="FEC68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8A06C7"/>
    <w:multiLevelType w:val="hybridMultilevel"/>
    <w:tmpl w:val="81481D00"/>
    <w:lvl w:ilvl="0" w:tplc="67D6F6F4">
      <w:start w:val="2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1"/>
  </w:num>
  <w:num w:numId="4">
    <w:abstractNumId w:val="8"/>
  </w:num>
  <w:num w:numId="5">
    <w:abstractNumId w:val="19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23"/>
  </w:num>
  <w:num w:numId="11">
    <w:abstractNumId w:val="1"/>
  </w:num>
  <w:num w:numId="12">
    <w:abstractNumId w:val="3"/>
  </w:num>
  <w:num w:numId="13">
    <w:abstractNumId w:val="18"/>
  </w:num>
  <w:num w:numId="14">
    <w:abstractNumId w:val="4"/>
  </w:num>
  <w:num w:numId="15">
    <w:abstractNumId w:val="17"/>
  </w:num>
  <w:num w:numId="16">
    <w:abstractNumId w:val="10"/>
  </w:num>
  <w:num w:numId="17">
    <w:abstractNumId w:val="9"/>
  </w:num>
  <w:num w:numId="18">
    <w:abstractNumId w:val="14"/>
  </w:num>
  <w:num w:numId="19">
    <w:abstractNumId w:val="27"/>
  </w:num>
  <w:num w:numId="20">
    <w:abstractNumId w:val="26"/>
  </w:num>
  <w:num w:numId="21">
    <w:abstractNumId w:val="2"/>
  </w:num>
  <w:num w:numId="22">
    <w:abstractNumId w:val="24"/>
  </w:num>
  <w:num w:numId="23">
    <w:abstractNumId w:val="15"/>
  </w:num>
  <w:num w:numId="24">
    <w:abstractNumId w:val="16"/>
  </w:num>
  <w:num w:numId="25">
    <w:abstractNumId w:val="25"/>
  </w:num>
  <w:num w:numId="26">
    <w:abstractNumId w:val="5"/>
  </w:num>
  <w:num w:numId="27">
    <w:abstractNumId w:val="7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2F"/>
    <w:rsid w:val="00000E9F"/>
    <w:rsid w:val="00046A30"/>
    <w:rsid w:val="00075772"/>
    <w:rsid w:val="0009495B"/>
    <w:rsid w:val="000A7BB8"/>
    <w:rsid w:val="000B2E41"/>
    <w:rsid w:val="000C1483"/>
    <w:rsid w:val="000C26CC"/>
    <w:rsid w:val="000D2680"/>
    <w:rsid w:val="00114D8E"/>
    <w:rsid w:val="001216E3"/>
    <w:rsid w:val="0013067B"/>
    <w:rsid w:val="00135573"/>
    <w:rsid w:val="00153B53"/>
    <w:rsid w:val="00154B52"/>
    <w:rsid w:val="001754A7"/>
    <w:rsid w:val="001923B1"/>
    <w:rsid w:val="001A46FA"/>
    <w:rsid w:val="001A63DA"/>
    <w:rsid w:val="001D6DD8"/>
    <w:rsid w:val="001E56B4"/>
    <w:rsid w:val="00207081"/>
    <w:rsid w:val="00224C37"/>
    <w:rsid w:val="0023331F"/>
    <w:rsid w:val="0024650F"/>
    <w:rsid w:val="00256A9A"/>
    <w:rsid w:val="0027084D"/>
    <w:rsid w:val="002711A8"/>
    <w:rsid w:val="002B51B9"/>
    <w:rsid w:val="00300899"/>
    <w:rsid w:val="00354BCD"/>
    <w:rsid w:val="00357632"/>
    <w:rsid w:val="00366AD7"/>
    <w:rsid w:val="00366E5A"/>
    <w:rsid w:val="0037611C"/>
    <w:rsid w:val="003928B2"/>
    <w:rsid w:val="003D6689"/>
    <w:rsid w:val="003F204E"/>
    <w:rsid w:val="00406912"/>
    <w:rsid w:val="00437361"/>
    <w:rsid w:val="00441B02"/>
    <w:rsid w:val="004763B0"/>
    <w:rsid w:val="00477E01"/>
    <w:rsid w:val="00492642"/>
    <w:rsid w:val="004D182E"/>
    <w:rsid w:val="00520F99"/>
    <w:rsid w:val="00550F02"/>
    <w:rsid w:val="00564BEE"/>
    <w:rsid w:val="005716FB"/>
    <w:rsid w:val="005936B5"/>
    <w:rsid w:val="005B714B"/>
    <w:rsid w:val="005C09CD"/>
    <w:rsid w:val="005E079F"/>
    <w:rsid w:val="006104F5"/>
    <w:rsid w:val="00622216"/>
    <w:rsid w:val="006255D9"/>
    <w:rsid w:val="00641DDE"/>
    <w:rsid w:val="00660A19"/>
    <w:rsid w:val="0067525A"/>
    <w:rsid w:val="00682319"/>
    <w:rsid w:val="006826E0"/>
    <w:rsid w:val="006B1206"/>
    <w:rsid w:val="006B6954"/>
    <w:rsid w:val="006D4069"/>
    <w:rsid w:val="00702EF7"/>
    <w:rsid w:val="00702F2F"/>
    <w:rsid w:val="00723E8F"/>
    <w:rsid w:val="00742278"/>
    <w:rsid w:val="007475E7"/>
    <w:rsid w:val="007B2213"/>
    <w:rsid w:val="007C0564"/>
    <w:rsid w:val="007C088B"/>
    <w:rsid w:val="007C4C0D"/>
    <w:rsid w:val="007D131B"/>
    <w:rsid w:val="007D4C0C"/>
    <w:rsid w:val="007E4201"/>
    <w:rsid w:val="008201D8"/>
    <w:rsid w:val="008535C2"/>
    <w:rsid w:val="00857B82"/>
    <w:rsid w:val="008631DB"/>
    <w:rsid w:val="00864828"/>
    <w:rsid w:val="00871EC2"/>
    <w:rsid w:val="008753B5"/>
    <w:rsid w:val="0088054D"/>
    <w:rsid w:val="008E4EBD"/>
    <w:rsid w:val="008F40AC"/>
    <w:rsid w:val="00905266"/>
    <w:rsid w:val="009224EE"/>
    <w:rsid w:val="00933E5B"/>
    <w:rsid w:val="009355A0"/>
    <w:rsid w:val="009D64BC"/>
    <w:rsid w:val="009D6A57"/>
    <w:rsid w:val="009D6E61"/>
    <w:rsid w:val="009E36A3"/>
    <w:rsid w:val="009E5DBE"/>
    <w:rsid w:val="009F4C96"/>
    <w:rsid w:val="00A026C1"/>
    <w:rsid w:val="00A3737E"/>
    <w:rsid w:val="00A50BD5"/>
    <w:rsid w:val="00A7195C"/>
    <w:rsid w:val="00A758D8"/>
    <w:rsid w:val="00A77BE6"/>
    <w:rsid w:val="00AA2F83"/>
    <w:rsid w:val="00AB57E6"/>
    <w:rsid w:val="00AC05B3"/>
    <w:rsid w:val="00AF23CB"/>
    <w:rsid w:val="00B44199"/>
    <w:rsid w:val="00B726C8"/>
    <w:rsid w:val="00B878B7"/>
    <w:rsid w:val="00B93530"/>
    <w:rsid w:val="00B944FA"/>
    <w:rsid w:val="00BA614E"/>
    <w:rsid w:val="00BC5D33"/>
    <w:rsid w:val="00BD1FAA"/>
    <w:rsid w:val="00BD70B0"/>
    <w:rsid w:val="00BE15F9"/>
    <w:rsid w:val="00BF6D8F"/>
    <w:rsid w:val="00C017ED"/>
    <w:rsid w:val="00C0518D"/>
    <w:rsid w:val="00C13A61"/>
    <w:rsid w:val="00C404DA"/>
    <w:rsid w:val="00C459EC"/>
    <w:rsid w:val="00C47AF7"/>
    <w:rsid w:val="00C65E4E"/>
    <w:rsid w:val="00D02889"/>
    <w:rsid w:val="00D23C67"/>
    <w:rsid w:val="00D251CA"/>
    <w:rsid w:val="00D252AC"/>
    <w:rsid w:val="00D260BB"/>
    <w:rsid w:val="00D84328"/>
    <w:rsid w:val="00D965CF"/>
    <w:rsid w:val="00DA4825"/>
    <w:rsid w:val="00DC1CB3"/>
    <w:rsid w:val="00DD60C0"/>
    <w:rsid w:val="00E27F5F"/>
    <w:rsid w:val="00E36AB4"/>
    <w:rsid w:val="00E505E3"/>
    <w:rsid w:val="00E67BF8"/>
    <w:rsid w:val="00E73F14"/>
    <w:rsid w:val="00EA21D1"/>
    <w:rsid w:val="00ED7015"/>
    <w:rsid w:val="00ED7B16"/>
    <w:rsid w:val="00F07940"/>
    <w:rsid w:val="00F4162F"/>
    <w:rsid w:val="00FA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30C73"/>
  <w14:defaultImageDpi w14:val="32767"/>
  <w15:chartTrackingRefBased/>
  <w15:docId w15:val="{FAA6C776-C934-E346-B8ED-7FA54C56C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C088B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11C"/>
    <w:pPr>
      <w:keepNext/>
      <w:keepLines/>
      <w:spacing w:after="160" w:line="252" w:lineRule="auto"/>
      <w:outlineLvl w:val="0"/>
    </w:pPr>
    <w:rPr>
      <w:rFonts w:cstheme="majorBidi"/>
      <w:color w:val="2F5496" w:themeColor="accent1" w:themeShade="BF"/>
      <w:sz w:val="28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7C088B"/>
    <w:rPr>
      <w:rFonts w:ascii="Calibri" w:hAnsi="Calibri"/>
      <w:sz w:val="22"/>
    </w:rPr>
    <w:tblPr>
      <w:tblInd w:w="0" w:type="dxa"/>
      <w:tblBorders>
        <w:top w:val="single" w:sz="12" w:space="0" w:color="808080" w:themeColor="background1" w:themeShade="80"/>
        <w:left w:val="single" w:sz="12" w:space="0" w:color="808080" w:themeColor="background1" w:themeShade="80"/>
        <w:bottom w:val="single" w:sz="12" w:space="0" w:color="808080" w:themeColor="background1" w:themeShade="80"/>
        <w:right w:val="single" w:sz="12" w:space="0" w:color="808080" w:themeColor="background1" w:themeShade="80"/>
        <w:insideH w:val="single" w:sz="12" w:space="0" w:color="808080" w:themeColor="background1" w:themeShade="80"/>
        <w:insideV w:val="single" w:sz="12" w:space="0" w:color="808080" w:themeColor="background1" w:themeShade="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TableGrid">
    <w:name w:val="Table Grid"/>
    <w:basedOn w:val="TableNormal"/>
    <w:uiPriority w:val="39"/>
    <w:rsid w:val="007C0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7611C"/>
    <w:rPr>
      <w:rFonts w:ascii="Calibri" w:hAnsi="Calibri" w:cstheme="majorBidi"/>
      <w:color w:val="2F5496" w:themeColor="accent1" w:themeShade="BF"/>
      <w:sz w:val="28"/>
      <w:szCs w:val="32"/>
      <w:lang w:val="en-AU"/>
    </w:rPr>
  </w:style>
  <w:style w:type="table" w:customStyle="1" w:styleId="TableGridLight1">
    <w:name w:val="Table Grid Light1"/>
    <w:basedOn w:val="TableNormal"/>
    <w:uiPriority w:val="40"/>
    <w:rsid w:val="003928B2"/>
    <w:rPr>
      <w:rFonts w:eastAsiaTheme="minorHAnsi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2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NormalWeb">
    <w:name w:val="Normal (Web)"/>
    <w:basedOn w:val="Normal"/>
    <w:uiPriority w:val="99"/>
    <w:semiHidden/>
    <w:unhideWhenUsed/>
    <w:rsid w:val="00D84328"/>
    <w:pPr>
      <w:spacing w:before="100" w:beforeAutospacing="1" w:after="100" w:afterAutospacing="1"/>
    </w:pPr>
    <w:rPr>
      <w:rFonts w:ascii="Times New Roman" w:hAnsi="Times New Roman"/>
      <w:color w:val="auto"/>
      <w:sz w:val="24"/>
      <w:lang w:val="en-AU"/>
    </w:rPr>
  </w:style>
  <w:style w:type="paragraph" w:styleId="ListParagraph">
    <w:name w:val="List Paragraph"/>
    <w:aliases w:val="List Paragraph1,List Paragraph11,Bullet point,Recommendation,Dot point 1.5 line spacing,L,bullet point list,List Paragraph - bullets,DDM Gen Text,NFP GP Bulleted List,List Paragraph Number,Content descriptions,Bullet Point,Bullet points"/>
    <w:basedOn w:val="Normal"/>
    <w:link w:val="ListParagraphChar"/>
    <w:uiPriority w:val="34"/>
    <w:qFormat/>
    <w:rsid w:val="00D84328"/>
    <w:pPr>
      <w:ind w:left="720"/>
      <w:contextualSpacing/>
    </w:pPr>
  </w:style>
  <w:style w:type="numbering" w:customStyle="1" w:styleId="Artibuslist">
    <w:name w:val="Artibus list"/>
    <w:uiPriority w:val="99"/>
    <w:rsid w:val="000A7BB8"/>
    <w:pPr>
      <w:numPr>
        <w:numId w:val="14"/>
      </w:numPr>
    </w:pPr>
  </w:style>
  <w:style w:type="character" w:customStyle="1" w:styleId="ListParagraphChar">
    <w:name w:val="List Paragraph Char"/>
    <w:aliases w:val="List Paragraph1 Char,List Paragraph11 Char,Bullet point Char,Recommendation Char,Dot point 1.5 line spacing Char,L Char,bullet point list Char,List Paragraph - bullets Char,DDM Gen Text Char,NFP GP Bulleted List Char"/>
    <w:link w:val="ListParagraph"/>
    <w:uiPriority w:val="34"/>
    <w:qFormat/>
    <w:locked/>
    <w:rsid w:val="000A7BB8"/>
    <w:rPr>
      <w:rFonts w:ascii="Calibri" w:hAnsi="Calibri" w:cs="Times New Roman"/>
      <w:color w:val="262626" w:themeColor="text1" w:themeTint="D9"/>
      <w:sz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4C0D"/>
    <w:rPr>
      <w:rFonts w:asciiTheme="minorHAnsi" w:eastAsiaTheme="minorHAnsi" w:hAnsiTheme="minorHAnsi" w:cstheme="minorHAnsi"/>
      <w:color w:val="auto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4C0D"/>
    <w:rPr>
      <w:rFonts w:eastAsiaTheme="minorHAnsi" w:cstheme="minorHAnsi"/>
      <w:sz w:val="20"/>
      <w:szCs w:val="20"/>
      <w:lang w:val="en-AU"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7C4C0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C4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59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175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5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5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82DB40-B8A6-8B4E-8788-BB082943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761</Words>
  <Characters>4341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Barragan@</dc:creator>
  <cp:keywords/>
  <dc:description/>
  <cp:lastModifiedBy>Maree Thorne</cp:lastModifiedBy>
  <cp:revision>13</cp:revision>
  <dcterms:created xsi:type="dcterms:W3CDTF">2018-09-11T23:54:00Z</dcterms:created>
  <dcterms:modified xsi:type="dcterms:W3CDTF">2019-09-30T02:58:00Z</dcterms:modified>
</cp:coreProperties>
</file>