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9448" w14:textId="77777777" w:rsidR="00E162FE" w:rsidRPr="0005732A" w:rsidRDefault="00E162FE" w:rsidP="00E162FE">
      <w:pPr>
        <w:pStyle w:val="Title"/>
      </w:pPr>
      <w:bookmarkStart w:id="0" w:name="_GoBack"/>
      <w:bookmarkEnd w:id="0"/>
      <w:r>
        <w:t xml:space="preserve">Qualification </w:t>
      </w:r>
      <w:r w:rsidRPr="0038643B">
        <w:t>CP</w:t>
      </w:r>
      <w:r>
        <w:t>P40119</w:t>
      </w:r>
    </w:p>
    <w:p w14:paraId="69F55B7B" w14:textId="77777777" w:rsidR="00E162FE" w:rsidRDefault="00E162FE" w:rsidP="00E162FE">
      <w:pPr>
        <w:pStyle w:val="Title"/>
      </w:pPr>
      <w:r w:rsidRPr="00092F06">
        <w:t xml:space="preserve">Certificate </w:t>
      </w:r>
      <w:r w:rsidRPr="00CC1677">
        <w:t>IV in Residential Drafting</w:t>
      </w:r>
    </w:p>
    <w:p w14:paraId="04C368E9" w14:textId="77777777" w:rsidR="00E162FE" w:rsidRDefault="00E162FE" w:rsidP="00E162FE">
      <w:pPr>
        <w:pStyle w:val="Heading1"/>
      </w:pPr>
      <w:r>
        <w:rPr>
          <w:shd w:val="clear" w:color="auto" w:fill="FFFFFF"/>
        </w:rPr>
        <w:t>Qualification description</w:t>
      </w:r>
    </w:p>
    <w:p w14:paraId="3DD37922" w14:textId="652D13A8" w:rsidR="00FB4627" w:rsidRDefault="00154B35" w:rsidP="00257387">
      <w:r w:rsidRPr="00257387">
        <w:t xml:space="preserve">This qualification reflects the role of entry level drafters who support building designers and architects. Drafters produce drawings and </w:t>
      </w:r>
      <w:r w:rsidR="002E12D5" w:rsidRPr="00257387">
        <w:t>documentation and</w:t>
      </w:r>
      <w:r w:rsidRPr="00257387">
        <w:t xml:space="preserve"> use CAD software to draft and document residential Class 1 and 10 building designs under the supervision of licensed or accredited building designers or architects. </w:t>
      </w:r>
    </w:p>
    <w:p w14:paraId="14C582C0" w14:textId="769C9600" w:rsidR="00FB4627" w:rsidRPr="001067C4" w:rsidRDefault="00FB4627" w:rsidP="00FB4627">
      <w:pPr>
        <w:spacing w:after="160" w:line="276" w:lineRule="auto"/>
      </w:pPr>
      <w:r>
        <w:t xml:space="preserve">Practice at this level is underpinned by the knowledge of </w:t>
      </w:r>
      <w:r w:rsidRPr="001067C4">
        <w:t xml:space="preserve">construction </w:t>
      </w:r>
      <w:r>
        <w:t xml:space="preserve">methods and </w:t>
      </w:r>
      <w:r w:rsidRPr="001067C4">
        <w:t xml:space="preserve">materials </w:t>
      </w:r>
      <w:r>
        <w:t xml:space="preserve">and the application of relevant </w:t>
      </w:r>
      <w:r w:rsidR="00F6718B">
        <w:t xml:space="preserve">compliance, </w:t>
      </w:r>
      <w:r>
        <w:t>planning and building requirements for Class 1 and 10 buildings.</w:t>
      </w:r>
    </w:p>
    <w:p w14:paraId="386F4A03" w14:textId="0D83C607" w:rsidR="00060F47" w:rsidRDefault="00E162FE" w:rsidP="00E162FE">
      <w:r>
        <w:t>Class 1 and 10 building classifications are defined in the National Construction Code (NCC)</w:t>
      </w:r>
      <w:r w:rsidR="00257387">
        <w:t>.</w:t>
      </w:r>
    </w:p>
    <w:p w14:paraId="259C29B8" w14:textId="783CA066" w:rsidR="00E162FE" w:rsidRDefault="0029298A" w:rsidP="00E162FE">
      <w:r w:rsidRPr="0029298A">
        <w:t>Licensing requirements apply to building design in some states or territories. For further information check with the relevant regulatory authority</w:t>
      </w:r>
      <w:r w:rsidR="00E162FE">
        <w:t>.</w:t>
      </w:r>
    </w:p>
    <w:p w14:paraId="72F95042" w14:textId="77777777" w:rsidR="00E162FE" w:rsidRDefault="00E162FE" w:rsidP="00E162FE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Packaging rules</w:t>
      </w:r>
      <w:r w:rsidRPr="004D7B7A">
        <w:rPr>
          <w:shd w:val="clear" w:color="auto" w:fill="FFFFFF"/>
        </w:rPr>
        <w:t xml:space="preserve"> </w:t>
      </w:r>
    </w:p>
    <w:p w14:paraId="0A1A20CA" w14:textId="093EAF80" w:rsidR="00375F8E" w:rsidRDefault="00E162FE" w:rsidP="00E162FE">
      <w:r>
        <w:t xml:space="preserve">To achieve this qualification, competency must be demonstrated in </w:t>
      </w:r>
      <w:r w:rsidRPr="00A312C7">
        <w:rPr>
          <w:b/>
          <w:bCs/>
        </w:rPr>
        <w:t>10 units</w:t>
      </w:r>
      <w:r w:rsidRPr="00676A84">
        <w:t xml:space="preserve"> </w:t>
      </w:r>
      <w:r>
        <w:t xml:space="preserve">of competency, consisting </w:t>
      </w:r>
      <w:r w:rsidRPr="00A312C7">
        <w:t>of</w:t>
      </w:r>
      <w:r w:rsidRPr="00A312C7">
        <w:rPr>
          <w:b/>
          <w:bCs/>
        </w:rPr>
        <w:t xml:space="preserve"> 7 core and 3 elective</w:t>
      </w:r>
      <w:r>
        <w:t xml:space="preserve"> units. </w:t>
      </w:r>
      <w:r w:rsidR="00987D73">
        <w:t>Electives are to be chosen as follows:</w:t>
      </w:r>
    </w:p>
    <w:p w14:paraId="58446A11" w14:textId="6E002A05" w:rsidR="00987D73" w:rsidRDefault="002520C7" w:rsidP="00987D73">
      <w:pPr>
        <w:pStyle w:val="ListParagraph"/>
        <w:numPr>
          <w:ilvl w:val="0"/>
          <w:numId w:val="2"/>
        </w:numPr>
      </w:pPr>
      <w:bookmarkStart w:id="1" w:name="_Hlk23349420"/>
      <w:bookmarkStart w:id="2" w:name="_Hlk23349788"/>
      <w:r>
        <w:t xml:space="preserve">all </w:t>
      </w:r>
      <w:r w:rsidR="00987D73">
        <w:t>three units from the electives listed below</w:t>
      </w:r>
      <w:r w:rsidR="00F335DE">
        <w:t>, or</w:t>
      </w:r>
    </w:p>
    <w:p w14:paraId="5D30A024" w14:textId="49AAFCB1" w:rsidR="00127AD7" w:rsidRDefault="00987D73" w:rsidP="00FE63BF">
      <w:pPr>
        <w:pStyle w:val="ListParagraph"/>
        <w:numPr>
          <w:ilvl w:val="0"/>
          <w:numId w:val="2"/>
        </w:numPr>
      </w:pPr>
      <w:r>
        <w:t xml:space="preserve">two units </w:t>
      </w:r>
      <w:r w:rsidR="00F335DE">
        <w:t>from the electives listed below</w:t>
      </w:r>
      <w:r w:rsidR="00303FB6">
        <w:t>,</w:t>
      </w:r>
      <w:r w:rsidR="00F335DE">
        <w:t xml:space="preserve"> </w:t>
      </w:r>
      <w:r w:rsidR="00D304C7">
        <w:t xml:space="preserve">plus </w:t>
      </w:r>
      <w:r w:rsidR="00375F8E">
        <w:t>o</w:t>
      </w:r>
      <w:r w:rsidR="00E162FE">
        <w:t>ne unit selected from</w:t>
      </w:r>
      <w:bookmarkEnd w:id="1"/>
      <w:r w:rsidR="002520C7">
        <w:t>:</w:t>
      </w:r>
      <w:bookmarkEnd w:id="2"/>
    </w:p>
    <w:p w14:paraId="77FB0E3D" w14:textId="77777777" w:rsidR="00FE63BF" w:rsidRDefault="00E162FE" w:rsidP="00FE63BF">
      <w:pPr>
        <w:pStyle w:val="ListParagraph"/>
        <w:numPr>
          <w:ilvl w:val="1"/>
          <w:numId w:val="2"/>
        </w:numPr>
      </w:pPr>
      <w:r>
        <w:t>the CPP50919 Diploma of Building Design qualification</w:t>
      </w:r>
      <w:r w:rsidR="00375F8E">
        <w:t>,</w:t>
      </w:r>
      <w:r>
        <w:t xml:space="preserve"> or </w:t>
      </w:r>
    </w:p>
    <w:p w14:paraId="6C1DD4C2" w14:textId="64A159DD" w:rsidR="00127AD7" w:rsidRPr="00BC5419" w:rsidRDefault="00E162FE" w:rsidP="00127AD7">
      <w:pPr>
        <w:pStyle w:val="ListParagraph"/>
        <w:numPr>
          <w:ilvl w:val="1"/>
          <w:numId w:val="2"/>
        </w:numPr>
      </w:pPr>
      <w:r>
        <w:t>any current AQF level 4 qualification or accredited course</w:t>
      </w:r>
      <w:r w:rsidR="00FE63BF">
        <w:t xml:space="preserve"> </w:t>
      </w:r>
      <w:r>
        <w:t xml:space="preserve">provided it contributes to a valid, industry-supported vocational </w:t>
      </w:r>
      <w:r w:rsidR="00127AD7" w:rsidRPr="00FE63BF">
        <w:t>outcome</w:t>
      </w:r>
      <w:bookmarkStart w:id="3" w:name="_Hlk22982452"/>
      <w:r w:rsidR="00127AD7" w:rsidRPr="00FE63BF">
        <w:t xml:space="preserve"> and does not duplicate the outcome of another unit used to achieve this qualification</w:t>
      </w:r>
      <w:bookmarkEnd w:id="3"/>
      <w:r w:rsidR="00127AD7" w:rsidRPr="00FE63BF">
        <w:t>.</w:t>
      </w:r>
    </w:p>
    <w:p w14:paraId="5A3B066D" w14:textId="77777777" w:rsidR="00E162FE" w:rsidRPr="00FD0563" w:rsidRDefault="00E162FE" w:rsidP="00127AD7">
      <w:pPr>
        <w:pStyle w:val="Heading1"/>
        <w:rPr>
          <w:b/>
          <w:bCs/>
          <w:shd w:val="clear" w:color="auto" w:fill="FFFFFF"/>
        </w:rPr>
      </w:pPr>
      <w:r w:rsidRPr="00FD0563">
        <w:rPr>
          <w:b/>
          <w:bCs/>
          <w:shd w:val="clear" w:color="auto" w:fill="FFFFFF"/>
        </w:rPr>
        <w:t>Core</w:t>
      </w:r>
    </w:p>
    <w:p w14:paraId="2572780A" w14:textId="77777777" w:rsidR="00E162FE" w:rsidRDefault="00E162FE" w:rsidP="00E162FE">
      <w:r>
        <w:t>CPPBDN4101</w:t>
      </w:r>
      <w:r>
        <w:tab/>
        <w:t>Work effectively in a building design environment</w:t>
      </w:r>
    </w:p>
    <w:p w14:paraId="3373D573" w14:textId="77777777" w:rsidR="00E162FE" w:rsidRDefault="00E162FE" w:rsidP="00E162FE">
      <w:r>
        <w:t>CPPBDN4102</w:t>
      </w:r>
      <w:r>
        <w:tab/>
        <w:t>Analyse building design drawings</w:t>
      </w:r>
    </w:p>
    <w:p w14:paraId="7DD070FE" w14:textId="77777777" w:rsidR="00E162FE" w:rsidRDefault="00E162FE" w:rsidP="00E162FE">
      <w:r>
        <w:t>CPPBDN4103</w:t>
      </w:r>
      <w:r>
        <w:tab/>
        <w:t>Use CAD software to produce drawings for building design projects</w:t>
      </w:r>
    </w:p>
    <w:p w14:paraId="408BC6C5" w14:textId="4CD42D1E" w:rsidR="00E162FE" w:rsidRDefault="00E162FE" w:rsidP="00E162FE">
      <w:pPr>
        <w:ind w:left="1440" w:hanging="1440"/>
      </w:pPr>
      <w:r>
        <w:t>CPPBDN4104</w:t>
      </w:r>
      <w:r>
        <w:tab/>
      </w:r>
      <w:r w:rsidRPr="00831DF2">
        <w:rPr>
          <w:lang w:val="en-US"/>
        </w:rPr>
        <w:t>Apply compliance requirements to Class 1 and 10 building design</w:t>
      </w:r>
      <w:r w:rsidR="007D4653">
        <w:rPr>
          <w:lang w:val="en-US"/>
        </w:rPr>
        <w:t xml:space="preserve"> </w:t>
      </w:r>
      <w:r w:rsidR="000D1901">
        <w:rPr>
          <w:lang w:val="en-US"/>
        </w:rPr>
        <w:t>documentation</w:t>
      </w:r>
    </w:p>
    <w:p w14:paraId="4D554F34" w14:textId="77777777" w:rsidR="00E162FE" w:rsidRDefault="00E162FE" w:rsidP="00E162FE">
      <w:r>
        <w:t>CPPBDN4105</w:t>
      </w:r>
      <w:r>
        <w:tab/>
        <w:t>Prepare drawings for planning and building approval for Class 1 and 10 buildings</w:t>
      </w:r>
    </w:p>
    <w:p w14:paraId="0F69545E" w14:textId="77777777" w:rsidR="00790A67" w:rsidRPr="00790A67" w:rsidRDefault="00E162FE" w:rsidP="00E162FE">
      <w:pPr>
        <w:rPr>
          <w:rFonts w:cstheme="minorHAnsi"/>
        </w:rPr>
      </w:pPr>
      <w:bookmarkStart w:id="4" w:name="_Hlk16583672"/>
      <w:r w:rsidRPr="009D5B16">
        <w:rPr>
          <w:rFonts w:cstheme="minorHAnsi"/>
          <w:color w:val="000000" w:themeColor="text1"/>
        </w:rPr>
        <w:t>CPPBDN4106</w:t>
      </w:r>
      <w:r w:rsidRPr="009D5B16">
        <w:rPr>
          <w:rFonts w:cstheme="minorHAnsi"/>
          <w:color w:val="000000" w:themeColor="text1"/>
        </w:rPr>
        <w:tab/>
        <w:t xml:space="preserve">Investigate </w:t>
      </w:r>
      <w:r w:rsidRPr="00FD0563">
        <w:rPr>
          <w:rFonts w:cstheme="minorHAnsi"/>
        </w:rPr>
        <w:t>materials for construction of Class 1 and 10 buildings</w:t>
      </w:r>
      <w:r>
        <w:rPr>
          <w:rFonts w:cstheme="minorHAnsi"/>
          <w:color w:val="FF0000"/>
        </w:rPr>
        <w:t xml:space="preserve"> </w:t>
      </w:r>
      <w:bookmarkEnd w:id="4"/>
    </w:p>
    <w:p w14:paraId="272608E8" w14:textId="07D848B1" w:rsidR="00E162FE" w:rsidRDefault="00E162FE" w:rsidP="00E162FE">
      <w:r w:rsidRPr="004C2385">
        <w:t>CPPBDN4107</w:t>
      </w:r>
      <w:r w:rsidRPr="004C2385">
        <w:tab/>
        <w:t xml:space="preserve">Investigate construction methods for </w:t>
      </w:r>
      <w:r>
        <w:t>C</w:t>
      </w:r>
      <w:r w:rsidRPr="004C2385">
        <w:t>lass 1 and 10 building</w:t>
      </w:r>
      <w:r>
        <w:t>s</w:t>
      </w:r>
    </w:p>
    <w:p w14:paraId="7930837F" w14:textId="77777777" w:rsidR="00E162FE" w:rsidRPr="00FD0563" w:rsidRDefault="00E162FE" w:rsidP="00E162FE">
      <w:pPr>
        <w:pStyle w:val="Heading1"/>
        <w:rPr>
          <w:b/>
          <w:bCs/>
          <w:shd w:val="clear" w:color="auto" w:fill="FFFFFF"/>
        </w:rPr>
      </w:pPr>
      <w:r w:rsidRPr="00FD0563">
        <w:rPr>
          <w:b/>
          <w:bCs/>
          <w:shd w:val="clear" w:color="auto" w:fill="FFFFFF"/>
        </w:rPr>
        <w:t>Elective</w:t>
      </w:r>
    </w:p>
    <w:p w14:paraId="33AAF99B" w14:textId="41366D20" w:rsidR="00FE63BF" w:rsidRPr="00790A67" w:rsidRDefault="001E18B7" w:rsidP="00E162FE">
      <w:hyperlink r:id="rId8" w:history="1">
        <w:r w:rsidR="00E162FE" w:rsidRPr="002C412F">
          <w:rPr>
            <w:rStyle w:val="Hyperlink"/>
          </w:rPr>
          <w:t>CPCCWHS1001</w:t>
        </w:r>
      </w:hyperlink>
      <w:r w:rsidR="00E162FE" w:rsidRPr="00831DF2">
        <w:rPr>
          <w:color w:val="FF0000"/>
        </w:rPr>
        <w:tab/>
      </w:r>
      <w:r w:rsidR="00E162FE" w:rsidRPr="00FD0563">
        <w:t>Prepare to work safely in the construction industry</w:t>
      </w:r>
    </w:p>
    <w:p w14:paraId="6873441D" w14:textId="77777777" w:rsidR="00E162FE" w:rsidRDefault="00E162FE" w:rsidP="00E162FE">
      <w:r>
        <w:t>CPPBDN4108</w:t>
      </w:r>
      <w:r>
        <w:tab/>
        <w:t>Draw layout of required services for Class 1 and 10 buildings</w:t>
      </w:r>
    </w:p>
    <w:p w14:paraId="2908FAFB" w14:textId="77777777" w:rsidR="00E162FE" w:rsidRDefault="00E162FE" w:rsidP="00E162FE">
      <w:r>
        <w:lastRenderedPageBreak/>
        <w:t>CPPBDN4109</w:t>
      </w:r>
      <w:r>
        <w:tab/>
        <w:t xml:space="preserve">Research architectural styles and movements </w:t>
      </w:r>
    </w:p>
    <w:p w14:paraId="57FC61C6" w14:textId="77777777" w:rsidR="002E12D5" w:rsidRPr="000D1901" w:rsidRDefault="001E18B7" w:rsidP="002E12D5">
      <w:hyperlink r:id="rId9" w:history="1">
        <w:r w:rsidR="002E12D5" w:rsidRPr="002012A5">
          <w:t>CPPBDN4</w:t>
        </w:r>
        <w:r w:rsidR="002E12D5">
          <w:t>110</w:t>
        </w:r>
        <w:r w:rsidR="002E12D5" w:rsidRPr="002012A5">
          <w:t xml:space="preserve"> </w:t>
        </w:r>
        <w:r w:rsidR="002E12D5" w:rsidRPr="002012A5">
          <w:tab/>
          <w:t>Set up BIM-capable software and files for building design drafting projects</w:t>
        </w:r>
      </w:hyperlink>
      <w:r w:rsidR="002E12D5" w:rsidRPr="000D1901">
        <w:t xml:space="preserve"> </w:t>
      </w:r>
    </w:p>
    <w:p w14:paraId="58913EFB" w14:textId="7CF26FFB" w:rsidR="00E162FE" w:rsidRPr="00BF5B0B" w:rsidRDefault="00E162FE" w:rsidP="00E162FE">
      <w:r w:rsidRPr="00BF5B0B">
        <w:t>CPPBDN5101</w:t>
      </w:r>
      <w:r w:rsidRPr="00BF5B0B">
        <w:tab/>
        <w:t>Produce digital 3-D models of building designs</w:t>
      </w:r>
    </w:p>
    <w:p w14:paraId="572A0E2E" w14:textId="6017C64F" w:rsidR="00E162FE" w:rsidRDefault="00E162FE" w:rsidP="00E162FE">
      <w:r w:rsidRPr="00B30B02">
        <w:t>CPPBDN5102</w:t>
      </w:r>
      <w:r w:rsidRPr="00B30B02">
        <w:tab/>
        <w:t xml:space="preserve">Produce compliant designs for </w:t>
      </w:r>
      <w:r>
        <w:t>C</w:t>
      </w:r>
      <w:r w:rsidRPr="00B30B02">
        <w:t xml:space="preserve">lass 1 and 10 building </w:t>
      </w:r>
    </w:p>
    <w:p w14:paraId="036EE33D" w14:textId="06BE4581" w:rsidR="00E162FE" w:rsidRDefault="00E162FE" w:rsidP="00E162FE">
      <w:r w:rsidRPr="00BF5B0B">
        <w:t>CPPBDN5110</w:t>
      </w:r>
      <w:r w:rsidRPr="00BF5B0B">
        <w:tab/>
        <w:t>Inspect and assess sites to inform the design process</w:t>
      </w:r>
    </w:p>
    <w:p w14:paraId="4C7D1405" w14:textId="5E344D2F" w:rsidR="007B0032" w:rsidRPr="00DF3928" w:rsidRDefault="007B0032" w:rsidP="00E162FE"/>
    <w:p w14:paraId="50105D8C" w14:textId="435665E3" w:rsidR="00E162FE" w:rsidRDefault="00E162FE" w:rsidP="00E162FE">
      <w:pPr>
        <w:pStyle w:val="Heading1"/>
      </w:pPr>
      <w:r>
        <w:t>Qualification Mapping Information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63"/>
        <w:gridCol w:w="2240"/>
        <w:gridCol w:w="2835"/>
        <w:gridCol w:w="1701"/>
      </w:tblGrid>
      <w:tr w:rsidR="00E162FE" w:rsidRPr="00CA089E" w14:paraId="291F84E7" w14:textId="77777777" w:rsidTr="009D5B16">
        <w:tc>
          <w:tcPr>
            <w:tcW w:w="2263" w:type="dxa"/>
          </w:tcPr>
          <w:p w14:paraId="1EE19B27" w14:textId="77777777" w:rsidR="00E162FE" w:rsidRDefault="00E162FE" w:rsidP="009D5B16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CPP Property Services Training Package</w:t>
            </w:r>
          </w:p>
          <w:p w14:paraId="04D86E89" w14:textId="77777777" w:rsidR="00E162FE" w:rsidRDefault="00E162FE" w:rsidP="009D5B16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Release </w:t>
            </w:r>
            <w:r w:rsidR="00987D73">
              <w:rPr>
                <w:shd w:val="clear" w:color="auto" w:fill="FFFFFF"/>
              </w:rPr>
              <w:t>10</w:t>
            </w:r>
            <w:r>
              <w:rPr>
                <w:shd w:val="clear" w:color="auto" w:fill="FFFFFF"/>
              </w:rPr>
              <w:t>.0</w:t>
            </w:r>
          </w:p>
          <w:p w14:paraId="5009F218" w14:textId="30C4B174" w:rsidR="001108F4" w:rsidRPr="00CA089E" w:rsidRDefault="001108F4" w:rsidP="009D5B16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2240" w:type="dxa"/>
          </w:tcPr>
          <w:p w14:paraId="28997523" w14:textId="1A66FCE1" w:rsidR="00E162FE" w:rsidRPr="00CA089E" w:rsidRDefault="00E162FE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CPP</w:t>
            </w:r>
            <w:r w:rsidR="00987D73">
              <w:rPr>
                <w:lang w:eastAsia="en-AU"/>
              </w:rPr>
              <w:t>07</w:t>
            </w:r>
            <w:r>
              <w:rPr>
                <w:lang w:eastAsia="en-AU"/>
              </w:rPr>
              <w:t xml:space="preserve"> </w:t>
            </w:r>
            <w:r w:rsidRPr="00E06843">
              <w:rPr>
                <w:lang w:eastAsia="en-AU"/>
              </w:rPr>
              <w:t>Property Services Training Package</w:t>
            </w:r>
          </w:p>
        </w:tc>
        <w:tc>
          <w:tcPr>
            <w:tcW w:w="2835" w:type="dxa"/>
          </w:tcPr>
          <w:p w14:paraId="222F8134" w14:textId="77777777" w:rsidR="00E162FE" w:rsidRPr="00CA089E" w:rsidRDefault="00E162FE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Comments</w:t>
            </w:r>
          </w:p>
        </w:tc>
        <w:tc>
          <w:tcPr>
            <w:tcW w:w="1701" w:type="dxa"/>
          </w:tcPr>
          <w:p w14:paraId="137C784B" w14:textId="28C107DE" w:rsidR="00E162FE" w:rsidRPr="00CA089E" w:rsidRDefault="00A73D39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E</w:t>
            </w:r>
            <w:r w:rsidR="00E162FE">
              <w:rPr>
                <w:lang w:eastAsia="en-AU"/>
              </w:rPr>
              <w:t>quivalenc</w:t>
            </w:r>
            <w:r w:rsidR="00303FB6">
              <w:rPr>
                <w:lang w:eastAsia="en-AU"/>
              </w:rPr>
              <w:t>e</w:t>
            </w:r>
            <w:r w:rsidR="00E162FE">
              <w:rPr>
                <w:lang w:eastAsia="en-AU"/>
              </w:rPr>
              <w:t xml:space="preserve"> statement</w:t>
            </w:r>
          </w:p>
        </w:tc>
      </w:tr>
      <w:tr w:rsidR="00E162FE" w:rsidRPr="00CA089E" w14:paraId="7E180880" w14:textId="77777777" w:rsidTr="009D5B16">
        <w:tc>
          <w:tcPr>
            <w:tcW w:w="2263" w:type="dxa"/>
          </w:tcPr>
          <w:p w14:paraId="393A597A" w14:textId="77777777" w:rsidR="00E162FE" w:rsidRPr="00CA089E" w:rsidRDefault="00E162FE" w:rsidP="009D5B16">
            <w:pPr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CPP40119 Certificate IV in Residential Drafting</w:t>
            </w:r>
          </w:p>
        </w:tc>
        <w:tc>
          <w:tcPr>
            <w:tcW w:w="2240" w:type="dxa"/>
          </w:tcPr>
          <w:p w14:paraId="0E8762B5" w14:textId="77777777" w:rsidR="00E162FE" w:rsidRPr="00CA089E" w:rsidRDefault="00E162FE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CPP40115 Certificate IV in Building Design Drafting</w:t>
            </w:r>
          </w:p>
        </w:tc>
        <w:tc>
          <w:tcPr>
            <w:tcW w:w="2835" w:type="dxa"/>
          </w:tcPr>
          <w:p w14:paraId="7AE274DE" w14:textId="129F748E" w:rsidR="00E162FE" w:rsidRDefault="00E162FE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Supersedes CPP40115 Certificate IV in Building Design Drafting.</w:t>
            </w:r>
          </w:p>
          <w:p w14:paraId="5CAA74EA" w14:textId="77777777" w:rsidR="00E162FE" w:rsidRDefault="00E162FE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Qualification title changed to better reflect the occupational outcome.</w:t>
            </w:r>
          </w:p>
          <w:p w14:paraId="1254100C" w14:textId="77777777" w:rsidR="00E162FE" w:rsidRPr="00CA089E" w:rsidRDefault="00E162FE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Packaging rules changed with reduction in total number of units. Core requirements strengthened and electives limited to meet industry expectations of competent drafters.</w:t>
            </w:r>
          </w:p>
        </w:tc>
        <w:tc>
          <w:tcPr>
            <w:tcW w:w="1701" w:type="dxa"/>
          </w:tcPr>
          <w:p w14:paraId="604C6B4A" w14:textId="1D5AFDEE" w:rsidR="002012A5" w:rsidRDefault="002012A5" w:rsidP="002012A5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Not equivalent to CPP40115 Certificate IV in Building Design Drafting.</w:t>
            </w:r>
          </w:p>
          <w:p w14:paraId="3DF86A6F" w14:textId="60560B96" w:rsidR="00E162FE" w:rsidRPr="00CA089E" w:rsidRDefault="00E162FE" w:rsidP="009D5B16">
            <w:pPr>
              <w:pStyle w:val="NoSpacing"/>
              <w:rPr>
                <w:lang w:eastAsia="en-AU"/>
              </w:rPr>
            </w:pPr>
          </w:p>
        </w:tc>
      </w:tr>
    </w:tbl>
    <w:p w14:paraId="7B0B1114" w14:textId="77777777" w:rsidR="00E162FE" w:rsidRDefault="00E162FE" w:rsidP="00E162FE">
      <w:pPr>
        <w:pStyle w:val="Heading1"/>
      </w:pPr>
      <w:r>
        <w:t>Links</w:t>
      </w:r>
    </w:p>
    <w:p w14:paraId="2966B5F3" w14:textId="77777777" w:rsidR="00303FB6" w:rsidRPr="00100640" w:rsidRDefault="00303FB6" w:rsidP="00303FB6">
      <w:bookmarkStart w:id="5" w:name="_Hlk8649658"/>
      <w:bookmarkStart w:id="6" w:name="_Hlk23349225"/>
      <w:r>
        <w:t>The Companion Volume</w:t>
      </w:r>
      <w:r w:rsidRPr="002126AD">
        <w:t xml:space="preserve"> Implementation Guide </w:t>
      </w:r>
      <w:r>
        <w:t xml:space="preserve">for the CPP Property Services </w:t>
      </w:r>
      <w:r w:rsidRPr="002126AD">
        <w:t xml:space="preserve">Training Package is available at: </w:t>
      </w:r>
      <w:hyperlink r:id="rId10" w:history="1">
        <w:r w:rsidRPr="002126AD">
          <w:rPr>
            <w:rStyle w:val="Hyperlink"/>
          </w:rPr>
          <w:t>https://vetnet.education.gov.au/Pages/TrainingDocs.aspx?q=6f3f9672-30e8-4835-b348-205dfcf13d9b</w:t>
        </w:r>
      </w:hyperlink>
      <w:bookmarkEnd w:id="5"/>
      <w:r>
        <w:rPr>
          <w:rStyle w:val="Hyperlink"/>
        </w:rPr>
        <w:t>.</w:t>
      </w:r>
    </w:p>
    <w:bookmarkEnd w:id="6"/>
    <w:p w14:paraId="3D501200" w14:textId="77777777" w:rsidR="001E4FD9" w:rsidRDefault="001E4FD9"/>
    <w:sectPr w:rsidR="001E4FD9">
      <w:headerReference w:type="default" r:id="rId11"/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8AC79" w14:textId="77777777" w:rsidR="001E18B7" w:rsidRDefault="001E18B7">
      <w:pPr>
        <w:spacing w:before="0" w:after="0" w:line="240" w:lineRule="auto"/>
      </w:pPr>
      <w:r>
        <w:separator/>
      </w:r>
    </w:p>
  </w:endnote>
  <w:endnote w:type="continuationSeparator" w:id="0">
    <w:p w14:paraId="4052EA9C" w14:textId="77777777" w:rsidR="001E18B7" w:rsidRDefault="001E18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2357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AC77A0" w14:textId="77777777" w:rsidR="000D5382" w:rsidRDefault="00E162FE" w:rsidP="009418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763195" w14:textId="77777777" w:rsidR="000D5382" w:rsidRDefault="001E18B7" w:rsidP="000D53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DE9CC" w14:textId="77777777" w:rsidR="001E18B7" w:rsidRDefault="001E18B7">
      <w:pPr>
        <w:spacing w:before="0" w:after="0" w:line="240" w:lineRule="auto"/>
      </w:pPr>
      <w:r>
        <w:separator/>
      </w:r>
    </w:p>
  </w:footnote>
  <w:footnote w:type="continuationSeparator" w:id="0">
    <w:p w14:paraId="3FFFE07F" w14:textId="77777777" w:rsidR="001E18B7" w:rsidRDefault="001E18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E6B7" w14:textId="77777777" w:rsidR="00992786" w:rsidRPr="008722DF" w:rsidRDefault="001E18B7" w:rsidP="00F8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92429"/>
    <w:multiLevelType w:val="hybridMultilevel"/>
    <w:tmpl w:val="59F68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B685A"/>
    <w:multiLevelType w:val="hybridMultilevel"/>
    <w:tmpl w:val="46E2D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FE"/>
    <w:rsid w:val="00060F47"/>
    <w:rsid w:val="00072C41"/>
    <w:rsid w:val="0009096C"/>
    <w:rsid w:val="000C3C83"/>
    <w:rsid w:val="000D1901"/>
    <w:rsid w:val="001108F4"/>
    <w:rsid w:val="00127AD7"/>
    <w:rsid w:val="00154B35"/>
    <w:rsid w:val="001A083D"/>
    <w:rsid w:val="001A5119"/>
    <w:rsid w:val="001C4E65"/>
    <w:rsid w:val="001E18B7"/>
    <w:rsid w:val="001E4FD9"/>
    <w:rsid w:val="002012A5"/>
    <w:rsid w:val="00215769"/>
    <w:rsid w:val="002520C7"/>
    <w:rsid w:val="00252368"/>
    <w:rsid w:val="00257387"/>
    <w:rsid w:val="0029298A"/>
    <w:rsid w:val="002C412F"/>
    <w:rsid w:val="002E12D5"/>
    <w:rsid w:val="00303FB6"/>
    <w:rsid w:val="00317B88"/>
    <w:rsid w:val="00375F8E"/>
    <w:rsid w:val="00403E18"/>
    <w:rsid w:val="004675AA"/>
    <w:rsid w:val="00476D10"/>
    <w:rsid w:val="004B03DF"/>
    <w:rsid w:val="004C7D49"/>
    <w:rsid w:val="004D1935"/>
    <w:rsid w:val="004E0DE9"/>
    <w:rsid w:val="00602EC2"/>
    <w:rsid w:val="00643632"/>
    <w:rsid w:val="006E4C4C"/>
    <w:rsid w:val="00783896"/>
    <w:rsid w:val="00790A67"/>
    <w:rsid w:val="007B0032"/>
    <w:rsid w:val="007D4653"/>
    <w:rsid w:val="00821238"/>
    <w:rsid w:val="00884BBE"/>
    <w:rsid w:val="00893C9F"/>
    <w:rsid w:val="008E65C1"/>
    <w:rsid w:val="00914C2A"/>
    <w:rsid w:val="00987D73"/>
    <w:rsid w:val="009A11F4"/>
    <w:rsid w:val="009D4AD8"/>
    <w:rsid w:val="00A231F0"/>
    <w:rsid w:val="00A3490F"/>
    <w:rsid w:val="00A5125E"/>
    <w:rsid w:val="00A73D39"/>
    <w:rsid w:val="00A83616"/>
    <w:rsid w:val="00AB6FBB"/>
    <w:rsid w:val="00B5573F"/>
    <w:rsid w:val="00B74400"/>
    <w:rsid w:val="00B94447"/>
    <w:rsid w:val="00C01A6D"/>
    <w:rsid w:val="00CF2335"/>
    <w:rsid w:val="00D304C7"/>
    <w:rsid w:val="00DA4683"/>
    <w:rsid w:val="00DB0976"/>
    <w:rsid w:val="00DE4FDE"/>
    <w:rsid w:val="00DF2813"/>
    <w:rsid w:val="00DF3928"/>
    <w:rsid w:val="00E162FE"/>
    <w:rsid w:val="00E459F2"/>
    <w:rsid w:val="00E823B3"/>
    <w:rsid w:val="00E8518D"/>
    <w:rsid w:val="00EB4B51"/>
    <w:rsid w:val="00F335DE"/>
    <w:rsid w:val="00F6718B"/>
    <w:rsid w:val="00F96098"/>
    <w:rsid w:val="00FB4627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4C9D2"/>
  <w15:chartTrackingRefBased/>
  <w15:docId w15:val="{3AE70E2B-376B-4B98-AB46-AAE8B677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62FE"/>
    <w:pPr>
      <w:spacing w:before="120" w:after="120"/>
    </w:pPr>
    <w:rPr>
      <w:rFonts w:eastAsiaTheme="minorEastAsi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2F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2FE"/>
    <w:rPr>
      <w:rFonts w:asciiTheme="majorHAnsi" w:eastAsiaTheme="majorEastAsia" w:hAnsiTheme="majorHAnsi" w:cstheme="majorBidi"/>
      <w:color w:val="2F5496" w:themeColor="accent1" w:themeShade="BF"/>
      <w:sz w:val="30"/>
      <w:szCs w:val="3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162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2F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GB"/>
    </w:rPr>
  </w:style>
  <w:style w:type="paragraph" w:styleId="NoSpacing">
    <w:name w:val="No Spacing"/>
    <w:uiPriority w:val="1"/>
    <w:qFormat/>
    <w:rsid w:val="00E162FE"/>
    <w:pPr>
      <w:spacing w:after="0" w:line="240" w:lineRule="auto"/>
    </w:pPr>
    <w:rPr>
      <w:rFonts w:eastAsiaTheme="minorEastAsia"/>
      <w:lang w:val="en-GB"/>
    </w:rPr>
  </w:style>
  <w:style w:type="table" w:styleId="TableGrid">
    <w:name w:val="Table Grid"/>
    <w:basedOn w:val="TableNormal"/>
    <w:uiPriority w:val="39"/>
    <w:rsid w:val="00E162FE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FE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FE"/>
    <w:rPr>
      <w:rFonts w:eastAsiaTheme="minorEastAsia"/>
      <w:lang w:val="en-GB"/>
    </w:rPr>
  </w:style>
  <w:style w:type="character" w:styleId="Hyperlink">
    <w:name w:val="Hyperlink"/>
    <w:basedOn w:val="DefaultParagraphFont"/>
    <w:uiPriority w:val="99"/>
    <w:unhideWhenUsed/>
    <w:rsid w:val="00E162F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162FE"/>
  </w:style>
  <w:style w:type="character" w:styleId="UnresolvedMention">
    <w:name w:val="Unresolved Mention"/>
    <w:basedOn w:val="DefaultParagraphFont"/>
    <w:uiPriority w:val="99"/>
    <w:semiHidden/>
    <w:unhideWhenUsed/>
    <w:rsid w:val="002C41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4B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8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87"/>
    <w:rPr>
      <w:rFonts w:ascii="Segoe UI" w:eastAsiaTheme="minorEastAsia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7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87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87"/>
    <w:rPr>
      <w:rFonts w:eastAsiaTheme="minorEastAsia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19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5F8E"/>
    <w:pPr>
      <w:ind w:left="720"/>
      <w:contextualSpacing/>
    </w:pPr>
  </w:style>
  <w:style w:type="paragraph" w:styleId="Revision">
    <w:name w:val="Revision"/>
    <w:hidden/>
    <w:uiPriority w:val="99"/>
    <w:semiHidden/>
    <w:rsid w:val="002520C7"/>
    <w:pPr>
      <w:spacing w:after="0" w:line="240" w:lineRule="auto"/>
    </w:pPr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gov.au/Training/Details/CPCCWHS10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etnet.education.gov.au/Pages/TrainingDocs.aspx?q=6f3f9672-30e8-4835-b348-205dfcf13d9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ining.gov.au/Training/Details/CPPBDN4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A506EF-2BB8-4937-AB6E-8AA048B7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Lamb</dc:creator>
  <cp:keywords/>
  <dc:description/>
  <cp:lastModifiedBy>Frances Lamb</cp:lastModifiedBy>
  <cp:revision>3</cp:revision>
  <cp:lastPrinted>2019-10-30T22:11:00Z</cp:lastPrinted>
  <dcterms:created xsi:type="dcterms:W3CDTF">2019-10-30T23:06:00Z</dcterms:created>
  <dcterms:modified xsi:type="dcterms:W3CDTF">2019-11-07T02:06:00Z</dcterms:modified>
</cp:coreProperties>
</file>