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37697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40"/>
        </w:rPr>
      </w:pPr>
      <w:r w:rsidRPr="00851BF0">
        <w:rPr>
          <w:rFonts w:ascii="Calibri" w:hAnsi="Calibri" w:cs="Calibri"/>
          <w:color w:val="000000" w:themeColor="text1"/>
          <w:sz w:val="40"/>
        </w:rPr>
        <w:t>Qualification Template</w:t>
      </w:r>
    </w:p>
    <w:p w14:paraId="7509334D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36"/>
        </w:rPr>
      </w:pPr>
    </w:p>
    <w:p w14:paraId="7D0216DE" w14:textId="49D933CE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CODE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>CP</w:t>
      </w:r>
      <w:r w:rsidR="00DB38E2"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AC5782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06498A">
        <w:rPr>
          <w:rFonts w:ascii="Calibri" w:hAnsi="Calibri" w:cs="Calibri"/>
          <w:color w:val="000000" w:themeColor="text1"/>
          <w:sz w:val="22"/>
          <w:szCs w:val="22"/>
        </w:rPr>
        <w:t>02</w:t>
      </w:r>
      <w:r w:rsidR="00911612">
        <w:rPr>
          <w:rFonts w:ascii="Calibri" w:hAnsi="Calibri" w:cs="Calibri"/>
          <w:color w:val="000000" w:themeColor="text1"/>
          <w:sz w:val="22"/>
          <w:szCs w:val="22"/>
        </w:rPr>
        <w:t>20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4343344" w14:textId="2227DFD2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TITLE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="00AC5782">
        <w:rPr>
          <w:rFonts w:ascii="Calibri" w:hAnsi="Calibri" w:cs="Calibri"/>
          <w:color w:val="000000" w:themeColor="text1"/>
          <w:sz w:val="22"/>
          <w:szCs w:val="22"/>
        </w:rPr>
        <w:t>Diploma of</w:t>
      </w:r>
      <w:r w:rsidR="00DB38E2">
        <w:rPr>
          <w:rFonts w:ascii="Calibri" w:hAnsi="Calibri" w:cs="Calibri"/>
          <w:color w:val="000000" w:themeColor="text1"/>
          <w:sz w:val="22"/>
          <w:szCs w:val="22"/>
        </w:rPr>
        <w:t xml:space="preserve"> Building and Construction (</w:t>
      </w:r>
      <w:r w:rsidR="00AC5782">
        <w:rPr>
          <w:rFonts w:ascii="Calibri" w:hAnsi="Calibri" w:cs="Calibri"/>
          <w:color w:val="000000" w:themeColor="text1"/>
          <w:sz w:val="22"/>
          <w:szCs w:val="22"/>
        </w:rPr>
        <w:t>Building</w:t>
      </w:r>
      <w:r w:rsidR="00DB38E2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719F91D7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11AAD2A7" w14:textId="77777777" w:rsidR="00851BF0" w:rsidRPr="00851BF0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851BF0">
        <w:rPr>
          <w:rFonts w:cs="Calibri"/>
          <w:b/>
          <w:color w:val="000000" w:themeColor="text1"/>
        </w:rPr>
        <w:t>QUALIFICATION DESCRIPTION</w:t>
      </w:r>
      <w:bookmarkStart w:id="0" w:name="_Hlk512512031"/>
    </w:p>
    <w:p w14:paraId="3BB15E93" w14:textId="0E88902E" w:rsidR="00D22E4F" w:rsidRPr="00D22E4F" w:rsidRDefault="001E7615" w:rsidP="00D22E4F">
      <w:p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This </w:t>
      </w:r>
      <w:r w:rsidR="00AC5782" w:rsidRPr="00AC5782">
        <w:rPr>
          <w:rFonts w:cs="Arial"/>
          <w:szCs w:val="22"/>
        </w:rPr>
        <w:t xml:space="preserve">qualification </w:t>
      </w:r>
      <w:r w:rsidR="00D22E4F">
        <w:rPr>
          <w:rFonts w:cs="Arial"/>
          <w:szCs w:val="22"/>
        </w:rPr>
        <w:t>reflects the role</w:t>
      </w:r>
      <w:r w:rsidR="00AC5782" w:rsidRPr="00AC5782">
        <w:rPr>
          <w:rFonts w:cs="Arial"/>
          <w:szCs w:val="22"/>
        </w:rPr>
        <w:t xml:space="preserve"> of build</w:t>
      </w:r>
      <w:r w:rsidR="009B615B">
        <w:rPr>
          <w:rFonts w:cs="Arial"/>
          <w:szCs w:val="22"/>
        </w:rPr>
        <w:t>ing professionals</w:t>
      </w:r>
      <w:r w:rsidR="00AC5782" w:rsidRPr="00AC5782">
        <w:rPr>
          <w:rFonts w:cs="Arial"/>
          <w:szCs w:val="22"/>
        </w:rPr>
        <w:t xml:space="preserve"> </w:t>
      </w:r>
      <w:r w:rsidR="003829D3">
        <w:rPr>
          <w:rFonts w:cs="Arial"/>
          <w:szCs w:val="22"/>
        </w:rPr>
        <w:t xml:space="preserve">who apply knowledge of structural principles, risk </w:t>
      </w:r>
      <w:r w:rsidR="004D1DB8">
        <w:rPr>
          <w:rFonts w:cs="Arial"/>
          <w:szCs w:val="22"/>
        </w:rPr>
        <w:t xml:space="preserve">and </w:t>
      </w:r>
      <w:r w:rsidR="004D1DB8" w:rsidRPr="00220D81">
        <w:rPr>
          <w:rFonts w:cs="Arial"/>
          <w:color w:val="000000" w:themeColor="text1"/>
          <w:szCs w:val="22"/>
        </w:rPr>
        <w:t>financial management</w:t>
      </w:r>
      <w:r w:rsidR="004D1DB8">
        <w:rPr>
          <w:rFonts w:cs="Arial"/>
          <w:szCs w:val="22"/>
        </w:rPr>
        <w:t>, estimating</w:t>
      </w:r>
      <w:r w:rsidR="009B615B">
        <w:rPr>
          <w:rFonts w:cs="Arial"/>
          <w:szCs w:val="22"/>
        </w:rPr>
        <w:t>, prepar</w:t>
      </w:r>
      <w:r w:rsidR="003829D3">
        <w:rPr>
          <w:rFonts w:cs="Arial"/>
          <w:szCs w:val="22"/>
        </w:rPr>
        <w:t>ing</w:t>
      </w:r>
      <w:r w:rsidR="009B615B">
        <w:rPr>
          <w:rFonts w:cs="Arial"/>
          <w:szCs w:val="22"/>
        </w:rPr>
        <w:t xml:space="preserve"> and adminis</w:t>
      </w:r>
      <w:r w:rsidR="003829D3">
        <w:rPr>
          <w:rFonts w:cs="Arial"/>
          <w:szCs w:val="22"/>
        </w:rPr>
        <w:t xml:space="preserve">tering </w:t>
      </w:r>
      <w:r w:rsidR="009B615B">
        <w:rPr>
          <w:rFonts w:cs="Arial"/>
          <w:szCs w:val="22"/>
        </w:rPr>
        <w:t xml:space="preserve">building and construction contracts, </w:t>
      </w:r>
      <w:r w:rsidR="00AC5782" w:rsidRPr="00AC5782">
        <w:rPr>
          <w:rFonts w:cs="Arial"/>
          <w:szCs w:val="22"/>
        </w:rPr>
        <w:t>selecting contractors, overseeing the work and its quality</w:t>
      </w:r>
      <w:r w:rsidR="004D1DB8">
        <w:rPr>
          <w:rFonts w:cs="Arial"/>
          <w:szCs w:val="22"/>
        </w:rPr>
        <w:t xml:space="preserve"> </w:t>
      </w:r>
      <w:r w:rsidR="003829D3">
        <w:rPr>
          <w:rFonts w:cs="Arial"/>
          <w:szCs w:val="22"/>
        </w:rPr>
        <w:t>and managing construction work in building projects including residential and commercial</w:t>
      </w:r>
      <w:r w:rsidR="00D22E4F">
        <w:rPr>
          <w:rFonts w:cs="Arial"/>
          <w:szCs w:val="22"/>
        </w:rPr>
        <w:t xml:space="preserve"> with the following limitations: </w:t>
      </w:r>
    </w:p>
    <w:p w14:paraId="1E85F902" w14:textId="7B8CBB15" w:rsidR="00D22E4F" w:rsidRPr="00D22E4F" w:rsidRDefault="00D22E4F" w:rsidP="00D22E4F">
      <w:pPr>
        <w:pStyle w:val="Default"/>
        <w:numPr>
          <w:ilvl w:val="0"/>
          <w:numId w:val="24"/>
        </w:numPr>
        <w:spacing w:after="15"/>
        <w:ind w:left="284" w:hanging="284"/>
        <w:rPr>
          <w:sz w:val="22"/>
          <w:szCs w:val="22"/>
        </w:rPr>
      </w:pPr>
      <w:r w:rsidRPr="00D22E4F">
        <w:rPr>
          <w:sz w:val="22"/>
          <w:szCs w:val="22"/>
        </w:rPr>
        <w:t>Residential construction limited to National Construction Code Class 1 and 10 buildings</w:t>
      </w:r>
      <w:r>
        <w:rPr>
          <w:sz w:val="22"/>
          <w:szCs w:val="22"/>
        </w:rPr>
        <w:t xml:space="preserve"> to a </w:t>
      </w:r>
      <w:r w:rsidRPr="00D22E4F">
        <w:rPr>
          <w:sz w:val="22"/>
          <w:szCs w:val="22"/>
        </w:rPr>
        <w:t xml:space="preserve">maximum of 3 </w:t>
      </w:r>
      <w:proofErr w:type="spellStart"/>
      <w:r w:rsidRPr="00D22E4F">
        <w:rPr>
          <w:sz w:val="22"/>
          <w:szCs w:val="22"/>
        </w:rPr>
        <w:t>st</w:t>
      </w:r>
      <w:r w:rsidR="00E3365F">
        <w:rPr>
          <w:sz w:val="22"/>
          <w:szCs w:val="22"/>
        </w:rPr>
        <w:t>oreys</w:t>
      </w:r>
      <w:proofErr w:type="spellEnd"/>
    </w:p>
    <w:p w14:paraId="1FF36195" w14:textId="2D810EBB" w:rsidR="00D22E4F" w:rsidRDefault="00D22E4F" w:rsidP="00D22E4F">
      <w:pPr>
        <w:pStyle w:val="Default"/>
        <w:numPr>
          <w:ilvl w:val="0"/>
          <w:numId w:val="24"/>
        </w:numPr>
        <w:ind w:left="284" w:hanging="284"/>
        <w:rPr>
          <w:sz w:val="22"/>
          <w:szCs w:val="22"/>
        </w:rPr>
      </w:pPr>
      <w:r w:rsidRPr="00D22E4F">
        <w:rPr>
          <w:sz w:val="22"/>
          <w:szCs w:val="22"/>
        </w:rPr>
        <w:t xml:space="preserve">Commercial construction limited to National Construction Code Class 2 to 9 buildings, Type C and B construction. </w:t>
      </w:r>
    </w:p>
    <w:p w14:paraId="4B1ED780" w14:textId="77777777" w:rsidR="00D22E4F" w:rsidRPr="00D22E4F" w:rsidRDefault="00D22E4F" w:rsidP="00D22E4F">
      <w:pPr>
        <w:pStyle w:val="Default"/>
        <w:ind w:left="284"/>
        <w:rPr>
          <w:sz w:val="22"/>
          <w:szCs w:val="22"/>
        </w:rPr>
      </w:pPr>
    </w:p>
    <w:p w14:paraId="2F55C579" w14:textId="4F6A35E8" w:rsidR="00AC5782" w:rsidRPr="00AC5782" w:rsidRDefault="00AC5782" w:rsidP="00AC5782">
      <w:pPr>
        <w:shd w:val="clear" w:color="auto" w:fill="FFFFFF"/>
        <w:spacing w:after="120"/>
        <w:rPr>
          <w:rFonts w:cs="Arial"/>
          <w:szCs w:val="22"/>
        </w:rPr>
      </w:pPr>
      <w:r w:rsidRPr="00AC5782">
        <w:rPr>
          <w:rFonts w:cs="Arial"/>
          <w:szCs w:val="22"/>
        </w:rPr>
        <w:t>Occupational title</w:t>
      </w:r>
      <w:r w:rsidR="00D22E4F">
        <w:rPr>
          <w:rFonts w:cs="Arial"/>
          <w:szCs w:val="22"/>
        </w:rPr>
        <w:t>s</w:t>
      </w:r>
      <w:r w:rsidRPr="00AC5782">
        <w:rPr>
          <w:rFonts w:cs="Arial"/>
          <w:szCs w:val="22"/>
        </w:rPr>
        <w:t xml:space="preserve"> may include:</w:t>
      </w:r>
    </w:p>
    <w:p w14:paraId="088577D2" w14:textId="0F46DFE7" w:rsidR="00AC5782" w:rsidRDefault="00AC5782" w:rsidP="00AC5782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 w:rsidRPr="00AC5782">
        <w:rPr>
          <w:rFonts w:cs="Arial"/>
          <w:szCs w:val="22"/>
        </w:rPr>
        <w:t>Builder</w:t>
      </w:r>
    </w:p>
    <w:p w14:paraId="5F6F783A" w14:textId="47B677D7" w:rsidR="009B615B" w:rsidRDefault="009B615B" w:rsidP="00AC5782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bookmarkStart w:id="1" w:name="_GoBack"/>
      <w:bookmarkEnd w:id="1"/>
      <w:r>
        <w:rPr>
          <w:rFonts w:cs="Arial"/>
          <w:szCs w:val="22"/>
        </w:rPr>
        <w:t>General For</w:t>
      </w:r>
      <w:r w:rsidR="00643C21">
        <w:rPr>
          <w:rFonts w:cs="Arial"/>
          <w:szCs w:val="22"/>
        </w:rPr>
        <w:t>eperson</w:t>
      </w:r>
    </w:p>
    <w:p w14:paraId="3E203BA3" w14:textId="713FFEBB" w:rsidR="00220D81" w:rsidRDefault="00220D81" w:rsidP="00AC5782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Building Inspector</w:t>
      </w:r>
    </w:p>
    <w:p w14:paraId="403EA4CE" w14:textId="306B3A6D" w:rsidR="00A43B56" w:rsidRPr="00A43B56" w:rsidRDefault="000C7033" w:rsidP="00A43B56">
      <w:pPr>
        <w:spacing w:after="240"/>
        <w:rPr>
          <w:rFonts w:asciiTheme="minorHAnsi" w:hAnsiTheme="minorHAnsi" w:cstheme="minorHAnsi"/>
          <w:i/>
          <w:color w:val="000000" w:themeColor="text1"/>
          <w:szCs w:val="22"/>
        </w:rPr>
      </w:pPr>
      <w:r w:rsidRPr="003B0068">
        <w:rPr>
          <w:rFonts w:asciiTheme="minorHAnsi" w:hAnsiTheme="minorHAnsi" w:cstheme="minorHAnsi"/>
          <w:color w:val="000000" w:themeColor="text1"/>
          <w:szCs w:val="22"/>
        </w:rPr>
        <w:t xml:space="preserve">The construction industry strongly affirms that training and assessment leading to recognition of skills must be undertaken in a real or very closely simulated workplace environment. </w:t>
      </w:r>
      <w:r w:rsidRPr="003B006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 xml:space="preserve">To achieve this qualification, the candidate must have access to a live building and construction workplace to meet the requirements detailed in the Assessment Requirements of core unit </w:t>
      </w:r>
      <w:r w:rsidRPr="003B0068">
        <w:rPr>
          <w:rFonts w:asciiTheme="minorHAnsi" w:hAnsiTheme="minorHAnsi" w:cstheme="minorHAnsi"/>
          <w:i/>
          <w:color w:val="000000" w:themeColor="text1"/>
          <w:szCs w:val="22"/>
          <w:shd w:val="clear" w:color="auto" w:fill="FFFFFF"/>
        </w:rPr>
        <w:t xml:space="preserve">CPCCBC4008 </w:t>
      </w:r>
      <w:r w:rsidR="00005FA8" w:rsidRPr="00E0571B">
        <w:rPr>
          <w:rFonts w:cs="Calibri"/>
          <w:i/>
          <w:iCs/>
          <w:szCs w:val="22"/>
        </w:rPr>
        <w:t>Supervise communication and administration processes for building and construction projects</w:t>
      </w:r>
      <w:r w:rsidRPr="003B0068">
        <w:rPr>
          <w:rFonts w:asciiTheme="minorHAnsi" w:hAnsiTheme="minorHAnsi" w:cstheme="minorHAnsi"/>
          <w:i/>
          <w:color w:val="000000" w:themeColor="text1"/>
          <w:szCs w:val="22"/>
          <w:shd w:val="clear" w:color="auto" w:fill="FFFFFF"/>
        </w:rPr>
        <w:t>.</w:t>
      </w:r>
    </w:p>
    <w:p w14:paraId="23D0EEF8" w14:textId="18A1E4D0" w:rsidR="009B615B" w:rsidRPr="00273CC4" w:rsidRDefault="00273CC4" w:rsidP="009B615B">
      <w:pPr>
        <w:shd w:val="clear" w:color="auto" w:fill="FFFFFF"/>
        <w:spacing w:after="120"/>
        <w:rPr>
          <w:szCs w:val="22"/>
        </w:rPr>
      </w:pPr>
      <w:r w:rsidRPr="00153F9D">
        <w:rPr>
          <w:szCs w:val="22"/>
        </w:rPr>
        <w:t xml:space="preserve">Completion of the general construction induction training program specified by the model Code of Practice for Construction Work is required </w:t>
      </w:r>
      <w:r>
        <w:rPr>
          <w:szCs w:val="22"/>
        </w:rPr>
        <w:t>for any person who is to carry out</w:t>
      </w:r>
      <w:r w:rsidRPr="00153F9D">
        <w:rPr>
          <w:szCs w:val="22"/>
        </w:rPr>
        <w:t xml:space="preserve"> construction work. Achievement of unit </w:t>
      </w:r>
      <w:r w:rsidRPr="00E3365F">
        <w:rPr>
          <w:szCs w:val="22"/>
        </w:rPr>
        <w:t>CPCCWHS1001 Prepare to work safely in the construction industry</w:t>
      </w:r>
      <w:r w:rsidRPr="00153F9D">
        <w:rPr>
          <w:szCs w:val="22"/>
        </w:rPr>
        <w:t xml:space="preserve"> meets this requirement.</w:t>
      </w:r>
    </w:p>
    <w:p w14:paraId="3E9B75CA" w14:textId="686B1F11" w:rsidR="009B615B" w:rsidRPr="00AC5782" w:rsidRDefault="009B615B" w:rsidP="009B615B">
      <w:pPr>
        <w:shd w:val="clear" w:color="auto" w:fill="FFFFFF"/>
        <w:spacing w:after="120"/>
        <w:rPr>
          <w:rFonts w:cs="Arial"/>
          <w:szCs w:val="22"/>
        </w:rPr>
      </w:pPr>
      <w:r w:rsidRPr="00AC5782">
        <w:rPr>
          <w:rFonts w:cs="Arial"/>
          <w:szCs w:val="22"/>
        </w:rPr>
        <w:t xml:space="preserve">Builder licensing varies across States and Territories and requirements </w:t>
      </w:r>
      <w:r>
        <w:rPr>
          <w:rFonts w:cs="Arial"/>
          <w:szCs w:val="22"/>
        </w:rPr>
        <w:t xml:space="preserve">additional </w:t>
      </w:r>
      <w:r w:rsidRPr="00AC5782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 xml:space="preserve">the </w:t>
      </w:r>
      <w:r w:rsidRPr="00AC5782">
        <w:rPr>
          <w:rFonts w:cs="Arial"/>
          <w:szCs w:val="22"/>
        </w:rPr>
        <w:t>attainment of this qualification may be required.</w:t>
      </w:r>
    </w:p>
    <w:p w14:paraId="4C22AC58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>ENTRY REQUIREMENTS</w:t>
      </w:r>
    </w:p>
    <w:p w14:paraId="6456F1D9" w14:textId="4D5BF235" w:rsidR="005F015F" w:rsidRDefault="00CF3B62" w:rsidP="005F015F">
      <w:r>
        <w:t>There are no entry requirements for this qualification.</w:t>
      </w:r>
    </w:p>
    <w:p w14:paraId="6B8F02C2" w14:textId="77777777" w:rsidR="005F015F" w:rsidRPr="005F015F" w:rsidRDefault="005F015F" w:rsidP="005F015F"/>
    <w:p w14:paraId="034C1D79" w14:textId="7D5FEEBE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 xml:space="preserve">PACKAGING RULES </w:t>
      </w:r>
    </w:p>
    <w:p w14:paraId="1A135BAA" w14:textId="77777777" w:rsidR="009958EE" w:rsidRPr="009958EE" w:rsidRDefault="009958EE" w:rsidP="009958EE">
      <w:pPr>
        <w:shd w:val="clear" w:color="auto" w:fill="FFFFFF"/>
        <w:spacing w:after="120"/>
        <w:rPr>
          <w:rFonts w:cs="Arial"/>
          <w:szCs w:val="22"/>
        </w:rPr>
      </w:pPr>
      <w:bookmarkStart w:id="2" w:name="_Hlk515360770"/>
      <w:r w:rsidRPr="009958EE">
        <w:rPr>
          <w:rFonts w:cs="Arial"/>
          <w:szCs w:val="22"/>
        </w:rPr>
        <w:t>To achieve this qualification, the candidate must demonstrate competency in:</w:t>
      </w:r>
    </w:p>
    <w:p w14:paraId="73B03EC8" w14:textId="4493CEB0" w:rsidR="009958EE" w:rsidRPr="008448F6" w:rsidRDefault="006F52EC" w:rsidP="008448F6">
      <w:pPr>
        <w:numPr>
          <w:ilvl w:val="0"/>
          <w:numId w:val="18"/>
        </w:numPr>
        <w:ind w:left="720" w:hanging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</w:t>
      </w:r>
      <w:r w:rsidR="005F015F">
        <w:rPr>
          <w:rFonts w:cs="Arial"/>
          <w:bCs/>
          <w:szCs w:val="22"/>
        </w:rPr>
        <w:t>7</w:t>
      </w:r>
      <w:r w:rsidR="009958EE" w:rsidRPr="008448F6">
        <w:rPr>
          <w:rFonts w:cs="Arial"/>
          <w:bCs/>
          <w:szCs w:val="22"/>
        </w:rPr>
        <w:t xml:space="preserve"> units of competency:</w:t>
      </w:r>
    </w:p>
    <w:p w14:paraId="4B656E13" w14:textId="0807409E" w:rsidR="009958EE" w:rsidRPr="008448F6" w:rsidRDefault="00AD5811" w:rsidP="008448F6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5F015F">
        <w:rPr>
          <w:rFonts w:cs="Arial"/>
          <w:szCs w:val="22"/>
        </w:rPr>
        <w:t>4</w:t>
      </w:r>
      <w:r w:rsidR="00675722">
        <w:rPr>
          <w:rFonts w:cs="Arial"/>
          <w:szCs w:val="22"/>
        </w:rPr>
        <w:t xml:space="preserve"> </w:t>
      </w:r>
      <w:r w:rsidR="009958EE" w:rsidRPr="008448F6">
        <w:rPr>
          <w:rFonts w:cs="Arial"/>
          <w:szCs w:val="22"/>
        </w:rPr>
        <w:t>core units</w:t>
      </w:r>
    </w:p>
    <w:p w14:paraId="7A065F9E" w14:textId="77777777" w:rsidR="0004515A" w:rsidRPr="0004515A" w:rsidRDefault="00EF5AA1" w:rsidP="0004515A">
      <w:pPr>
        <w:pStyle w:val="ListParagraph"/>
        <w:numPr>
          <w:ilvl w:val="1"/>
          <w:numId w:val="18"/>
        </w:numPr>
        <w:rPr>
          <w:rFonts w:cs="Calibri"/>
          <w:color w:val="000000" w:themeColor="text1"/>
          <w:u w:val="single"/>
        </w:rPr>
      </w:pPr>
      <w:r>
        <w:rPr>
          <w:rFonts w:cs="Arial"/>
          <w:szCs w:val="22"/>
        </w:rPr>
        <w:t>3</w:t>
      </w:r>
      <w:r w:rsidR="004E3F46">
        <w:rPr>
          <w:rFonts w:cs="Arial"/>
          <w:szCs w:val="22"/>
        </w:rPr>
        <w:t xml:space="preserve"> </w:t>
      </w:r>
      <w:r w:rsidR="009958EE" w:rsidRPr="00D75E7C">
        <w:rPr>
          <w:rFonts w:cs="Arial"/>
          <w:szCs w:val="22"/>
        </w:rPr>
        <w:t>elective units</w:t>
      </w:r>
      <w:r w:rsidR="0091798C" w:rsidRPr="00D75E7C">
        <w:rPr>
          <w:rFonts w:cs="Arial"/>
          <w:szCs w:val="22"/>
        </w:rPr>
        <w:t xml:space="preserve"> </w:t>
      </w:r>
      <w:bookmarkEnd w:id="2"/>
    </w:p>
    <w:p w14:paraId="3EB8968B" w14:textId="77777777" w:rsidR="00AC1C3F" w:rsidRPr="00AC1C3F" w:rsidRDefault="0004515A" w:rsidP="00AC1C3F">
      <w:pPr>
        <w:pStyle w:val="ListParagraph"/>
        <w:numPr>
          <w:ilvl w:val="1"/>
          <w:numId w:val="18"/>
        </w:numPr>
        <w:rPr>
          <w:rFonts w:cs="Calibri"/>
          <w:color w:val="000000" w:themeColor="text1"/>
          <w:u w:val="single"/>
        </w:rPr>
      </w:pPr>
      <w:r>
        <w:t xml:space="preserve">a maximum of one unit may be from any training package or accredited course </w:t>
      </w:r>
      <w:proofErr w:type="gramStart"/>
      <w:r w:rsidRPr="0004515A">
        <w:rPr>
          <w:rFonts w:cs="Calibri"/>
          <w:szCs w:val="22"/>
        </w:rPr>
        <w:t>as long as</w:t>
      </w:r>
      <w:proofErr w:type="gramEnd"/>
      <w:r w:rsidRPr="0004515A">
        <w:rPr>
          <w:rFonts w:cs="Calibri"/>
          <w:szCs w:val="22"/>
        </w:rPr>
        <w:t xml:space="preserve"> it ensures the integrity of the qualification’s Australian Qualification Framework (AQF) alignment and contribute</w:t>
      </w:r>
      <w:r>
        <w:rPr>
          <w:rFonts w:cs="Calibri"/>
          <w:szCs w:val="22"/>
        </w:rPr>
        <w:t>s</w:t>
      </w:r>
      <w:r w:rsidRPr="0004515A">
        <w:rPr>
          <w:rFonts w:cs="Calibri"/>
          <w:szCs w:val="22"/>
        </w:rPr>
        <w:t xml:space="preserve"> to a valid, industry supported vocational outcome</w:t>
      </w:r>
      <w:r w:rsidR="00FB201B">
        <w:rPr>
          <w:rFonts w:cs="Calibri"/>
          <w:szCs w:val="22"/>
        </w:rPr>
        <w:t>.</w:t>
      </w:r>
    </w:p>
    <w:p w14:paraId="0270BBC4" w14:textId="34F539D6" w:rsidR="00AC1C3F" w:rsidRPr="00AC1C3F" w:rsidRDefault="00AC1C3F" w:rsidP="00AC1C3F">
      <w:pPr>
        <w:rPr>
          <w:rFonts w:cs="Calibri"/>
          <w:color w:val="000000" w:themeColor="text1"/>
          <w:u w:val="single"/>
        </w:rPr>
      </w:pPr>
      <w:r>
        <w:lastRenderedPageBreak/>
        <w:t xml:space="preserve">An asterisk (*) next to the unit code indicates that there are prerequisite requirements which must </w:t>
      </w:r>
      <w:r w:rsidRPr="00CF74B8">
        <w:rPr>
          <w:noProof/>
        </w:rPr>
        <w:t>be met</w:t>
      </w:r>
      <w:r>
        <w:t xml:space="preserve"> when packaging the qualification. Please refer to the Prerequisite requirements table for details.</w:t>
      </w:r>
    </w:p>
    <w:p w14:paraId="749BF034" w14:textId="77777777" w:rsidR="00AC1C3F" w:rsidRPr="00AC1C3F" w:rsidRDefault="00AC1C3F" w:rsidP="00AC1C3F">
      <w:pPr>
        <w:rPr>
          <w:rFonts w:cs="Calibri"/>
          <w:color w:val="000000" w:themeColor="text1"/>
          <w:u w:val="single"/>
        </w:rPr>
      </w:pPr>
    </w:p>
    <w:p w14:paraId="3C9FB5EE" w14:textId="53C5ED8A" w:rsidR="00851BF0" w:rsidRPr="009958EE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Core Units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1475"/>
        <w:gridCol w:w="7446"/>
      </w:tblGrid>
      <w:tr w:rsidR="00E3365F" w:rsidRPr="00E3365F" w14:paraId="33E19855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bookmarkEnd w:id="0"/>
          <w:p w14:paraId="291C919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BSBRSK501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8099D3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 risk</w:t>
            </w:r>
          </w:p>
        </w:tc>
      </w:tr>
      <w:tr w:rsidR="00E3365F" w:rsidRPr="00E3365F" w14:paraId="2CC4A31E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709DBBAF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BSBWHS513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E361B5D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Contribute to WHS risk management</w:t>
            </w:r>
          </w:p>
        </w:tc>
      </w:tr>
      <w:tr w:rsidR="00E3365F" w:rsidRPr="00E3365F" w14:paraId="55237D01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EB271C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CBCCBC5001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EC34B0F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Apply building codes and standards to the construction process for Type B construction</w:t>
            </w:r>
          </w:p>
        </w:tc>
      </w:tr>
      <w:tr w:rsidR="00E3365F" w:rsidRPr="00E3365F" w14:paraId="182DB24B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4D7F6142" w14:textId="0F415086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CPCCBC4001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AC30F46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building codes and standards to the construction process for Class 1 and 10 buildings</w:t>
            </w:r>
          </w:p>
        </w:tc>
      </w:tr>
      <w:tr w:rsidR="00E3365F" w:rsidRPr="00E3365F" w14:paraId="6892D60F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2C1DB420" w14:textId="57BAD59B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0A93F10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Select, prepare and administer a construction contract</w:t>
            </w:r>
          </w:p>
        </w:tc>
      </w:tr>
      <w:tr w:rsidR="00E3365F" w:rsidRPr="00E3365F" w14:paraId="748CA78E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42AFDF3" w14:textId="35A18C9A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CPCCBC4004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05D40D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Identify and produce estimated costs for building and construction projects</w:t>
            </w:r>
          </w:p>
        </w:tc>
      </w:tr>
      <w:tr w:rsidR="00E3365F" w:rsidRPr="00E3365F" w14:paraId="1B8A783D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5304E8AC" w14:textId="119BBC00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CPCCBC4005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7E5EF28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Produce labour and material schedules for ordering</w:t>
            </w:r>
          </w:p>
        </w:tc>
      </w:tr>
      <w:tr w:rsidR="00E3365F" w:rsidRPr="00E3365F" w14:paraId="59289D6C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2A337E53" w14:textId="1E880D7D" w:rsidR="00E3365F" w:rsidRPr="000A520A" w:rsidRDefault="00E3365F" w:rsidP="00E3365F">
            <w:pPr>
              <w:rPr>
                <w:color w:val="000000"/>
                <w:szCs w:val="22"/>
              </w:rPr>
            </w:pPr>
            <w:r w:rsidRPr="000A520A">
              <w:rPr>
                <w:color w:val="000000"/>
                <w:szCs w:val="22"/>
              </w:rPr>
              <w:t>CPCCBC4008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481F88B" w14:textId="1AB56BB9" w:rsidR="00E3365F" w:rsidRPr="000A520A" w:rsidRDefault="00346AB8" w:rsidP="00E3365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Supervise communication and administration processes for building and construction projects</w:t>
            </w:r>
          </w:p>
        </w:tc>
      </w:tr>
      <w:tr w:rsidR="00E3365F" w:rsidRPr="00E3365F" w14:paraId="670B3C91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62C2988" w14:textId="647A44CE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CPCCBC4009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741EC1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legal requirements to building and construction projects</w:t>
            </w:r>
          </w:p>
        </w:tc>
      </w:tr>
      <w:tr w:rsidR="00E3365F" w:rsidRPr="00E3365F" w14:paraId="12607250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351F7D70" w14:textId="0526338E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CPCCBC4010</w:t>
            </w:r>
            <w:r w:rsidR="00550778">
              <w:rPr>
                <w:color w:val="000000"/>
                <w:szCs w:val="22"/>
              </w:rPr>
              <w:t>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41C07B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structural principles to residential and commercial constructions</w:t>
            </w:r>
          </w:p>
        </w:tc>
      </w:tr>
      <w:tr w:rsidR="00E3365F" w:rsidRPr="00E3365F" w14:paraId="5E32211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90E2C73" w14:textId="60B91EE6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CPCCBC4012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FCBF2E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Read and interpret plans and specifications</w:t>
            </w:r>
          </w:p>
        </w:tc>
      </w:tr>
      <w:tr w:rsidR="00E3365F" w:rsidRPr="00E3365F" w14:paraId="162C556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442C70C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CPCCBC4013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77EE908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Prepare and evaluate tender documentation</w:t>
            </w:r>
          </w:p>
        </w:tc>
      </w:tr>
      <w:tr w:rsidR="00E3365F" w:rsidRPr="00E3365F" w14:paraId="3348D8C9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3DD524B6" w14:textId="38E3494D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CPCCBC4014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34EE413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Prepare simple building sketches and drawings</w:t>
            </w:r>
          </w:p>
        </w:tc>
      </w:tr>
      <w:tr w:rsidR="00E3365F" w:rsidRPr="00E3365F" w14:paraId="3409350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CB16FE3" w14:textId="027FF075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CPCCBC4018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0E1E1B47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site surveys and set-out procedures to building and construction projects</w:t>
            </w:r>
          </w:p>
        </w:tc>
      </w:tr>
      <w:tr w:rsidR="00E3365F" w:rsidRPr="00E3365F" w14:paraId="50D99AE4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0443D42" w14:textId="0138780C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CPCCBC4053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34EF068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building codes and standards to the construction process for Class 2 to 9, Type C buildings</w:t>
            </w:r>
          </w:p>
        </w:tc>
      </w:tr>
      <w:tr w:rsidR="00E3365F" w:rsidRPr="00E3365F" w14:paraId="44A0B369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47180BB9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CPCCBC5002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00868B7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Calibri"/>
                <w:color w:val="000000" w:themeColor="text1"/>
                <w:szCs w:val="22"/>
              </w:rPr>
              <w:t>Monitor costing systems on complex building and construction projects</w:t>
            </w:r>
          </w:p>
        </w:tc>
      </w:tr>
      <w:tr w:rsidR="00E3365F" w:rsidRPr="00E3365F" w14:paraId="54E2223C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40FADEB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CPCCBC5003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88FEF74" w14:textId="5BE865F8" w:rsidR="00E3365F" w:rsidRPr="003263CA" w:rsidRDefault="00E3365F" w:rsidP="00E3365F">
            <w:pPr>
              <w:rPr>
                <w:color w:val="000000" w:themeColor="text1"/>
                <w:szCs w:val="22"/>
              </w:rPr>
            </w:pPr>
            <w:r w:rsidRPr="003263CA">
              <w:rPr>
                <w:color w:val="000000" w:themeColor="text1"/>
                <w:szCs w:val="22"/>
              </w:rPr>
              <w:t xml:space="preserve">Supervise the planning of onsite building </w:t>
            </w:r>
            <w:r w:rsidR="00E96863" w:rsidRPr="003263CA">
              <w:rPr>
                <w:color w:val="000000" w:themeColor="text1"/>
                <w:szCs w:val="22"/>
              </w:rPr>
              <w:t>and</w:t>
            </w:r>
            <w:r w:rsidRPr="003263CA">
              <w:rPr>
                <w:color w:val="000000" w:themeColor="text1"/>
                <w:szCs w:val="22"/>
              </w:rPr>
              <w:t xml:space="preserve"> construction work</w:t>
            </w:r>
          </w:p>
        </w:tc>
      </w:tr>
      <w:tr w:rsidR="00E3365F" w:rsidRPr="00E3365F" w14:paraId="06C9229F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248439F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CPCCBC5005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956ECDA" w14:textId="77777777" w:rsidR="00E3365F" w:rsidRPr="003263CA" w:rsidRDefault="00E3365F" w:rsidP="00E3365F">
            <w:pPr>
              <w:rPr>
                <w:color w:val="000000" w:themeColor="text1"/>
                <w:szCs w:val="22"/>
              </w:rPr>
            </w:pPr>
            <w:r w:rsidRPr="003263CA">
              <w:rPr>
                <w:color w:val="000000" w:themeColor="text1"/>
                <w:szCs w:val="22"/>
              </w:rPr>
              <w:t>Select and manage building and construction contractors</w:t>
            </w:r>
          </w:p>
        </w:tc>
      </w:tr>
      <w:tr w:rsidR="00E3365F" w:rsidRPr="00E3365F" w14:paraId="3CBF5309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D41D37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CPCCBC5007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159CAA2" w14:textId="509980A8" w:rsidR="00E3365F" w:rsidRPr="003263CA" w:rsidRDefault="00E3365F" w:rsidP="00E3365F">
            <w:pPr>
              <w:rPr>
                <w:color w:val="000000" w:themeColor="text1"/>
                <w:szCs w:val="22"/>
              </w:rPr>
            </w:pPr>
            <w:r w:rsidRPr="003263CA">
              <w:rPr>
                <w:color w:val="000000" w:themeColor="text1"/>
                <w:szCs w:val="22"/>
              </w:rPr>
              <w:t xml:space="preserve">Administer the legal obligations of a building </w:t>
            </w:r>
            <w:r w:rsidR="00E96863" w:rsidRPr="003263CA">
              <w:rPr>
                <w:color w:val="000000" w:themeColor="text1"/>
                <w:szCs w:val="22"/>
              </w:rPr>
              <w:t>and</w:t>
            </w:r>
            <w:r w:rsidRPr="003263CA">
              <w:rPr>
                <w:color w:val="000000" w:themeColor="text1"/>
                <w:szCs w:val="22"/>
              </w:rPr>
              <w:t xml:space="preserve"> construction contractor</w:t>
            </w:r>
          </w:p>
        </w:tc>
      </w:tr>
      <w:tr w:rsidR="00E3365F" w:rsidRPr="00E3365F" w14:paraId="7650D01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2E1643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CPCCBC5010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BCEC46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 construction work</w:t>
            </w:r>
          </w:p>
        </w:tc>
      </w:tr>
      <w:tr w:rsidR="00E3365F" w:rsidRPr="00E3365F" w14:paraId="5F21192A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54C2986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CPCCBC5011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5E1B67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 environmental management practices and processes in building and construction</w:t>
            </w:r>
          </w:p>
        </w:tc>
      </w:tr>
      <w:tr w:rsidR="00E3365F" w:rsidRPr="00E3365F" w14:paraId="0926161D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3CF53B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3CBB687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</w:t>
            </w:r>
            <w:r w:rsidRPr="00E3365F">
              <w:rPr>
                <w:color w:val="000000"/>
                <w:szCs w:val="22"/>
              </w:rPr>
              <w:t xml:space="preserve"> professional technical and legal reports on building and construction projects</w:t>
            </w:r>
          </w:p>
        </w:tc>
      </w:tr>
      <w:tr w:rsidR="00E3365F" w:rsidRPr="00E3365F" w14:paraId="717A7C26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52B0B70" w14:textId="10B4DA45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CPCCBC5018</w:t>
            </w:r>
            <w:r w:rsidR="00550778">
              <w:rPr>
                <w:color w:val="000000" w:themeColor="text1"/>
                <w:szCs w:val="22"/>
              </w:rPr>
              <w:t>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F62844E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Apply structural principles to the construction of buildings up to 3 storeys</w:t>
            </w:r>
          </w:p>
        </w:tc>
      </w:tr>
      <w:tr w:rsidR="00E3365F" w:rsidRPr="00E3365F" w14:paraId="023244E2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2F9B98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CPCCBC5019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14EAC3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18"/>
              </w:rPr>
              <w:t xml:space="preserve">Manage building and construction business finances </w:t>
            </w:r>
          </w:p>
        </w:tc>
      </w:tr>
    </w:tbl>
    <w:p w14:paraId="3CBE8DE4" w14:textId="77777777" w:rsidR="005F015F" w:rsidRDefault="005F015F" w:rsidP="008448F6">
      <w:pPr>
        <w:spacing w:after="160" w:line="259" w:lineRule="auto"/>
        <w:rPr>
          <w:rFonts w:cs="Calibri"/>
          <w:b/>
          <w:color w:val="000000" w:themeColor="text1"/>
        </w:rPr>
      </w:pPr>
    </w:p>
    <w:p w14:paraId="0371E62F" w14:textId="6869C52F" w:rsidR="008448F6" w:rsidRDefault="008448F6" w:rsidP="008448F6">
      <w:pPr>
        <w:spacing w:after="160" w:line="259" w:lineRule="auto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Elective Units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1559"/>
        <w:gridCol w:w="7362"/>
      </w:tblGrid>
      <w:tr w:rsidR="00E3365F" w:rsidRPr="00E3365F" w14:paraId="2C828777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677E78F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BSBPMG513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30FB1C89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project quality</w:t>
            </w:r>
          </w:p>
        </w:tc>
      </w:tr>
      <w:tr w:rsidR="00E3365F" w:rsidRPr="00E3365F" w14:paraId="2C7E2F06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2693B5F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BSBPMG519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0BB7FD5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project stakeholder engagement</w:t>
            </w:r>
          </w:p>
        </w:tc>
      </w:tr>
      <w:tr w:rsidR="00E3365F" w:rsidRPr="00E3365F" w14:paraId="0D080FD1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7FDEB2C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 w:themeColor="text1"/>
                <w:szCs w:val="18"/>
              </w:rPr>
              <w:t>CPCCBC4052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1D7E301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 w:themeColor="text1"/>
                <w:szCs w:val="18"/>
              </w:rPr>
              <w:t>Lead and manage teams in the building and construction industry</w:t>
            </w:r>
          </w:p>
        </w:tc>
      </w:tr>
      <w:tr w:rsidR="00E3365F" w:rsidRPr="00E3365F" w14:paraId="783E9ADC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09538B8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CPCCBC5004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651BD81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Supervise and apply quality standards to the selection of building and construction materials</w:t>
            </w:r>
          </w:p>
        </w:tc>
      </w:tr>
      <w:tr w:rsidR="00E3365F" w:rsidRPr="00E3365F" w14:paraId="66EF955F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4C7F15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CPCCBC5006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558192F5" w14:textId="0A298F9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 xml:space="preserve">Apply site surveys and set-out procedures to building projects up to </w:t>
            </w:r>
            <w:r w:rsidR="00830696">
              <w:rPr>
                <w:color w:val="000000"/>
                <w:szCs w:val="22"/>
              </w:rPr>
              <w:t>three</w:t>
            </w:r>
            <w:r w:rsidRPr="00E3365F">
              <w:rPr>
                <w:color w:val="000000"/>
                <w:szCs w:val="22"/>
              </w:rPr>
              <w:t xml:space="preserve"> storeys</w:t>
            </w:r>
          </w:p>
        </w:tc>
      </w:tr>
      <w:tr w:rsidR="00E3365F" w:rsidRPr="00E3365F" w14:paraId="59192304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0424B96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CPCCBC5009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5A5A667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Calibri"/>
                <w:color w:val="000000"/>
                <w:szCs w:val="22"/>
              </w:rPr>
              <w:t>Identify services layout and connection methods for Type C and B construction</w:t>
            </w:r>
          </w:p>
        </w:tc>
      </w:tr>
      <w:tr w:rsidR="00E3365F" w:rsidRPr="00E3365F" w14:paraId="6055DC10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461371B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CPCCBC5012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108BDACE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the application and monitoring of energy conservation and management practices and processes</w:t>
            </w:r>
          </w:p>
        </w:tc>
      </w:tr>
      <w:tr w:rsidR="00E3365F" w:rsidRPr="00E3365F" w14:paraId="5CA7E170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58E839BD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CPCCBC5014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5FFBDF06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Conduct asbestos assessment associated with removal</w:t>
            </w:r>
          </w:p>
        </w:tc>
      </w:tr>
      <w:tr w:rsidR="00E3365F" w:rsidRPr="00E3365F" w14:paraId="69F62505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2F8073F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lastRenderedPageBreak/>
              <w:t>CPCCBC6001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6DEE4C6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building codes and standards to the construction process for large building projects</w:t>
            </w:r>
          </w:p>
        </w:tc>
      </w:tr>
      <w:tr w:rsidR="00E3365F" w:rsidRPr="00E3365F" w14:paraId="2773BED7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9D6971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CPCSUS5001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586EA31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Develop workplace policies and procedures for sustainability</w:t>
            </w:r>
          </w:p>
        </w:tc>
      </w:tr>
      <w:tr w:rsidR="00E3365F" w:rsidRPr="00E3365F" w14:paraId="156D3CFB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E6CFFE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CPCSUS5002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56A1BA19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Develop action plans to retrofit existing buildings for energy efficiency</w:t>
            </w:r>
          </w:p>
        </w:tc>
      </w:tr>
      <w:tr w:rsidR="00E3365F" w:rsidRPr="00E3365F" w14:paraId="1632F314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AC9323E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CPCSUS5003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33992BD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energy efficient building methods and strategies</w:t>
            </w:r>
          </w:p>
        </w:tc>
      </w:tr>
      <w:tr w:rsidR="00E3365F" w:rsidRPr="00E3365F" w14:paraId="3180DE85" w14:textId="77777777" w:rsidTr="00830696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BA40D4C" w14:textId="09902C16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CPPDSM5022</w:t>
            </w:r>
            <w:r w:rsidR="00F63F0B">
              <w:rPr>
                <w:color w:val="000000"/>
                <w:szCs w:val="22"/>
              </w:rPr>
              <w:t>A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1F9EFDF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Implement asset management plan</w:t>
            </w:r>
          </w:p>
        </w:tc>
      </w:tr>
    </w:tbl>
    <w:p w14:paraId="587317EE" w14:textId="44DBF51A" w:rsidR="00851BF0" w:rsidRDefault="00851BF0" w:rsidP="00851BF0">
      <w:pPr>
        <w:rPr>
          <w:rFonts w:cs="Calibr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AC1C3F" w:rsidRPr="008421C0" w14:paraId="286375F3" w14:textId="77777777" w:rsidTr="00DE2235">
        <w:trPr>
          <w:trHeight w:val="2682"/>
        </w:trPr>
        <w:tc>
          <w:tcPr>
            <w:tcW w:w="5000" w:type="pct"/>
            <w:shd w:val="clear" w:color="auto" w:fill="auto"/>
          </w:tcPr>
          <w:p w14:paraId="5100EB93" w14:textId="77777777" w:rsidR="00AC1C3F" w:rsidRPr="00AC1C3F" w:rsidRDefault="00AC1C3F" w:rsidP="00DE2235">
            <w:pPr>
              <w:pStyle w:val="SITextHeading2"/>
              <w:rPr>
                <w:sz w:val="20"/>
              </w:rPr>
            </w:pPr>
            <w:r w:rsidRPr="00AC1C3F">
              <w:rPr>
                <w:sz w:val="20"/>
              </w:rPr>
              <w:t>Prerequisite requirements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2"/>
            </w:tblGrid>
            <w:tr w:rsidR="00AC1C3F" w14:paraId="780DCBB1" w14:textId="77777777" w:rsidTr="00550778">
              <w:trPr>
                <w:trHeight w:val="116"/>
              </w:trPr>
              <w:tc>
                <w:tcPr>
                  <w:tcW w:w="4392" w:type="dxa"/>
                </w:tcPr>
                <w:p w14:paraId="2B5A4184" w14:textId="77777777" w:rsidR="00AC1C3F" w:rsidRPr="008421C0" w:rsidRDefault="00AC1C3F" w:rsidP="00DE2235">
                  <w:pPr>
                    <w:pStyle w:val="SITextHeading2"/>
                    <w:spacing w:after="0"/>
                    <w:rPr>
                      <w:sz w:val="20"/>
                    </w:rPr>
                  </w:pPr>
                  <w:r w:rsidRPr="008421C0">
                    <w:rPr>
                      <w:sz w:val="20"/>
                    </w:rPr>
                    <w:t>Unit of competency</w:t>
                  </w:r>
                </w:p>
              </w:tc>
              <w:tc>
                <w:tcPr>
                  <w:tcW w:w="4392" w:type="dxa"/>
                </w:tcPr>
                <w:p w14:paraId="409039FF" w14:textId="77777777" w:rsidR="00AC1C3F" w:rsidRPr="008421C0" w:rsidRDefault="00AC1C3F" w:rsidP="00DE2235">
                  <w:pPr>
                    <w:pStyle w:val="SITextHeading2"/>
                    <w:spacing w:after="0"/>
                    <w:rPr>
                      <w:sz w:val="20"/>
                    </w:rPr>
                  </w:pPr>
                  <w:r w:rsidRPr="008421C0">
                    <w:rPr>
                      <w:sz w:val="20"/>
                    </w:rPr>
                    <w:t>Prerequisite requirement</w:t>
                  </w:r>
                </w:p>
              </w:tc>
            </w:tr>
            <w:tr w:rsidR="00AC1C3F" w14:paraId="4E816076" w14:textId="77777777" w:rsidTr="00550778">
              <w:tc>
                <w:tcPr>
                  <w:tcW w:w="4392" w:type="dxa"/>
                </w:tcPr>
                <w:p w14:paraId="444C4042" w14:textId="2FB0014D" w:rsidR="00AC1C3F" w:rsidRDefault="00AC1C3F" w:rsidP="00DE2235">
                  <w:pPr>
                    <w:pStyle w:val="SIText"/>
                  </w:pPr>
                  <w:r>
                    <w:t>CPCCBC5018 Apply structural principles to the construction of buildings up to 3 storeys</w:t>
                  </w:r>
                </w:p>
              </w:tc>
              <w:tc>
                <w:tcPr>
                  <w:tcW w:w="4392" w:type="dxa"/>
                </w:tcPr>
                <w:p w14:paraId="28826BE9" w14:textId="77777777" w:rsidR="00AC1C3F" w:rsidRDefault="00AC1C3F" w:rsidP="00DE2235">
                  <w:pPr>
                    <w:pStyle w:val="SIText"/>
                  </w:pPr>
                  <w:r>
                    <w:t>CPCCBC5001 Apply building codes and standards to the construction process for Type B construction</w:t>
                  </w:r>
                </w:p>
                <w:p w14:paraId="1EB2DAD2" w14:textId="5626270C" w:rsidR="00AC1C3F" w:rsidRDefault="00AC1C3F" w:rsidP="00DE2235">
                  <w:pPr>
                    <w:pStyle w:val="SIText"/>
                  </w:pPr>
                  <w:r>
                    <w:t>CPCCBC</w:t>
                  </w:r>
                  <w:r w:rsidR="00550778">
                    <w:t>4053 Apply building codes and standards to the construction process for Class 2 to 9, Type C buildings</w:t>
                  </w:r>
                </w:p>
              </w:tc>
            </w:tr>
            <w:tr w:rsidR="00AC1C3F" w14:paraId="5F3C77BA" w14:textId="77777777" w:rsidTr="00550778">
              <w:trPr>
                <w:trHeight w:val="1525"/>
              </w:trPr>
              <w:tc>
                <w:tcPr>
                  <w:tcW w:w="4392" w:type="dxa"/>
                </w:tcPr>
                <w:p w14:paraId="545E7538" w14:textId="69B102C3" w:rsidR="00AC1C3F" w:rsidRPr="001531A1" w:rsidRDefault="00550778" w:rsidP="00DE2235">
                  <w:pPr>
                    <w:pStyle w:val="SIText"/>
                  </w:pPr>
                  <w:r>
                    <w:t xml:space="preserve">CPCCBC4010 </w:t>
                  </w:r>
                  <w:r w:rsidRPr="00E3365F">
                    <w:rPr>
                      <w:color w:val="000000"/>
                    </w:rPr>
                    <w:t>Apply structural principles to residential and commercial constructions</w:t>
                  </w:r>
                </w:p>
              </w:tc>
              <w:tc>
                <w:tcPr>
                  <w:tcW w:w="4392" w:type="dxa"/>
                </w:tcPr>
                <w:p w14:paraId="0B48FE6D" w14:textId="04233823" w:rsidR="00AC1C3F" w:rsidRDefault="00550778" w:rsidP="00DE2235">
                  <w:pPr>
                    <w:pStyle w:val="SIText"/>
                  </w:pPr>
                  <w:r>
                    <w:t xml:space="preserve">CPCCBC4053 Apply building codes and standards to the construction process for Class 2 to 9 Type C buildings </w:t>
                  </w:r>
                </w:p>
                <w:p w14:paraId="46C3C3D4" w14:textId="6B304A86" w:rsidR="00550778" w:rsidRPr="001531A1" w:rsidRDefault="00550778" w:rsidP="00DE2235">
                  <w:pPr>
                    <w:pStyle w:val="SIText"/>
                  </w:pPr>
                  <w:r>
                    <w:t>CPCCBC4001 Apply building codes and standards to the construction process for Class 1 and 10 buildings</w:t>
                  </w:r>
                </w:p>
              </w:tc>
            </w:tr>
          </w:tbl>
          <w:p w14:paraId="39951C17" w14:textId="50951F68" w:rsidR="00AC1C3F" w:rsidRPr="008421C0" w:rsidRDefault="00550778" w:rsidP="00AC1C3F">
            <w:pPr>
              <w:pStyle w:val="SIText"/>
            </w:pPr>
            <w:r>
              <w:t xml:space="preserve"> </w:t>
            </w:r>
          </w:p>
        </w:tc>
      </w:tr>
    </w:tbl>
    <w:p w14:paraId="4556D20B" w14:textId="77777777" w:rsidR="00AC1C3F" w:rsidRPr="00851BF0" w:rsidRDefault="00AC1C3F" w:rsidP="00851BF0">
      <w:pPr>
        <w:rPr>
          <w:rFonts w:cs="Calibri"/>
          <w:color w:val="000000" w:themeColor="text1"/>
        </w:rPr>
      </w:pPr>
    </w:p>
    <w:p w14:paraId="5269F391" w14:textId="77777777" w:rsidR="00851BF0" w:rsidRPr="00851BF0" w:rsidRDefault="00851BF0" w:rsidP="00851BF0">
      <w:pPr>
        <w:pStyle w:val="Heading1"/>
      </w:pPr>
      <w:r w:rsidRPr="00851BF0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394"/>
        <w:gridCol w:w="3213"/>
        <w:gridCol w:w="1306"/>
      </w:tblGrid>
      <w:tr w:rsidR="00851BF0" w:rsidRPr="00851BF0" w14:paraId="05D34F19" w14:textId="77777777" w:rsidTr="007C2137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45B1EBA0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55A92CD2" w14:textId="516ADB85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CP</w:t>
            </w:r>
            <w:r w:rsidR="00DB38E2">
              <w:rPr>
                <w:rFonts w:cs="Calibri"/>
                <w:b/>
                <w:color w:val="000000" w:themeColor="text1"/>
              </w:rPr>
              <w:t>C08</w:t>
            </w:r>
            <w:r w:rsidR="00A2265E">
              <w:rPr>
                <w:rFonts w:cs="Calibri"/>
                <w:b/>
                <w:color w:val="000000" w:themeColor="text1"/>
              </w:rPr>
              <w:t xml:space="preserve">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56294A02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396F81CC" w14:textId="5EF80ADC" w:rsidR="00851BF0" w:rsidRPr="00851BF0" w:rsidRDefault="00A2265E" w:rsidP="007C2137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E</w:t>
            </w:r>
            <w:r w:rsidR="00851BF0" w:rsidRPr="00851BF0">
              <w:rPr>
                <w:rFonts w:cs="Calibri"/>
                <w:b/>
                <w:color w:val="000000" w:themeColor="text1"/>
              </w:rPr>
              <w:t>quivalency statement</w:t>
            </w:r>
          </w:p>
        </w:tc>
      </w:tr>
      <w:tr w:rsidR="00851BF0" w:rsidRPr="00851BF0" w14:paraId="5F9F24A4" w14:textId="77777777" w:rsidTr="008448F6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68E1959" w14:textId="67FE11CB" w:rsidR="00851BF0" w:rsidRPr="00851BF0" w:rsidRDefault="008448F6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</w:t>
            </w:r>
            <w:r w:rsidR="007C3F24">
              <w:rPr>
                <w:rFonts w:cs="Calibri"/>
                <w:color w:val="000000" w:themeColor="text1"/>
                <w:lang w:eastAsia="en-AU"/>
              </w:rPr>
              <w:t>C</w:t>
            </w:r>
            <w:r w:rsidR="00AC5782">
              <w:rPr>
                <w:rFonts w:cs="Calibri"/>
                <w:color w:val="000000" w:themeColor="text1"/>
                <w:lang w:eastAsia="en-AU"/>
              </w:rPr>
              <w:t>5</w:t>
            </w:r>
            <w:r w:rsidR="0006498A">
              <w:rPr>
                <w:rFonts w:cs="Calibri"/>
                <w:color w:val="000000" w:themeColor="text1"/>
                <w:lang w:eastAsia="en-AU"/>
              </w:rPr>
              <w:t>02</w:t>
            </w:r>
            <w:r w:rsidR="00911612">
              <w:rPr>
                <w:rFonts w:cs="Calibri"/>
                <w:color w:val="000000" w:themeColor="text1"/>
                <w:lang w:eastAsia="en-AU"/>
              </w:rPr>
              <w:t>20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</w:t>
            </w:r>
            <w:r w:rsidR="00AC5782">
              <w:rPr>
                <w:rFonts w:cs="Calibri"/>
                <w:color w:val="000000" w:themeColor="text1"/>
                <w:lang w:eastAsia="en-AU"/>
              </w:rPr>
              <w:t xml:space="preserve">Diploma of </w:t>
            </w:r>
            <w:r w:rsidR="007C3F24">
              <w:rPr>
                <w:rFonts w:cs="Calibri"/>
                <w:color w:val="000000" w:themeColor="text1"/>
                <w:lang w:eastAsia="en-AU"/>
              </w:rPr>
              <w:t>Building and Construction (</w:t>
            </w:r>
            <w:r w:rsidR="00AC5782">
              <w:rPr>
                <w:rFonts w:cs="Calibri"/>
                <w:color w:val="000000" w:themeColor="text1"/>
                <w:lang w:eastAsia="en-AU"/>
              </w:rPr>
              <w:t>Building</w:t>
            </w:r>
            <w:r w:rsidR="007C3F24">
              <w:rPr>
                <w:rFonts w:cs="Calibri"/>
                <w:color w:val="000000" w:themeColor="text1"/>
                <w:lang w:eastAsia="en-AU"/>
              </w:rPr>
              <w:t>)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46F25B3" w14:textId="1C6F51D7" w:rsidR="008448F6" w:rsidRDefault="008448F6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CP</w:t>
            </w:r>
            <w:r w:rsidR="007C3F24">
              <w:rPr>
                <w:rFonts w:cs="Calibri"/>
                <w:color w:val="000000" w:themeColor="text1"/>
              </w:rPr>
              <w:t>C</w:t>
            </w:r>
            <w:r w:rsidR="00AC5782">
              <w:rPr>
                <w:rFonts w:cs="Calibri"/>
                <w:color w:val="000000" w:themeColor="text1"/>
              </w:rPr>
              <w:t>50210</w:t>
            </w:r>
          </w:p>
          <w:p w14:paraId="170630FA" w14:textId="42A0CC8F" w:rsidR="00851BF0" w:rsidRPr="00851BF0" w:rsidRDefault="00AC5782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Diploma of</w:t>
            </w:r>
            <w:r w:rsidR="007C3F24">
              <w:rPr>
                <w:rFonts w:cs="Calibri"/>
                <w:color w:val="000000" w:themeColor="text1"/>
              </w:rPr>
              <w:t xml:space="preserve"> Building and Construction (</w:t>
            </w:r>
            <w:r>
              <w:rPr>
                <w:rFonts w:cs="Calibri"/>
                <w:color w:val="000000" w:themeColor="text1"/>
              </w:rPr>
              <w:t>Building</w:t>
            </w:r>
            <w:r w:rsidR="007C3F24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A9B66D3" w14:textId="77777777" w:rsidR="00E3365F" w:rsidRDefault="00E3365F" w:rsidP="00E3365F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Supersedes and is equivalent to CPC50210</w:t>
            </w:r>
          </w:p>
          <w:p w14:paraId="610D7B99" w14:textId="77777777" w:rsidR="00851BF0" w:rsidRDefault="00E3365F" w:rsidP="00E3365F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Diploma of Building and Construction (Building)</w:t>
            </w:r>
          </w:p>
          <w:p w14:paraId="06E1608A" w14:textId="77777777" w:rsidR="00AC1C3F" w:rsidRDefault="00AC1C3F" w:rsidP="00AC1C3F">
            <w:pPr>
              <w:rPr>
                <w:lang w:eastAsia="en-AU"/>
              </w:rPr>
            </w:pPr>
          </w:p>
          <w:p w14:paraId="32C07743" w14:textId="119471E0" w:rsidR="00AC1C3F" w:rsidRDefault="00AC1C3F" w:rsidP="00AC1C3F">
            <w:pPr>
              <w:rPr>
                <w:lang w:eastAsia="en-AU"/>
              </w:rPr>
            </w:pPr>
            <w:r>
              <w:rPr>
                <w:lang w:eastAsia="en-AU"/>
              </w:rPr>
              <w:t>Increase in total number of units for qualification outcome</w:t>
            </w:r>
          </w:p>
          <w:p w14:paraId="1CAC1DAF" w14:textId="77777777" w:rsidR="00AC1C3F" w:rsidRDefault="00AC1C3F" w:rsidP="00AC1C3F">
            <w:pPr>
              <w:rPr>
                <w:lang w:eastAsia="en-AU"/>
              </w:rPr>
            </w:pPr>
          </w:p>
          <w:p w14:paraId="11FB7BF9" w14:textId="77777777" w:rsidR="00AC1C3F" w:rsidRDefault="00AC1C3F" w:rsidP="00AC1C3F">
            <w:pPr>
              <w:rPr>
                <w:lang w:eastAsia="en-AU"/>
              </w:rPr>
            </w:pPr>
            <w:r>
              <w:rPr>
                <w:lang w:eastAsia="en-AU"/>
              </w:rPr>
              <w:t>Changes to core and elective units and packaging rules</w:t>
            </w:r>
          </w:p>
          <w:p w14:paraId="77CFB82D" w14:textId="77777777" w:rsidR="00AC1C3F" w:rsidRDefault="00AC1C3F" w:rsidP="00AC1C3F">
            <w:pPr>
              <w:rPr>
                <w:lang w:eastAsia="en-AU"/>
              </w:rPr>
            </w:pPr>
          </w:p>
          <w:p w14:paraId="76D98371" w14:textId="77777777" w:rsidR="00AC1C3F" w:rsidRDefault="00AC1C3F" w:rsidP="00AC1C3F">
            <w:pPr>
              <w:rPr>
                <w:lang w:eastAsia="en-AU"/>
              </w:rPr>
            </w:pPr>
            <w:r>
              <w:rPr>
                <w:lang w:eastAsia="en-AU"/>
              </w:rPr>
              <w:t>Updated imported core and elective units to current versions</w:t>
            </w:r>
          </w:p>
          <w:p w14:paraId="63919E57" w14:textId="57AE9EC3" w:rsidR="00AC1C3F" w:rsidRPr="00851BF0" w:rsidRDefault="00AC1C3F" w:rsidP="00E3365F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474604C" w14:textId="662607DA" w:rsidR="00851BF0" w:rsidRPr="00851BF0" w:rsidRDefault="00220D81" w:rsidP="008448F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E</w:t>
            </w:r>
          </w:p>
        </w:tc>
      </w:tr>
    </w:tbl>
    <w:p w14:paraId="774D8A08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74B548AB" w14:textId="77777777" w:rsidR="00851BF0" w:rsidRDefault="00851BF0" w:rsidP="00851BF0">
      <w:pPr>
        <w:rPr>
          <w:b/>
        </w:rPr>
      </w:pPr>
      <w:r w:rsidRPr="00851BF0">
        <w:rPr>
          <w:b/>
        </w:rPr>
        <w:t>LINKS</w:t>
      </w:r>
    </w:p>
    <w:p w14:paraId="69B1BA62" w14:textId="77777777" w:rsidR="00851BF0" w:rsidRPr="00851BF0" w:rsidRDefault="00851BF0" w:rsidP="00851BF0">
      <w:pPr>
        <w:rPr>
          <w:b/>
        </w:rPr>
      </w:pPr>
    </w:p>
    <w:p w14:paraId="624841F4" w14:textId="2F1DCCD0" w:rsidR="00D120A2" w:rsidRPr="000E66CD" w:rsidRDefault="00851BF0" w:rsidP="00D120A2">
      <w:pPr>
        <w:rPr>
          <w:rFonts w:cs="Calibri"/>
        </w:rPr>
      </w:pPr>
      <w:r w:rsidRPr="00851BF0">
        <w:rPr>
          <w:rFonts w:cs="Calibri"/>
          <w:color w:val="000000" w:themeColor="text1"/>
        </w:rPr>
        <w:t>An Implementation Guide to this Training Package is available at:</w:t>
      </w:r>
      <w:r w:rsidR="008448F6">
        <w:rPr>
          <w:rFonts w:cs="Calibri"/>
          <w:color w:val="000000" w:themeColor="text1"/>
        </w:rPr>
        <w:t xml:space="preserve"> </w:t>
      </w:r>
      <w:r w:rsidR="00030701" w:rsidRPr="00030701">
        <w:rPr>
          <w:rFonts w:cs="Calibri"/>
          <w:color w:val="000000" w:themeColor="text1"/>
        </w:rPr>
        <w:t>https://vetnet.education.gov.au/Pages/TrainingDocs.aspx?q=7e15fa6a-68b8-4097-b099-030a5569b1ad</w:t>
      </w:r>
    </w:p>
    <w:sectPr w:rsidR="00D120A2" w:rsidRPr="000E66CD" w:rsidSect="00100640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65D97" w14:textId="77777777" w:rsidR="00B360AB" w:rsidRDefault="00B360AB">
      <w:r>
        <w:separator/>
      </w:r>
    </w:p>
  </w:endnote>
  <w:endnote w:type="continuationSeparator" w:id="0">
    <w:p w14:paraId="4D28DB6E" w14:textId="77777777" w:rsidR="00B360AB" w:rsidRDefault="00B3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6231B1" w14:textId="77777777" w:rsidR="00866AAA" w:rsidRDefault="00540D9F" w:rsidP="00F81562">
            <w:pPr>
              <w:pStyle w:val="Foo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17190E32" w14:textId="68F67144" w:rsidR="00866AAA" w:rsidRDefault="00B360AB" w:rsidP="00F81562">
            <w:pPr>
              <w:pStyle w:val="Footer"/>
            </w:pPr>
          </w:p>
        </w:sdtContent>
      </w:sdt>
    </w:sdtContent>
  </w:sdt>
  <w:p w14:paraId="3742652A" w14:textId="77777777" w:rsidR="00866AAA" w:rsidRDefault="00B360AB" w:rsidP="00F815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22D87" w14:textId="77777777" w:rsidR="00B360AB" w:rsidRDefault="00B360AB">
      <w:r>
        <w:separator/>
      </w:r>
    </w:p>
  </w:footnote>
  <w:footnote w:type="continuationSeparator" w:id="0">
    <w:p w14:paraId="657B80C1" w14:textId="77777777" w:rsidR="00B360AB" w:rsidRDefault="00B360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596679"/>
      <w:docPartObj>
        <w:docPartGallery w:val="Watermarks"/>
        <w:docPartUnique/>
      </w:docPartObj>
    </w:sdtPr>
    <w:sdtEndPr/>
    <w:sdtContent>
      <w:p w14:paraId="1F5EC56F" w14:textId="4BF8BA7C" w:rsidR="00A664BF" w:rsidRDefault="00B360AB" w:rsidP="00F81562">
        <w:pPr>
          <w:pStyle w:val="Header"/>
        </w:pPr>
      </w:p>
    </w:sdtContent>
  </w:sdt>
  <w:p w14:paraId="11C901A1" w14:textId="2D9275C0" w:rsidR="00992786" w:rsidRPr="008722DF" w:rsidRDefault="00B360AB" w:rsidP="00F815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D04013"/>
    <w:multiLevelType w:val="hybridMultilevel"/>
    <w:tmpl w:val="52758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87425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237EE5"/>
    <w:multiLevelType w:val="hybridMultilevel"/>
    <w:tmpl w:val="D7E4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2325"/>
    <w:multiLevelType w:val="hybridMultilevel"/>
    <w:tmpl w:val="0E5648DC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A3CB2"/>
    <w:multiLevelType w:val="hybridMultilevel"/>
    <w:tmpl w:val="BA2E295A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B3260"/>
    <w:multiLevelType w:val="hybridMultilevel"/>
    <w:tmpl w:val="44B2CA18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54B33"/>
    <w:multiLevelType w:val="hybridMultilevel"/>
    <w:tmpl w:val="6DE435EC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228E9"/>
    <w:multiLevelType w:val="hybridMultilevel"/>
    <w:tmpl w:val="3FA60E2A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2370F"/>
    <w:multiLevelType w:val="hybridMultilevel"/>
    <w:tmpl w:val="7CAC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1653C"/>
    <w:multiLevelType w:val="hybridMultilevel"/>
    <w:tmpl w:val="0E6477B2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3"/>
  </w:num>
  <w:num w:numId="5">
    <w:abstractNumId w:val="5"/>
  </w:num>
  <w:num w:numId="6">
    <w:abstractNumId w:val="4"/>
  </w:num>
  <w:num w:numId="7">
    <w:abstractNumId w:val="24"/>
  </w:num>
  <w:num w:numId="8">
    <w:abstractNumId w:val="21"/>
  </w:num>
  <w:num w:numId="9">
    <w:abstractNumId w:val="22"/>
  </w:num>
  <w:num w:numId="10">
    <w:abstractNumId w:val="7"/>
  </w:num>
  <w:num w:numId="11">
    <w:abstractNumId w:val="6"/>
  </w:num>
  <w:num w:numId="12">
    <w:abstractNumId w:val="10"/>
  </w:num>
  <w:num w:numId="13">
    <w:abstractNumId w:val="17"/>
  </w:num>
  <w:num w:numId="14">
    <w:abstractNumId w:val="3"/>
  </w:num>
  <w:num w:numId="15">
    <w:abstractNumId w:val="16"/>
  </w:num>
  <w:num w:numId="16">
    <w:abstractNumId w:val="2"/>
  </w:num>
  <w:num w:numId="17">
    <w:abstractNumId w:val="9"/>
  </w:num>
  <w:num w:numId="18">
    <w:abstractNumId w:val="11"/>
  </w:num>
  <w:num w:numId="19">
    <w:abstractNumId w:val="1"/>
  </w:num>
  <w:num w:numId="20">
    <w:abstractNumId w:val="14"/>
  </w:num>
  <w:num w:numId="21">
    <w:abstractNumId w:val="8"/>
  </w:num>
  <w:num w:numId="22">
    <w:abstractNumId w:val="18"/>
  </w:num>
  <w:num w:numId="23">
    <w:abstractNumId w:val="13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42"/>
    <w:rsid w:val="00005FA8"/>
    <w:rsid w:val="00030701"/>
    <w:rsid w:val="00034BDA"/>
    <w:rsid w:val="0004515A"/>
    <w:rsid w:val="0005305E"/>
    <w:rsid w:val="00055004"/>
    <w:rsid w:val="0006498A"/>
    <w:rsid w:val="00081D30"/>
    <w:rsid w:val="00086D97"/>
    <w:rsid w:val="000A2BE9"/>
    <w:rsid w:val="000A3810"/>
    <w:rsid w:val="000A48E9"/>
    <w:rsid w:val="000A520A"/>
    <w:rsid w:val="000A7D35"/>
    <w:rsid w:val="000C678D"/>
    <w:rsid w:val="000C7033"/>
    <w:rsid w:val="000C73B0"/>
    <w:rsid w:val="000D3688"/>
    <w:rsid w:val="000E46E9"/>
    <w:rsid w:val="000E66CD"/>
    <w:rsid w:val="000E6BC6"/>
    <w:rsid w:val="000F27E7"/>
    <w:rsid w:val="001219BC"/>
    <w:rsid w:val="001515EE"/>
    <w:rsid w:val="00166CF4"/>
    <w:rsid w:val="00181C12"/>
    <w:rsid w:val="001847BC"/>
    <w:rsid w:val="00196F9C"/>
    <w:rsid w:val="001A2875"/>
    <w:rsid w:val="001A3942"/>
    <w:rsid w:val="001A6D92"/>
    <w:rsid w:val="001C4DE5"/>
    <w:rsid w:val="001D675B"/>
    <w:rsid w:val="001D6DD8"/>
    <w:rsid w:val="001D74C9"/>
    <w:rsid w:val="001E7615"/>
    <w:rsid w:val="001F6E2F"/>
    <w:rsid w:val="0020305B"/>
    <w:rsid w:val="002032D8"/>
    <w:rsid w:val="00220D81"/>
    <w:rsid w:val="002308C4"/>
    <w:rsid w:val="002409C9"/>
    <w:rsid w:val="00261826"/>
    <w:rsid w:val="00273CC4"/>
    <w:rsid w:val="00283C5E"/>
    <w:rsid w:val="002952C7"/>
    <w:rsid w:val="002F7280"/>
    <w:rsid w:val="003263CA"/>
    <w:rsid w:val="00346AB8"/>
    <w:rsid w:val="00364A90"/>
    <w:rsid w:val="003829D3"/>
    <w:rsid w:val="003829FE"/>
    <w:rsid w:val="003A1295"/>
    <w:rsid w:val="003B2E90"/>
    <w:rsid w:val="003D1CA1"/>
    <w:rsid w:val="003D6689"/>
    <w:rsid w:val="003E763D"/>
    <w:rsid w:val="00406AAF"/>
    <w:rsid w:val="00407BA0"/>
    <w:rsid w:val="00420DFE"/>
    <w:rsid w:val="00474C29"/>
    <w:rsid w:val="004841DA"/>
    <w:rsid w:val="00487F23"/>
    <w:rsid w:val="0049201E"/>
    <w:rsid w:val="004B78C4"/>
    <w:rsid w:val="004D17AD"/>
    <w:rsid w:val="004D182E"/>
    <w:rsid w:val="004D1DB8"/>
    <w:rsid w:val="004E3485"/>
    <w:rsid w:val="004E3F46"/>
    <w:rsid w:val="004E7B67"/>
    <w:rsid w:val="005223A2"/>
    <w:rsid w:val="00533749"/>
    <w:rsid w:val="00540D9F"/>
    <w:rsid w:val="00546D1E"/>
    <w:rsid w:val="00550778"/>
    <w:rsid w:val="00550D37"/>
    <w:rsid w:val="00566E99"/>
    <w:rsid w:val="00576BED"/>
    <w:rsid w:val="005A040E"/>
    <w:rsid w:val="005D0D15"/>
    <w:rsid w:val="005D54D5"/>
    <w:rsid w:val="005D6F57"/>
    <w:rsid w:val="005F015F"/>
    <w:rsid w:val="006042CB"/>
    <w:rsid w:val="00626A3F"/>
    <w:rsid w:val="006303BF"/>
    <w:rsid w:val="00643C21"/>
    <w:rsid w:val="00655A21"/>
    <w:rsid w:val="00672F3A"/>
    <w:rsid w:val="006730A4"/>
    <w:rsid w:val="00675722"/>
    <w:rsid w:val="00681B89"/>
    <w:rsid w:val="006828B3"/>
    <w:rsid w:val="006908AA"/>
    <w:rsid w:val="006A33C4"/>
    <w:rsid w:val="006A3447"/>
    <w:rsid w:val="006B51D8"/>
    <w:rsid w:val="006B5C77"/>
    <w:rsid w:val="006D4BE7"/>
    <w:rsid w:val="006F52EC"/>
    <w:rsid w:val="006F633B"/>
    <w:rsid w:val="00717B1C"/>
    <w:rsid w:val="007242B0"/>
    <w:rsid w:val="00730348"/>
    <w:rsid w:val="0073065B"/>
    <w:rsid w:val="00735481"/>
    <w:rsid w:val="0073711D"/>
    <w:rsid w:val="007934AF"/>
    <w:rsid w:val="007966A7"/>
    <w:rsid w:val="007A7DC8"/>
    <w:rsid w:val="007C088B"/>
    <w:rsid w:val="007C3F24"/>
    <w:rsid w:val="00830696"/>
    <w:rsid w:val="008448F6"/>
    <w:rsid w:val="00851BF0"/>
    <w:rsid w:val="00856328"/>
    <w:rsid w:val="008662B4"/>
    <w:rsid w:val="00866CEF"/>
    <w:rsid w:val="0087310C"/>
    <w:rsid w:val="008902F0"/>
    <w:rsid w:val="008A5BC4"/>
    <w:rsid w:val="008B7086"/>
    <w:rsid w:val="008C0BC3"/>
    <w:rsid w:val="008C6791"/>
    <w:rsid w:val="008E3EE5"/>
    <w:rsid w:val="00911612"/>
    <w:rsid w:val="00913B65"/>
    <w:rsid w:val="0091798C"/>
    <w:rsid w:val="00930EC9"/>
    <w:rsid w:val="009417C3"/>
    <w:rsid w:val="00950659"/>
    <w:rsid w:val="00977AA8"/>
    <w:rsid w:val="0098617A"/>
    <w:rsid w:val="009958EE"/>
    <w:rsid w:val="009B615B"/>
    <w:rsid w:val="009C0690"/>
    <w:rsid w:val="009C4BD2"/>
    <w:rsid w:val="009D0186"/>
    <w:rsid w:val="009E2214"/>
    <w:rsid w:val="00A05E62"/>
    <w:rsid w:val="00A15A4D"/>
    <w:rsid w:val="00A2177C"/>
    <w:rsid w:val="00A2265E"/>
    <w:rsid w:val="00A313BA"/>
    <w:rsid w:val="00A43B56"/>
    <w:rsid w:val="00A67C04"/>
    <w:rsid w:val="00AA6420"/>
    <w:rsid w:val="00AB3F20"/>
    <w:rsid w:val="00AC1C3F"/>
    <w:rsid w:val="00AC5782"/>
    <w:rsid w:val="00AD5811"/>
    <w:rsid w:val="00B07DCF"/>
    <w:rsid w:val="00B13470"/>
    <w:rsid w:val="00B161D5"/>
    <w:rsid w:val="00B360AB"/>
    <w:rsid w:val="00B3639C"/>
    <w:rsid w:val="00B70A8E"/>
    <w:rsid w:val="00B878B7"/>
    <w:rsid w:val="00BC1B87"/>
    <w:rsid w:val="00BC5612"/>
    <w:rsid w:val="00BE316E"/>
    <w:rsid w:val="00BF6313"/>
    <w:rsid w:val="00C00C62"/>
    <w:rsid w:val="00C057F0"/>
    <w:rsid w:val="00C21397"/>
    <w:rsid w:val="00C24985"/>
    <w:rsid w:val="00C5769F"/>
    <w:rsid w:val="00C64ABB"/>
    <w:rsid w:val="00CA023C"/>
    <w:rsid w:val="00CD0BD9"/>
    <w:rsid w:val="00CD0C1D"/>
    <w:rsid w:val="00CE4418"/>
    <w:rsid w:val="00CE5193"/>
    <w:rsid w:val="00CF3B62"/>
    <w:rsid w:val="00CF3B97"/>
    <w:rsid w:val="00D120A2"/>
    <w:rsid w:val="00D22E4F"/>
    <w:rsid w:val="00D40D07"/>
    <w:rsid w:val="00D64482"/>
    <w:rsid w:val="00D739E0"/>
    <w:rsid w:val="00D75E7C"/>
    <w:rsid w:val="00D92823"/>
    <w:rsid w:val="00D965CF"/>
    <w:rsid w:val="00D97208"/>
    <w:rsid w:val="00DA5E5A"/>
    <w:rsid w:val="00DB38E2"/>
    <w:rsid w:val="00DE2873"/>
    <w:rsid w:val="00DE481A"/>
    <w:rsid w:val="00E07BE1"/>
    <w:rsid w:val="00E1333B"/>
    <w:rsid w:val="00E22105"/>
    <w:rsid w:val="00E23B7A"/>
    <w:rsid w:val="00E23CBC"/>
    <w:rsid w:val="00E3365F"/>
    <w:rsid w:val="00E50172"/>
    <w:rsid w:val="00E93013"/>
    <w:rsid w:val="00E96863"/>
    <w:rsid w:val="00EB2B4F"/>
    <w:rsid w:val="00EE40B0"/>
    <w:rsid w:val="00EF5AA1"/>
    <w:rsid w:val="00F26AB8"/>
    <w:rsid w:val="00F324C2"/>
    <w:rsid w:val="00F32A35"/>
    <w:rsid w:val="00F53CFF"/>
    <w:rsid w:val="00F63F0B"/>
    <w:rsid w:val="00F812EE"/>
    <w:rsid w:val="00FB201B"/>
    <w:rsid w:val="00FC019D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C5103"/>
  <w14:defaultImageDpi w14:val="32767"/>
  <w15:docId w15:val="{0D65C722-54C7-0A4F-B59F-A901EB3D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3A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BF0"/>
    <w:pPr>
      <w:keepNext/>
      <w:keepLines/>
      <w:spacing w:after="160" w:line="252" w:lineRule="auto"/>
      <w:outlineLvl w:val="0"/>
    </w:pPr>
    <w:rPr>
      <w:rFonts w:cs="Calibr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Ind w:w="0" w:type="dxa"/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TableGrid">
    <w:name w:val="Table Grid"/>
    <w:basedOn w:val="TableNormal"/>
    <w:rsid w:val="007C0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51BF0"/>
    <w:rPr>
      <w:rFonts w:ascii="Calibri" w:hAnsi="Calibri" w:cs="Calibri"/>
      <w:b/>
      <w:color w:val="000000" w:themeColor="text1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ListBullet">
    <w:name w:val="List Bullet"/>
    <w:basedOn w:val="Normal"/>
    <w:rsid w:val="009958EE"/>
    <w:pPr>
      <w:keepNext/>
      <w:keepLines/>
      <w:spacing w:before="40" w:after="40"/>
      <w:contextualSpacing/>
    </w:pPr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D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D2"/>
    <w:rPr>
      <w:rFonts w:ascii="Times New Roman" w:hAnsi="Times New Roman" w:cs="Times New Roman"/>
      <w:sz w:val="18"/>
      <w:szCs w:val="18"/>
      <w:lang w:val="en-AU"/>
    </w:rPr>
  </w:style>
  <w:style w:type="paragraph" w:customStyle="1" w:styleId="Default">
    <w:name w:val="Default"/>
    <w:rsid w:val="00D22E4F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SIText">
    <w:name w:val="SI Text"/>
    <w:link w:val="SITextChar"/>
    <w:qFormat/>
    <w:rsid w:val="00AC1C3F"/>
    <w:rPr>
      <w:rFonts w:ascii="Arial" w:hAnsi="Arial" w:cs="Times New Roman"/>
      <w:sz w:val="20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1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C3F"/>
    <w:rPr>
      <w:rFonts w:ascii="Arial" w:hAnsi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C3F"/>
    <w:rPr>
      <w:rFonts w:ascii="Arial" w:hAnsi="Arial" w:cs="Times New Roman"/>
      <w:sz w:val="20"/>
      <w:szCs w:val="20"/>
      <w:lang w:val="en-AU" w:eastAsia="en-AU"/>
    </w:rPr>
  </w:style>
  <w:style w:type="character" w:customStyle="1" w:styleId="SITextChar">
    <w:name w:val="SI Text Char"/>
    <w:basedOn w:val="DefaultParagraphFont"/>
    <w:link w:val="SIText"/>
    <w:rsid w:val="00AC1C3F"/>
    <w:rPr>
      <w:rFonts w:ascii="Arial" w:hAnsi="Arial" w:cs="Times New Roman"/>
      <w:sz w:val="20"/>
      <w:szCs w:val="22"/>
      <w:lang w:val="en-AU"/>
    </w:rPr>
  </w:style>
  <w:style w:type="paragraph" w:customStyle="1" w:styleId="SITextHeading2">
    <w:name w:val="SI Text Heading 2"/>
    <w:next w:val="Normal"/>
    <w:rsid w:val="00AC1C3F"/>
    <w:pPr>
      <w:spacing w:after="60"/>
      <w:outlineLvl w:val="1"/>
    </w:pPr>
    <w:rPr>
      <w:rFonts w:ascii="Arial" w:hAnsi="Arial" w:cs="Times New Roman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Builders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Barragan@</dc:creator>
  <cp:lastModifiedBy>David Morgan</cp:lastModifiedBy>
  <cp:revision>3</cp:revision>
  <dcterms:created xsi:type="dcterms:W3CDTF">2019-12-08T22:14:00Z</dcterms:created>
  <dcterms:modified xsi:type="dcterms:W3CDTF">2019-12-08T22:16:00Z</dcterms:modified>
</cp:coreProperties>
</file>